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Times New Roman"/>
        </w:rPr>
      </w:pPr>
      <w:bookmarkStart w:id="0" w:name="_GoBack"/>
      <w:bookmarkEnd w:id="0"/>
    </w:p>
    <w:p>
      <w:pPr>
        <w:spacing w:line="560" w:lineRule="exact"/>
        <w:rPr>
          <w:rFonts w:ascii="Times New Roman" w:cs="Times New Roman"/>
        </w:rPr>
      </w:pPr>
      <w:r>
        <w:rPr>
          <w:rFonts w:hint="eastAsia" w:ascii="黑体" w:hAnsi="黑体" w:eastAsia="黑体" w:cs="Times New Roman"/>
        </w:rPr>
        <w:t>附件</w:t>
      </w:r>
      <w:r>
        <w:rPr>
          <w:rFonts w:hint="eastAsia" w:ascii="Times New Roman" w:eastAsia="黑体" w:cs="Times New Roman"/>
          <w:lang w:val="en-US" w:eastAsia="zh-CN"/>
        </w:rPr>
        <w:t>2</w:t>
      </w:r>
      <w:r>
        <w:rPr>
          <w:rFonts w:hint="eastAsia" w:ascii="Times New Roman" w:eastAsia="黑体" w:cs="Times New Roman"/>
        </w:rPr>
        <w:t>-1</w:t>
      </w:r>
    </w:p>
    <w:p>
      <w:pPr>
        <w:spacing w:line="560" w:lineRule="exact"/>
        <w:jc w:val="center"/>
        <w:rPr>
          <w:rFonts w:ascii="Times New Roman" w:eastAsia="方正小标宋简体" w:cs="Times New Roman"/>
          <w:sz w:val="44"/>
          <w:szCs w:val="44"/>
        </w:rPr>
      </w:pPr>
      <w:r>
        <w:rPr>
          <w:rFonts w:hint="eastAsia" w:ascii="Times New Roman" w:eastAsia="方正小标宋简体" w:cs="Times New Roman"/>
          <w:sz w:val="44"/>
          <w:szCs w:val="44"/>
          <w:lang w:val="en-US" w:eastAsia="zh-CN"/>
        </w:rPr>
        <w:t>伊宁县</w:t>
      </w:r>
      <w:r>
        <w:rPr>
          <w:rFonts w:ascii="Times New Roman" w:eastAsia="方正小标宋简体" w:cs="Times New Roman"/>
          <w:sz w:val="44"/>
          <w:szCs w:val="44"/>
        </w:rPr>
        <w:t>消防安全重点单位申报表</w:t>
      </w:r>
    </w:p>
    <w:tbl>
      <w:tblPr>
        <w:tblStyle w:val="3"/>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931"/>
        <w:gridCol w:w="456"/>
        <w:gridCol w:w="1282"/>
        <w:gridCol w:w="2110"/>
        <w:gridCol w:w="928"/>
        <w:gridCol w:w="45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单位</w:t>
            </w:r>
          </w:p>
          <w:p>
            <w:pPr>
              <w:spacing w:line="360" w:lineRule="exact"/>
              <w:contextualSpacing/>
              <w:jc w:val="center"/>
              <w:rPr>
                <w:rFonts w:ascii="Times New Roman" w:eastAsia="宋体" w:cs="Times New Roman"/>
                <w:sz w:val="24"/>
                <w:szCs w:val="24"/>
              </w:rPr>
            </w:pPr>
            <w:r>
              <w:rPr>
                <w:rFonts w:ascii="Times New Roman" w:cs="Times New Roman"/>
                <w:sz w:val="24"/>
                <w:szCs w:val="24"/>
              </w:rPr>
              <w:t>名称</w:t>
            </w:r>
          </w:p>
        </w:tc>
        <w:tc>
          <w:tcPr>
            <w:tcW w:w="4779" w:type="dxa"/>
            <w:gridSpan w:val="4"/>
            <w:vAlign w:val="center"/>
          </w:tcPr>
          <w:p>
            <w:pPr>
              <w:spacing w:line="360" w:lineRule="exact"/>
              <w:contextualSpacing/>
              <w:rPr>
                <w:rFonts w:ascii="Times New Roman" w:eastAsia="宋体" w:cs="Times New Roman"/>
                <w:sz w:val="24"/>
                <w:szCs w:val="24"/>
              </w:rPr>
            </w:pPr>
          </w:p>
        </w:tc>
        <w:tc>
          <w:tcPr>
            <w:tcW w:w="928"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单位</w:t>
            </w:r>
          </w:p>
          <w:p>
            <w:pPr>
              <w:spacing w:line="360" w:lineRule="exact"/>
              <w:contextualSpacing/>
              <w:jc w:val="center"/>
              <w:rPr>
                <w:rFonts w:ascii="Times New Roman" w:eastAsia="宋体" w:cs="Times New Roman"/>
                <w:sz w:val="24"/>
                <w:szCs w:val="24"/>
              </w:rPr>
            </w:pPr>
            <w:r>
              <w:rPr>
                <w:rFonts w:ascii="Times New Roman" w:cs="Times New Roman"/>
                <w:sz w:val="24"/>
                <w:szCs w:val="24"/>
              </w:rPr>
              <w:t>性质</w:t>
            </w:r>
          </w:p>
        </w:tc>
        <w:tc>
          <w:tcPr>
            <w:tcW w:w="1619" w:type="dxa"/>
            <w:gridSpan w:val="2"/>
            <w:vAlign w:val="center"/>
          </w:tcPr>
          <w:p>
            <w:pPr>
              <w:spacing w:line="360" w:lineRule="exact"/>
              <w:contextualSpacing/>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单位</w:t>
            </w:r>
          </w:p>
          <w:p>
            <w:pPr>
              <w:spacing w:line="360" w:lineRule="exact"/>
              <w:contextualSpacing/>
              <w:jc w:val="center"/>
              <w:rPr>
                <w:rFonts w:ascii="Times New Roman" w:eastAsia="宋体" w:cs="Times New Roman"/>
                <w:sz w:val="24"/>
                <w:szCs w:val="24"/>
              </w:rPr>
            </w:pPr>
            <w:r>
              <w:rPr>
                <w:rFonts w:ascii="Times New Roman" w:cs="Times New Roman"/>
                <w:sz w:val="24"/>
                <w:szCs w:val="24"/>
              </w:rPr>
              <w:t>地址</w:t>
            </w:r>
          </w:p>
        </w:tc>
        <w:tc>
          <w:tcPr>
            <w:tcW w:w="4779" w:type="dxa"/>
            <w:gridSpan w:val="4"/>
            <w:vAlign w:val="center"/>
          </w:tcPr>
          <w:p>
            <w:pPr>
              <w:spacing w:line="360" w:lineRule="exact"/>
              <w:contextualSpacing/>
              <w:rPr>
                <w:rFonts w:ascii="Times New Roman" w:eastAsia="宋体" w:cs="Times New Roman"/>
                <w:sz w:val="24"/>
                <w:szCs w:val="24"/>
              </w:rPr>
            </w:pPr>
          </w:p>
        </w:tc>
        <w:tc>
          <w:tcPr>
            <w:tcW w:w="928"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邮政</w:t>
            </w:r>
          </w:p>
          <w:p>
            <w:pPr>
              <w:spacing w:line="360" w:lineRule="exact"/>
              <w:contextualSpacing/>
              <w:jc w:val="center"/>
              <w:rPr>
                <w:rFonts w:ascii="Times New Roman" w:eastAsia="宋体" w:cs="Times New Roman"/>
                <w:sz w:val="24"/>
                <w:szCs w:val="24"/>
              </w:rPr>
            </w:pPr>
            <w:r>
              <w:rPr>
                <w:rFonts w:ascii="Times New Roman" w:cs="Times New Roman"/>
                <w:sz w:val="24"/>
                <w:szCs w:val="24"/>
              </w:rPr>
              <w:t>编码</w:t>
            </w:r>
          </w:p>
        </w:tc>
        <w:tc>
          <w:tcPr>
            <w:tcW w:w="1619" w:type="dxa"/>
            <w:gridSpan w:val="2"/>
            <w:vAlign w:val="center"/>
          </w:tcPr>
          <w:p>
            <w:pPr>
              <w:spacing w:line="360" w:lineRule="exact"/>
              <w:contextualSpacing/>
              <w:rPr>
                <w:rFonts w:ascii="Times New Roman" w:eastAsia="宋体" w:cs="Times New Roman"/>
                <w:sz w:val="24"/>
                <w:szCs w:val="24"/>
              </w:rPr>
            </w:pPr>
            <w:r>
              <w:rPr>
                <w:rFonts w:ascii="Times New Roman" w:cs="Times New Roman"/>
                <w:sz w:val="24"/>
                <w:szCs w:val="24"/>
              </w:rPr>
              <w:t>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消防安全</w:t>
            </w:r>
          </w:p>
          <w:p>
            <w:pPr>
              <w:spacing w:line="360" w:lineRule="exact"/>
              <w:contextualSpacing/>
              <w:jc w:val="center"/>
              <w:rPr>
                <w:rFonts w:ascii="Times New Roman" w:eastAsia="宋体" w:cs="Times New Roman"/>
                <w:sz w:val="24"/>
                <w:szCs w:val="24"/>
              </w:rPr>
            </w:pPr>
            <w:r>
              <w:rPr>
                <w:rFonts w:ascii="Times New Roman" w:cs="Times New Roman"/>
                <w:sz w:val="24"/>
                <w:szCs w:val="24"/>
              </w:rPr>
              <w:t>责任人</w:t>
            </w:r>
          </w:p>
        </w:tc>
        <w:tc>
          <w:tcPr>
            <w:tcW w:w="931"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XXXXXX</w:t>
            </w:r>
          </w:p>
        </w:tc>
        <w:tc>
          <w:tcPr>
            <w:tcW w:w="45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282"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12345678</w:t>
            </w:r>
          </w:p>
        </w:tc>
        <w:tc>
          <w:tcPr>
            <w:tcW w:w="2110"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消防安全</w:t>
            </w:r>
          </w:p>
          <w:p>
            <w:pPr>
              <w:spacing w:line="360" w:lineRule="exact"/>
              <w:contextualSpacing/>
              <w:jc w:val="center"/>
              <w:rPr>
                <w:rFonts w:ascii="Times New Roman" w:eastAsia="宋体" w:cs="Times New Roman"/>
                <w:sz w:val="24"/>
                <w:szCs w:val="24"/>
              </w:rPr>
            </w:pPr>
            <w:r>
              <w:rPr>
                <w:rFonts w:ascii="Times New Roman" w:cs="Times New Roman"/>
                <w:sz w:val="24"/>
                <w:szCs w:val="24"/>
              </w:rPr>
              <w:t>管理人</w:t>
            </w:r>
          </w:p>
        </w:tc>
        <w:tc>
          <w:tcPr>
            <w:tcW w:w="928"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XXXXXX</w:t>
            </w:r>
          </w:p>
        </w:tc>
        <w:tc>
          <w:tcPr>
            <w:tcW w:w="454"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165"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消防安全归口</w:t>
            </w:r>
          </w:p>
          <w:p>
            <w:pPr>
              <w:spacing w:line="360" w:lineRule="exact"/>
              <w:contextualSpacing/>
              <w:jc w:val="center"/>
              <w:rPr>
                <w:rFonts w:ascii="Times New Roman" w:eastAsia="宋体" w:cs="Times New Roman"/>
                <w:sz w:val="24"/>
                <w:szCs w:val="24"/>
              </w:rPr>
            </w:pPr>
            <w:r>
              <w:rPr>
                <w:rFonts w:ascii="Times New Roman" w:cs="Times New Roman"/>
                <w:sz w:val="24"/>
                <w:szCs w:val="24"/>
              </w:rPr>
              <w:t>管理职能部门</w:t>
            </w:r>
          </w:p>
        </w:tc>
        <w:tc>
          <w:tcPr>
            <w:tcW w:w="931" w:type="dxa"/>
            <w:vAlign w:val="center"/>
          </w:tcPr>
          <w:p>
            <w:pPr>
              <w:spacing w:line="360" w:lineRule="exact"/>
              <w:contextualSpacing/>
              <w:rPr>
                <w:rFonts w:ascii="Times New Roman" w:eastAsia="宋体" w:cs="Times New Roman"/>
                <w:sz w:val="24"/>
                <w:szCs w:val="24"/>
              </w:rPr>
            </w:pPr>
          </w:p>
        </w:tc>
        <w:tc>
          <w:tcPr>
            <w:tcW w:w="45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282" w:type="dxa"/>
            <w:vAlign w:val="center"/>
          </w:tcPr>
          <w:p>
            <w:pPr>
              <w:spacing w:line="360" w:lineRule="exact"/>
              <w:contextualSpacing/>
              <w:rPr>
                <w:rFonts w:ascii="Times New Roman" w:eastAsia="宋体" w:cs="Times New Roman"/>
                <w:sz w:val="24"/>
                <w:szCs w:val="24"/>
              </w:rPr>
            </w:pPr>
          </w:p>
        </w:tc>
        <w:tc>
          <w:tcPr>
            <w:tcW w:w="2110"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□专职  □兼职</w:t>
            </w:r>
          </w:p>
          <w:p>
            <w:pPr>
              <w:spacing w:line="360" w:lineRule="exact"/>
              <w:contextualSpacing/>
              <w:jc w:val="center"/>
              <w:rPr>
                <w:rFonts w:ascii="Times New Roman" w:eastAsia="宋体" w:cs="Times New Roman"/>
                <w:sz w:val="24"/>
                <w:szCs w:val="24"/>
              </w:rPr>
            </w:pPr>
            <w:r>
              <w:rPr>
                <w:rFonts w:ascii="Times New Roman" w:cs="Times New Roman"/>
                <w:sz w:val="24"/>
                <w:szCs w:val="24"/>
              </w:rPr>
              <w:t>消防管理人员</w:t>
            </w:r>
          </w:p>
        </w:tc>
        <w:tc>
          <w:tcPr>
            <w:tcW w:w="928" w:type="dxa"/>
            <w:vAlign w:val="center"/>
          </w:tcPr>
          <w:p>
            <w:pPr>
              <w:spacing w:line="360" w:lineRule="exact"/>
              <w:contextualSpacing/>
              <w:rPr>
                <w:rFonts w:ascii="Times New Roman" w:eastAsia="宋体" w:cs="Times New Roman"/>
                <w:sz w:val="24"/>
                <w:szCs w:val="24"/>
              </w:rPr>
            </w:pPr>
          </w:p>
        </w:tc>
        <w:tc>
          <w:tcPr>
            <w:tcW w:w="454"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165" w:type="dxa"/>
            <w:vAlign w:val="center"/>
          </w:tcPr>
          <w:p>
            <w:pPr>
              <w:spacing w:line="360" w:lineRule="exact"/>
              <w:contextualSpacing/>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申 报</w:t>
            </w:r>
          </w:p>
          <w:p>
            <w:pPr>
              <w:spacing w:line="360" w:lineRule="exact"/>
              <w:contextualSpacing/>
              <w:jc w:val="center"/>
              <w:rPr>
                <w:rFonts w:ascii="Times New Roman" w:eastAsia="宋体" w:cs="Times New Roman"/>
                <w:sz w:val="24"/>
                <w:szCs w:val="24"/>
              </w:rPr>
            </w:pPr>
          </w:p>
          <w:p>
            <w:pPr>
              <w:spacing w:line="360" w:lineRule="exact"/>
              <w:contextualSpacing/>
              <w:jc w:val="center"/>
              <w:rPr>
                <w:rFonts w:ascii="Times New Roman" w:eastAsia="宋体" w:cs="Times New Roman"/>
                <w:sz w:val="24"/>
                <w:szCs w:val="24"/>
              </w:rPr>
            </w:pPr>
            <w:r>
              <w:rPr>
                <w:rFonts w:ascii="Times New Roman" w:cs="Times New Roman"/>
                <w:sz w:val="24"/>
                <w:szCs w:val="24"/>
              </w:rPr>
              <w:t>单 位</w:t>
            </w:r>
          </w:p>
          <w:p>
            <w:pPr>
              <w:spacing w:line="360" w:lineRule="exact"/>
              <w:contextualSpacing/>
              <w:jc w:val="center"/>
              <w:rPr>
                <w:rFonts w:ascii="Times New Roman" w:eastAsia="宋体" w:cs="Times New Roman"/>
                <w:sz w:val="24"/>
                <w:szCs w:val="24"/>
              </w:rPr>
            </w:pPr>
          </w:p>
          <w:p>
            <w:pPr>
              <w:spacing w:line="360" w:lineRule="exact"/>
              <w:contextualSpacing/>
              <w:jc w:val="center"/>
              <w:rPr>
                <w:rFonts w:ascii="Times New Roman" w:eastAsia="宋体" w:cs="Times New Roman"/>
                <w:b/>
                <w:sz w:val="24"/>
                <w:szCs w:val="24"/>
              </w:rPr>
            </w:pPr>
            <w:r>
              <w:rPr>
                <w:rFonts w:ascii="Times New Roman" w:cs="Times New Roman"/>
                <w:sz w:val="24"/>
                <w:szCs w:val="24"/>
              </w:rPr>
              <w:t>意 见</w:t>
            </w:r>
          </w:p>
        </w:tc>
        <w:tc>
          <w:tcPr>
            <w:tcW w:w="7326" w:type="dxa"/>
            <w:gridSpan w:val="7"/>
          </w:tcPr>
          <w:p>
            <w:pPr>
              <w:spacing w:line="360" w:lineRule="exact"/>
              <w:ind w:firstLine="472"/>
              <w:contextualSpacing/>
              <w:rPr>
                <w:rFonts w:ascii="Times New Roman" w:eastAsia="宋体" w:cs="Times New Roman"/>
                <w:sz w:val="24"/>
                <w:szCs w:val="24"/>
              </w:rPr>
            </w:pPr>
            <w:r>
              <w:rPr>
                <w:rFonts w:ascii="Times New Roman" w:cs="Times New Roman"/>
                <w:sz w:val="24"/>
                <w:szCs w:val="24"/>
              </w:rPr>
              <w:t>我单位符合《</w:t>
            </w:r>
            <w:r>
              <w:rPr>
                <w:rFonts w:hint="eastAsia" w:ascii="Times New Roman" w:cs="Times New Roman"/>
                <w:sz w:val="24"/>
                <w:szCs w:val="24"/>
              </w:rPr>
              <w:t>新疆维吾尔自治区消防安全重点单位界定标准</w:t>
            </w:r>
            <w:r>
              <w:rPr>
                <w:rFonts w:ascii="Times New Roman" w:cs="Times New Roman"/>
                <w:sz w:val="24"/>
                <w:szCs w:val="24"/>
              </w:rPr>
              <w:t>》条件。根据《机关、团体、企业、事业单位消防安全管理规定》，现申报为消防安全重点单位。</w:t>
            </w:r>
          </w:p>
          <w:p>
            <w:pPr>
              <w:spacing w:line="360" w:lineRule="exact"/>
              <w:ind w:firstLine="472"/>
              <w:contextualSpacing/>
              <w:rPr>
                <w:rFonts w:ascii="Times New Roman" w:eastAsia="宋体" w:cs="Times New Roman"/>
                <w:sz w:val="24"/>
                <w:szCs w:val="24"/>
              </w:rPr>
            </w:pPr>
            <w:r>
              <w:rPr>
                <w:rFonts w:ascii="Times New Roman" w:cs="Times New Roman"/>
                <w:sz w:val="24"/>
                <w:szCs w:val="24"/>
              </w:rPr>
              <w:t>根据《</w:t>
            </w:r>
            <w:r>
              <w:rPr>
                <w:rFonts w:hint="eastAsia" w:ascii="Times New Roman" w:cs="Times New Roman"/>
                <w:sz w:val="24"/>
                <w:szCs w:val="24"/>
              </w:rPr>
              <w:t>新疆维吾尔自治区</w:t>
            </w:r>
            <w:r>
              <w:rPr>
                <w:rFonts w:ascii="Times New Roman" w:cs="Times New Roman"/>
                <w:sz w:val="24"/>
                <w:szCs w:val="24"/>
              </w:rPr>
              <w:t>火灾高危单位界定标准》，经我单位自我评估，我单位为火灾高危单位。</w:t>
            </w:r>
          </w:p>
          <w:p>
            <w:pPr>
              <w:spacing w:line="360" w:lineRule="exact"/>
              <w:contextualSpacing/>
              <w:rPr>
                <w:rFonts w:ascii="Times New Roman" w:eastAsia="宋体" w:cs="Times New Roman"/>
                <w:sz w:val="24"/>
                <w:szCs w:val="24"/>
              </w:rPr>
            </w:pPr>
            <w:r>
              <w:rPr>
                <w:rFonts w:ascii="Times New Roman" w:cs="Times New Roman"/>
                <w:sz w:val="24"/>
                <w:szCs w:val="24"/>
              </w:rPr>
              <w:t xml:space="preserve">                                  单位（章）：</w:t>
            </w:r>
          </w:p>
          <w:p>
            <w:pPr>
              <w:spacing w:line="360" w:lineRule="exact"/>
              <w:contextualSpacing/>
              <w:rPr>
                <w:rFonts w:ascii="Times New Roman" w:eastAsia="宋体" w:cs="Times New Roman"/>
                <w:sz w:val="24"/>
                <w:szCs w:val="24"/>
              </w:rPr>
            </w:pPr>
          </w:p>
          <w:p>
            <w:pPr>
              <w:spacing w:line="360" w:lineRule="exact"/>
              <w:ind w:firstLine="472"/>
              <w:contextualSpacing/>
              <w:rPr>
                <w:rFonts w:ascii="Times New Roman" w:eastAsia="宋体" w:cs="Times New Roman"/>
                <w:sz w:val="24"/>
                <w:szCs w:val="24"/>
              </w:rPr>
            </w:pPr>
            <w:r>
              <w:rPr>
                <w:rFonts w:ascii="Times New Roman" w:cs="Times New Roman"/>
                <w:sz w:val="24"/>
                <w:szCs w:val="24"/>
              </w:rPr>
              <w:t>消防安全责任人（签字）：</w:t>
            </w:r>
          </w:p>
          <w:p>
            <w:pPr>
              <w:spacing w:line="360" w:lineRule="exact"/>
              <w:contextualSpacing/>
              <w:jc w:val="right"/>
              <w:rPr>
                <w:rFonts w:ascii="Times New Roman" w:eastAsia="宋体" w:cs="Times New Roman"/>
                <w:sz w:val="24"/>
                <w:szCs w:val="24"/>
              </w:rPr>
            </w:pPr>
            <w:r>
              <w:rPr>
                <w:rFonts w:ascii="Times New Roman"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6"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w:t>
            </w:r>
            <w:r>
              <w:rPr>
                <w:rFonts w:ascii="Times New Roman" w:eastAsia="宋体" w:cs="Times New Roman"/>
                <w:sz w:val="24"/>
                <w:szCs w:val="24"/>
              </w:rPr>
              <w:t>部门</w:t>
            </w:r>
          </w:p>
          <w:p>
            <w:pPr>
              <w:spacing w:line="360" w:lineRule="exact"/>
              <w:contextualSpacing/>
              <w:jc w:val="center"/>
              <w:rPr>
                <w:rFonts w:ascii="Times New Roman" w:eastAsia="宋体" w:cs="Times New Roman"/>
                <w:sz w:val="24"/>
                <w:szCs w:val="24"/>
              </w:rPr>
            </w:pPr>
            <w:r>
              <w:rPr>
                <w:rFonts w:ascii="Times New Roman" w:cs="Times New Roman"/>
                <w:sz w:val="24"/>
                <w:szCs w:val="24"/>
              </w:rPr>
              <w:t>经办人</w:t>
            </w:r>
          </w:p>
          <w:p>
            <w:pPr>
              <w:spacing w:line="360" w:lineRule="exact"/>
              <w:contextualSpacing/>
              <w:jc w:val="center"/>
              <w:rPr>
                <w:rFonts w:ascii="Times New Roman" w:eastAsia="宋体" w:cs="Times New Roman"/>
                <w:sz w:val="24"/>
                <w:szCs w:val="24"/>
              </w:rPr>
            </w:pPr>
            <w:r>
              <w:rPr>
                <w:rFonts w:ascii="Times New Roman" w:cs="Times New Roman"/>
                <w:sz w:val="24"/>
                <w:szCs w:val="24"/>
              </w:rPr>
              <w:t>意  见</w:t>
            </w:r>
          </w:p>
        </w:tc>
        <w:tc>
          <w:tcPr>
            <w:tcW w:w="7326" w:type="dxa"/>
            <w:gridSpan w:val="7"/>
          </w:tcPr>
          <w:p>
            <w:pPr>
              <w:spacing w:line="360" w:lineRule="exact"/>
              <w:ind w:firstLine="472"/>
              <w:contextualSpacing/>
              <w:rPr>
                <w:rFonts w:ascii="Times New Roman" w:cs="Times New Roman"/>
                <w:sz w:val="24"/>
                <w:szCs w:val="24"/>
              </w:rPr>
            </w:pPr>
            <w:r>
              <w:rPr>
                <w:rFonts w:ascii="Times New Roman" w:cs="Times New Roman"/>
                <w:sz w:val="24"/>
                <w:szCs w:val="24"/>
              </w:rPr>
              <w:t>经核实，该单位符合《</w:t>
            </w:r>
            <w:r>
              <w:rPr>
                <w:rFonts w:hint="eastAsia" w:ascii="Times New Roman" w:cs="Times New Roman"/>
                <w:sz w:val="24"/>
                <w:szCs w:val="24"/>
              </w:rPr>
              <w:t>新疆维吾尔自治区消防安全重点单位界定标准</w:t>
            </w:r>
            <w:r>
              <w:rPr>
                <w:rFonts w:ascii="Times New Roman" w:cs="Times New Roman"/>
                <w:sz w:val="24"/>
                <w:szCs w:val="24"/>
              </w:rPr>
              <w:t>》</w:t>
            </w:r>
            <w:r>
              <w:rPr>
                <w:rFonts w:hint="eastAsia" w:ascii="Times New Roman" w:cs="Times New Roman"/>
                <w:sz w:val="24"/>
                <w:szCs w:val="24"/>
                <w:lang w:eastAsia="zh-CN"/>
              </w:rPr>
              <w:t>，</w:t>
            </w:r>
            <w:r>
              <w:rPr>
                <w:rFonts w:ascii="Times New Roman" w:cs="Times New Roman"/>
                <w:sz w:val="24"/>
                <w:szCs w:val="24"/>
              </w:rPr>
              <w:t>拟确定为消防安全重点单位列入监管范围。且该单位符合《</w:t>
            </w:r>
            <w:r>
              <w:rPr>
                <w:rFonts w:hint="eastAsia" w:ascii="Times New Roman" w:cs="Times New Roman"/>
                <w:sz w:val="24"/>
                <w:szCs w:val="24"/>
              </w:rPr>
              <w:t>新疆维吾尔自治区</w:t>
            </w:r>
            <w:r>
              <w:rPr>
                <w:rFonts w:ascii="Times New Roman" w:cs="Times New Roman"/>
                <w:sz w:val="24"/>
                <w:szCs w:val="24"/>
              </w:rPr>
              <w:t>火灾高危单位界定标准》第  条，界定为火灾高危单位。</w:t>
            </w:r>
          </w:p>
          <w:p>
            <w:pPr>
              <w:spacing w:line="360" w:lineRule="exact"/>
              <w:ind w:firstLine="472"/>
              <w:contextualSpacing/>
              <w:rPr>
                <w:rFonts w:ascii="Times New Roman" w:cs="Times New Roman"/>
                <w:sz w:val="24"/>
                <w:szCs w:val="24"/>
              </w:rPr>
            </w:pPr>
          </w:p>
          <w:p>
            <w:pPr>
              <w:spacing w:line="360" w:lineRule="exact"/>
              <w:ind w:firstLine="472"/>
              <w:contextualSpacing/>
              <w:rPr>
                <w:rFonts w:ascii="Times New Roman" w:eastAsia="宋体" w:cs="Times New Roman"/>
                <w:sz w:val="24"/>
                <w:szCs w:val="24"/>
              </w:rPr>
            </w:pPr>
            <w:r>
              <w:rPr>
                <w:rFonts w:ascii="Times New Roman" w:cs="Times New Roman"/>
                <w:sz w:val="24"/>
                <w:szCs w:val="24"/>
              </w:rPr>
              <w:t>经办人（签字）：</w:t>
            </w:r>
          </w:p>
          <w:p>
            <w:pPr>
              <w:spacing w:line="360" w:lineRule="exact"/>
              <w:contextualSpacing/>
              <w:jc w:val="right"/>
              <w:rPr>
                <w:rFonts w:ascii="Times New Roman" w:eastAsia="宋体" w:cs="Times New Roman"/>
                <w:b/>
                <w:sz w:val="24"/>
                <w:szCs w:val="24"/>
              </w:rPr>
            </w:pPr>
            <w:r>
              <w:rPr>
                <w:rFonts w:ascii="Times New Roman"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1836" w:type="dxa"/>
            <w:vAlign w:val="center"/>
          </w:tcPr>
          <w:p>
            <w:pPr>
              <w:spacing w:line="360" w:lineRule="exact"/>
              <w:contextualSpacing/>
              <w:jc w:val="center"/>
              <w:rPr>
                <w:rFonts w:ascii="Times New Roman" w:cs="Times New Roman"/>
                <w:sz w:val="24"/>
              </w:rPr>
            </w:pPr>
            <w:r>
              <w:rPr>
                <w:rFonts w:ascii="Times New Roman" w:cs="Times New Roman"/>
                <w:sz w:val="24"/>
              </w:rPr>
              <w:t>消防部门</w:t>
            </w:r>
          </w:p>
          <w:p>
            <w:pPr>
              <w:spacing w:line="360" w:lineRule="exact"/>
              <w:contextualSpacing/>
              <w:jc w:val="center"/>
              <w:rPr>
                <w:rFonts w:ascii="Times New Roman" w:cs="Times New Roman"/>
                <w:sz w:val="24"/>
              </w:rPr>
            </w:pPr>
            <w:r>
              <w:rPr>
                <w:rFonts w:ascii="Times New Roman" w:cs="Times New Roman"/>
                <w:sz w:val="24"/>
              </w:rPr>
              <w:t>审核</w:t>
            </w:r>
          </w:p>
          <w:p>
            <w:pPr>
              <w:spacing w:line="360" w:lineRule="exact"/>
              <w:contextualSpacing/>
              <w:jc w:val="center"/>
              <w:rPr>
                <w:rFonts w:ascii="Times New Roman" w:eastAsia="宋体" w:cs="Times New Roman"/>
                <w:b/>
                <w:sz w:val="24"/>
              </w:rPr>
            </w:pPr>
            <w:r>
              <w:rPr>
                <w:rFonts w:ascii="Times New Roman" w:cs="Times New Roman"/>
                <w:sz w:val="24"/>
              </w:rPr>
              <w:t>意  见</w:t>
            </w:r>
          </w:p>
        </w:tc>
        <w:tc>
          <w:tcPr>
            <w:tcW w:w="7326" w:type="dxa"/>
            <w:gridSpan w:val="7"/>
          </w:tcPr>
          <w:p>
            <w:pPr>
              <w:spacing w:line="360" w:lineRule="exact"/>
              <w:contextualSpacing/>
              <w:rPr>
                <w:rFonts w:ascii="Times New Roman" w:eastAsia="宋体" w:cs="Times New Roman"/>
                <w:b/>
                <w:sz w:val="24"/>
              </w:rPr>
            </w:pPr>
          </w:p>
          <w:p>
            <w:pPr>
              <w:spacing w:line="360" w:lineRule="exact"/>
              <w:ind w:firstLine="472"/>
              <w:contextualSpacing/>
              <w:rPr>
                <w:rFonts w:ascii="Times New Roman" w:eastAsia="宋体" w:cs="Times New Roman"/>
                <w:sz w:val="24"/>
              </w:rPr>
            </w:pPr>
            <w:r>
              <w:rPr>
                <w:rFonts w:ascii="Times New Roman" w:cs="Times New Roman"/>
                <w:sz w:val="24"/>
              </w:rPr>
              <w:t>同意列管。</w:t>
            </w:r>
          </w:p>
          <w:p>
            <w:pPr>
              <w:spacing w:line="360" w:lineRule="exact"/>
              <w:contextualSpacing/>
              <w:rPr>
                <w:rFonts w:ascii="Times New Roman" w:eastAsia="宋体" w:cs="Times New Roman"/>
                <w:b/>
                <w:sz w:val="24"/>
              </w:rPr>
            </w:pPr>
          </w:p>
          <w:p>
            <w:pPr>
              <w:spacing w:line="360" w:lineRule="exact"/>
              <w:ind w:firstLine="472"/>
              <w:contextualSpacing/>
              <w:rPr>
                <w:rFonts w:ascii="Times New Roman" w:eastAsia="宋体" w:cs="Times New Roman"/>
                <w:sz w:val="24"/>
              </w:rPr>
            </w:pPr>
            <w:r>
              <w:rPr>
                <w:rFonts w:ascii="Times New Roman" w:cs="Times New Roman"/>
                <w:sz w:val="24"/>
              </w:rPr>
              <w:t>审核人（签字）：</w:t>
            </w:r>
          </w:p>
          <w:p>
            <w:pPr>
              <w:spacing w:line="360" w:lineRule="exact"/>
              <w:contextualSpacing/>
              <w:jc w:val="right"/>
              <w:rPr>
                <w:rFonts w:ascii="Times New Roman" w:eastAsia="宋体" w:cs="Times New Roman"/>
                <w:sz w:val="24"/>
              </w:rPr>
            </w:pPr>
            <w:r>
              <w:rPr>
                <w:rFonts w:asci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9162" w:type="dxa"/>
            <w:gridSpan w:val="8"/>
            <w:vAlign w:val="center"/>
          </w:tcPr>
          <w:p>
            <w:pPr>
              <w:spacing w:line="320" w:lineRule="exact"/>
              <w:contextualSpacing/>
              <w:rPr>
                <w:rFonts w:ascii="Times New Roman" w:eastAsia="宋体" w:cs="Times New Roman"/>
                <w:sz w:val="24"/>
              </w:rPr>
            </w:pPr>
            <w:r>
              <w:rPr>
                <w:rFonts w:ascii="Times New Roman" w:cs="Times New Roman"/>
                <w:sz w:val="24"/>
              </w:rPr>
              <w:t>填表说明：</w:t>
            </w:r>
          </w:p>
          <w:p>
            <w:pPr>
              <w:spacing w:line="320" w:lineRule="exact"/>
              <w:contextualSpacing/>
              <w:rPr>
                <w:rFonts w:ascii="Times New Roman" w:eastAsia="宋体" w:cs="Times New Roman"/>
                <w:sz w:val="24"/>
              </w:rPr>
            </w:pPr>
            <w:r>
              <w:rPr>
                <w:rFonts w:ascii="Times New Roman" w:cs="Times New Roman"/>
                <w:sz w:val="24"/>
              </w:rPr>
              <w:t>1</w:t>
            </w:r>
            <w:r>
              <w:rPr>
                <w:rFonts w:hint="eastAsia" w:ascii="Times New Roman" w:cs="Times New Roman"/>
                <w:sz w:val="24"/>
              </w:rPr>
              <w:t>.</w:t>
            </w:r>
            <w:r>
              <w:rPr>
                <w:rFonts w:ascii="Times New Roman" w:cs="Times New Roman"/>
                <w:sz w:val="24"/>
              </w:rPr>
              <w:t>消防安全责任人一栏，法人单位填写法定代表人，非法人单位填写主要负责人；</w:t>
            </w:r>
          </w:p>
          <w:p>
            <w:pPr>
              <w:spacing w:line="320" w:lineRule="exact"/>
              <w:contextualSpacing/>
              <w:rPr>
                <w:rFonts w:ascii="Times New Roman" w:eastAsia="宋体" w:cs="Times New Roman"/>
                <w:sz w:val="24"/>
              </w:rPr>
            </w:pPr>
            <w:r>
              <w:rPr>
                <w:rFonts w:ascii="Times New Roman" w:cs="Times New Roman"/>
                <w:sz w:val="24"/>
              </w:rPr>
              <w:t>2</w:t>
            </w:r>
            <w:r>
              <w:rPr>
                <w:rFonts w:hint="eastAsia" w:ascii="Times New Roman" w:cs="Times New Roman"/>
                <w:sz w:val="24"/>
              </w:rPr>
              <w:t>.</w:t>
            </w:r>
            <w:r>
              <w:rPr>
                <w:rFonts w:ascii="Times New Roman" w:cs="Times New Roman"/>
                <w:sz w:val="24"/>
              </w:rPr>
              <w:t>消防安全管理人可以由单位副职担任，也可单独设置或者聘任，直接对单位的消防安全责任人负责；</w:t>
            </w:r>
          </w:p>
          <w:p>
            <w:pPr>
              <w:spacing w:line="320" w:lineRule="exact"/>
              <w:contextualSpacing/>
              <w:rPr>
                <w:rFonts w:ascii="Times New Roman" w:eastAsia="宋体" w:cs="Times New Roman"/>
                <w:sz w:val="24"/>
              </w:rPr>
            </w:pPr>
            <w:r>
              <w:rPr>
                <w:rFonts w:ascii="Times New Roman" w:cs="Times New Roman"/>
                <w:sz w:val="24"/>
              </w:rPr>
              <w:t>3</w:t>
            </w:r>
            <w:r>
              <w:rPr>
                <w:rFonts w:hint="eastAsia" w:ascii="Times New Roman" w:cs="Times New Roman"/>
                <w:sz w:val="24"/>
              </w:rPr>
              <w:t>.</w:t>
            </w:r>
            <w:r>
              <w:rPr>
                <w:rFonts w:ascii="Times New Roman" w:cs="Times New Roman"/>
                <w:sz w:val="24"/>
              </w:rPr>
              <w:t>归口管理部门，是指单位消防安全管理的组织机构。如保卫处（科）、安全处（科）等。</w:t>
            </w:r>
          </w:p>
        </w:tc>
      </w:tr>
    </w:tbl>
    <w:p>
      <w:pPr>
        <w:spacing w:line="560" w:lineRule="exact"/>
        <w:rPr>
          <w:rFonts w:ascii="Times New Roman" w:eastAsia="黑体" w:cs="Times New Roman"/>
        </w:rPr>
        <w:sectPr>
          <w:footerReference r:id="rId3" w:type="default"/>
          <w:footerReference r:id="rId4" w:type="even"/>
          <w:pgSz w:w="11906" w:h="16838"/>
          <w:pgMar w:top="1417" w:right="1531" w:bottom="1417" w:left="1531" w:header="851" w:footer="850" w:gutter="0"/>
          <w:cols w:space="720" w:num="1"/>
          <w:docGrid w:type="linesAndChars" w:linePitch="579" w:charSpace="-849"/>
        </w:sectPr>
      </w:pPr>
    </w:p>
    <w:p>
      <w:pPr>
        <w:spacing w:line="560" w:lineRule="exact"/>
        <w:jc w:val="left"/>
        <w:rPr>
          <w:rFonts w:ascii="Times New Roman" w:eastAsia="黑体" w:cs="Times New Roman"/>
        </w:rPr>
      </w:pPr>
      <w:r>
        <w:rPr>
          <w:rFonts w:hint="eastAsia" w:ascii="黑体" w:hAnsi="黑体" w:eastAsia="黑体" w:cs="Times New Roman"/>
        </w:rPr>
        <w:t>附件</w:t>
      </w:r>
      <w:r>
        <w:rPr>
          <w:rFonts w:hint="eastAsia" w:ascii="Times New Roman" w:eastAsia="黑体" w:cs="Times New Roman"/>
          <w:lang w:val="en-US" w:eastAsia="zh-CN"/>
        </w:rPr>
        <w:t>2</w:t>
      </w:r>
      <w:r>
        <w:rPr>
          <w:rFonts w:hint="eastAsia" w:ascii="Times New Roman" w:eastAsia="黑体" w:cs="Times New Roman"/>
        </w:rPr>
        <w:t>-</w:t>
      </w:r>
      <w:r>
        <w:rPr>
          <w:rFonts w:ascii="Times New Roman" w:eastAsia="黑体" w:cs="Times New Roman"/>
        </w:rPr>
        <w:t>2</w:t>
      </w:r>
    </w:p>
    <w:p>
      <w:pPr>
        <w:spacing w:line="560" w:lineRule="exact"/>
        <w:jc w:val="left"/>
        <w:rPr>
          <w:rFonts w:ascii="Times New Roman" w:eastAsia="黑体" w:cs="Times New Roman"/>
        </w:rPr>
      </w:pPr>
    </w:p>
    <w:p>
      <w:pPr>
        <w:spacing w:line="640" w:lineRule="exact"/>
        <w:jc w:val="center"/>
        <w:rPr>
          <w:rFonts w:hint="eastAsia" w:ascii="方正小标宋_GBK" w:hAnsi="宋体" w:eastAsia="方正小标宋_GBK"/>
          <w:kern w:val="0"/>
          <w:sz w:val="44"/>
          <w:szCs w:val="44"/>
        </w:rPr>
      </w:pPr>
      <w:r>
        <w:rPr>
          <w:rFonts w:hint="eastAsia" w:ascii="方正小标宋_GBK" w:hAnsi="宋体" w:eastAsia="方正小标宋_GBK"/>
          <w:kern w:val="0"/>
          <w:sz w:val="44"/>
          <w:szCs w:val="44"/>
        </w:rPr>
        <w:t>新疆维吾尔自治区消防安全重点单位</w:t>
      </w:r>
    </w:p>
    <w:p>
      <w:pPr>
        <w:spacing w:line="640" w:lineRule="exact"/>
        <w:jc w:val="center"/>
        <w:rPr>
          <w:rFonts w:hint="eastAsia" w:ascii="方正小标宋_GBK" w:hAnsi="宋体" w:eastAsia="方正小标宋_GBK"/>
          <w:kern w:val="0"/>
          <w:sz w:val="44"/>
          <w:szCs w:val="44"/>
        </w:rPr>
      </w:pPr>
      <w:r>
        <w:rPr>
          <w:rFonts w:hint="eastAsia" w:ascii="方正小标宋_GBK" w:hAnsi="宋体" w:eastAsia="方正小标宋_GBK"/>
          <w:sz w:val="44"/>
          <w:szCs w:val="44"/>
        </w:rPr>
        <w:t>界定标准</w:t>
      </w:r>
    </w:p>
    <w:p>
      <w:pPr>
        <w:spacing w:line="576" w:lineRule="exact"/>
        <w:ind w:firstLine="640" w:firstLineChars="200"/>
        <w:rPr>
          <w:rFonts w:hint="eastAsia" w:ascii="仿宋_GB2312" w:hAnsi="ˎ̥"/>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一、商场（市场）、宾馆（饭店）、体育场（馆）、会堂、公共娱乐场所等公众聚集场所：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1.建筑面积在1000平方米（含本数，下同）以上且经营可燃商品的商场(商店、市场）；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2.客房数在50间以上的宾馆（旅馆、饭店）；</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3.公共的体育场（馆）、会堂；</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4.建筑面积在1000平方米以上的餐饮场所；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5.建筑面积在200平方米以上的下列公共娱乐场所：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shd w:val="clear" w:color="auto" w:fill="FFFFFF"/>
        </w:rPr>
        <w:t>（1）影剧院、放映厅、礼堂等演出放映场所；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shd w:val="clear" w:color="auto" w:fill="FFFFFF"/>
        </w:rPr>
        <w:t>（2）舞厅、KTV等歌舞娱乐场所；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shd w:val="clear" w:color="auto" w:fill="FFFFFF"/>
        </w:rPr>
        <w:t>（3）具有娱乐功能的夜总会、音乐茶座和餐饮场所；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shd w:val="clear" w:color="auto" w:fill="FFFFFF"/>
        </w:rPr>
      </w:pPr>
      <w:r>
        <w:rPr>
          <w:rFonts w:hint="default" w:ascii="Times New Roman" w:hAnsi="Times New Roman" w:eastAsia="方正仿宋_GBK" w:cs="Times New Roman"/>
          <w:szCs w:val="32"/>
          <w:shd w:val="clear" w:color="auto" w:fill="FFFFFF"/>
        </w:rPr>
        <w:t>（4）游艺、游乐场所；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shd w:val="clear" w:color="auto" w:fill="FFFFFF"/>
        </w:rPr>
      </w:pPr>
      <w:r>
        <w:rPr>
          <w:rFonts w:hint="default" w:ascii="Times New Roman" w:hAnsi="Times New Roman" w:eastAsia="方正仿宋_GBK" w:cs="Times New Roman"/>
          <w:szCs w:val="32"/>
          <w:shd w:val="clear" w:color="auto" w:fill="FFFFFF"/>
        </w:rPr>
        <w:t>（5）保龄球馆、旱冰场、桑拿浴室等营业性健身、休闲场所。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二、医院、养老院和寄宿制的学校、托儿所、幼儿园：</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1.住院床位在50张以上的医院、疗养院、康复中心；</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 xml:space="preserve">2.老人住宿床位在50张以上的养老院、敬老院、福利院； </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3.学生住宿床位在100张以上的学校；</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4.幼儿住宿床位在50张以上的托儿所、幼儿园。</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三、国家机关：</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1.县级以上的党委、人大、政府、政协；</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2.人民检察院、人民法院；</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仿宋_GB2312" w:hAnsi="ˎ̥"/>
          <w:szCs w:val="32"/>
        </w:rPr>
      </w:pPr>
      <w:r>
        <w:rPr>
          <w:rFonts w:hint="eastAsia" w:ascii="Times New Roman" w:hAnsi="Times New Roman" w:eastAsia="方正仿宋_GBK" w:cs="Times New Roman"/>
          <w:szCs w:val="32"/>
        </w:rPr>
        <w:t>3.共青团中央、全国总工会、全国妇联的驻疆办事机关。</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四、广播、电视和邮政、通信枢纽：</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1.广播电台、电视台；</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2.县级以上邮政、通信枢纽单位。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五、客运车站、码头、民用机场：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1.建筑面积在500平方米以上的客运车站候车厅；</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2.民用机场。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六、公共图书馆、展览馆、博物馆、档案馆以及具有火灾危险性的文物保护单位：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1.建筑面积在2000平方米以上的公共图书馆、展览馆；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2.公共博物馆、档案馆；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3.具有火灾危险性的县级以上文物保护单位。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七、发电厂（站）和110KV以上的变（配）电站等电网经营企业。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i/>
          <w:szCs w:val="32"/>
        </w:rPr>
      </w:pPr>
      <w:r>
        <w:rPr>
          <w:rFonts w:hint="eastAsia" w:ascii="黑体" w:hAnsi="ˎ̥" w:eastAsia="黑体"/>
          <w:szCs w:val="32"/>
        </w:rPr>
        <w:t>八、易燃易爆化学物品的生产、充装、储存、供应、销售单位：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1.生产易燃易爆化学物品的工厂；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2.易燃易爆气体和液体的灌装站、调压站；</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3.储存易燃易爆化学物品的专用仓库（堆场、储罐场所）；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4.营业性汽车加油站、加气站，储瓶量在100瓶以上的液化石油气供应站（换瓶站）；</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5.经营易燃易爆化学物品（甲、乙类）且场所面积在300平方米以上或店内存放总量达1000公斤以上的化工商店。</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九、劳动密集型生产、加工企业：</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生产车间员工在100人以上的服装、鞋帽、玩具、纺织、木材加工、食品加工、印刷、印染等劳动密集型企业。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十、重要的科研单位：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1.国家及自治区级科研单位；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2.设备价值超过1000万元以上的科研单位；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3.科研试验中具有火灾爆炸危险的科研单位。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十一、高层公共建筑、地下铁道、地下观光隧道，粮、棉、木材、百货等物资仓库和堆场，重点工程的施工现场：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1.高层公共建筑的办公楼（写字楼）、公寓楼等；</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2.城市地下铁道、地下观光隧道等地下公共建筑和城市重要的交通隧道；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3.国家储备粮库、总储备量在10000吨以上的其他粮库；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4.总储量在500吨以上的棉库；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5.总储量在10000立方米以上的木材堆场；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6.总储存价值在1000万元的可燃物品仓库、堆场；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7.国家和省级等重点工程的施工现场。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十二、其他发生火灾可能性较大以及一旦发生火灾可能造成人身重大伤亡或者财产重大损失的单位：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1.储存量在500吨（1万担）以上的棉花收购站、加工厂；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2.浸出制油工厂；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3.生产或储存酒精度数在38度以上的酒厂；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4.有酒精生产的糖厂；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5.冷藏间或冰库的公称容积为5000立方米以上的冷库或水果保鲜库；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6.固定资产价值在5000万元以上的电子、汽车、机械、化学原料及制品、医药、钢铁、冶金、塑料、烟草、石油化工等企业；</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7.发生火灾可能性较大以及一旦发生火灾可能造成人身重大伤亡或者财产重大损失的旅游场所；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8.建筑面积1000平方米以上的清真寺等宗教活动场所；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9.营业面积在500平方米以上的证券、期货交易、人才交流等场所；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10.单层占地面积超过12000平方米或者多层占地面积超过9600平方米的大型物流仓库；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11.其它应当确定为消防安全重点单位的单位。</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ˎ̥"/>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bCs/>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说明：</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1.个体工商户虽不属于“单位”，但达到重点单位界定标准的必须纳入管理。</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2.一个物业小区内有多栋高层公寓等建筑而且同属一个产权单位和物业管理单位的，按一个消防安全重点单位申报。</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highlight w:val="red"/>
        </w:rPr>
      </w:pPr>
      <w:r>
        <w:rPr>
          <w:rFonts w:hint="eastAsia" w:ascii="Times New Roman" w:hAnsi="Times New Roman" w:eastAsia="方正仿宋_GBK" w:cs="Times New Roman"/>
          <w:color w:val="auto"/>
          <w:szCs w:val="32"/>
          <w:highlight w:val="red"/>
        </w:rPr>
        <w:t>3.</w:t>
      </w:r>
      <w:r>
        <w:rPr>
          <w:rFonts w:hint="eastAsia" w:ascii="Times New Roman" w:hAnsi="Times New Roman" w:eastAsia="方正仿宋_GBK" w:cs="Times New Roman"/>
          <w:color w:val="auto"/>
          <w:szCs w:val="32"/>
          <w:highlight w:val="red"/>
          <w:u w:val="single"/>
        </w:rPr>
        <w:t>符合消防安全重点单位界定标准的承租、承包或者受托经营单位，其名称为该单位营业执照名称，并在名称后备注建筑产权单位或经营单位名称。如XX超市（建筑产权单位或经营单位名称）</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highlight w:val="red"/>
        </w:rPr>
      </w:pPr>
      <w:r>
        <w:rPr>
          <w:rFonts w:hint="eastAsia" w:ascii="Times New Roman" w:eastAsia="方正仿宋_GBK" w:cs="Times New Roman"/>
          <w:szCs w:val="32"/>
          <w:lang w:val="en-US" w:eastAsia="zh-CN"/>
        </w:rPr>
        <w:t>4.</w:t>
      </w:r>
      <w:r>
        <w:rPr>
          <w:rFonts w:hint="eastAsia" w:ascii="Times New Roman" w:hAnsi="Times New Roman" w:eastAsia="方正仿宋_GBK" w:cs="Times New Roman"/>
          <w:szCs w:val="32"/>
        </w:rPr>
        <w:t>一幢建筑物中各自独立的产权单位或使用单位，凡符合消防安全重点单位界定标准的，应当各自独立申报备案；如建筑物本身符合消防安全重点单位界定标准的，该建筑物产权单位或负责统一管理的物业管理单位（消防安全组织）也要独立申报备案。</w:t>
      </w:r>
      <w:r>
        <w:rPr>
          <w:rFonts w:hint="eastAsia" w:ascii="Times New Roman" w:hAnsi="Times New Roman" w:eastAsia="方正仿宋_GBK" w:cs="Times New Roman"/>
          <w:color w:val="auto"/>
          <w:szCs w:val="32"/>
          <w:highlight w:val="red"/>
          <w:u w:val="single"/>
        </w:rPr>
        <w:t>符合消防安全重点单位界定标准的独立产权单位，应在名称后备注其所在建筑或统一管理单位名称，如：XX影院（建筑或统一管理单位名称）；建筑本身也符合消防安全重点单位界定标准的，其名称为统一管理单位营业执照或组织机构代码证名称，如统一管理单位为物业服务企业的，应在其名称后备注建筑或服务项目名称，如XX物业公司（建筑或服务项目名称）</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highlight w:val="red"/>
          <w:u w:val="single"/>
        </w:rPr>
      </w:pPr>
      <w:r>
        <w:rPr>
          <w:rFonts w:hint="eastAsia" w:ascii="Times New Roman" w:hAnsi="Times New Roman" w:eastAsia="方正仿宋_GBK" w:cs="Times New Roman"/>
          <w:color w:val="auto"/>
          <w:szCs w:val="32"/>
          <w:highlight w:val="red"/>
          <w:u w:val="single"/>
        </w:rPr>
        <w:t>4.对《中华人民共和国消防法》</w:t>
      </w:r>
      <w:r>
        <w:rPr>
          <w:rFonts w:hint="eastAsia" w:ascii="Times New Roman" w:hAnsi="Times New Roman" w:eastAsia="方正仿宋_GBK" w:cs="Times New Roman"/>
          <w:color w:val="auto"/>
          <w:szCs w:val="32"/>
          <w:highlight w:val="red"/>
          <w:u w:val="single"/>
          <w:lang w:eastAsia="zh-CN"/>
        </w:rPr>
        <w:t>（</w:t>
      </w:r>
      <w:r>
        <w:rPr>
          <w:rFonts w:hint="eastAsia" w:ascii="Times New Roman" w:hAnsi="Times New Roman" w:eastAsia="方正仿宋_GBK" w:cs="Times New Roman"/>
          <w:color w:val="auto"/>
          <w:szCs w:val="32"/>
          <w:highlight w:val="red"/>
          <w:u w:val="single"/>
          <w:lang w:val="en-US" w:eastAsia="zh-CN"/>
        </w:rPr>
        <w:t>2019年4月23日修正</w:t>
      </w:r>
      <w:r>
        <w:rPr>
          <w:rFonts w:hint="eastAsia" w:ascii="Times New Roman" w:hAnsi="Times New Roman" w:eastAsia="方正仿宋_GBK" w:cs="Times New Roman"/>
          <w:color w:val="auto"/>
          <w:szCs w:val="32"/>
          <w:highlight w:val="red"/>
          <w:u w:val="single"/>
          <w:lang w:eastAsia="zh-CN"/>
        </w:rPr>
        <w:t>）</w:t>
      </w:r>
      <w:r>
        <w:rPr>
          <w:rFonts w:hint="eastAsia" w:ascii="Times New Roman" w:hAnsi="Times New Roman" w:eastAsia="方正仿宋_GBK" w:cs="Times New Roman"/>
          <w:color w:val="auto"/>
          <w:szCs w:val="32"/>
          <w:highlight w:val="red"/>
          <w:u w:val="single"/>
        </w:rPr>
        <w:t>施行后未经</w:t>
      </w:r>
      <w:r>
        <w:rPr>
          <w:rFonts w:hint="eastAsia" w:ascii="Times New Roman" w:hAnsi="Times New Roman" w:eastAsia="方正仿宋_GBK" w:cs="Times New Roman"/>
          <w:color w:val="auto"/>
          <w:szCs w:val="32"/>
          <w:highlight w:val="red"/>
          <w:u w:val="single"/>
          <w:lang w:val="en-US" w:eastAsia="zh-CN"/>
        </w:rPr>
        <w:t>当地住房和城乡建设部门</w:t>
      </w:r>
      <w:r>
        <w:rPr>
          <w:rFonts w:hint="eastAsia" w:ascii="Times New Roman" w:hAnsi="Times New Roman" w:eastAsia="方正仿宋_GBK" w:cs="Times New Roman"/>
          <w:color w:val="auto"/>
          <w:szCs w:val="32"/>
          <w:highlight w:val="red"/>
          <w:u w:val="single"/>
        </w:rPr>
        <w:t>消防设计审核</w:t>
      </w:r>
      <w:r>
        <w:rPr>
          <w:rFonts w:hint="eastAsia" w:ascii="Times New Roman" w:hAnsi="Times New Roman" w:eastAsia="方正仿宋_GBK" w:cs="Times New Roman"/>
          <w:color w:val="auto"/>
          <w:szCs w:val="32"/>
          <w:highlight w:val="red"/>
          <w:u w:val="single"/>
          <w:lang w:eastAsia="zh-CN"/>
        </w:rPr>
        <w:t>、</w:t>
      </w:r>
      <w:r>
        <w:rPr>
          <w:rFonts w:hint="eastAsia" w:ascii="Times New Roman" w:hAnsi="Times New Roman" w:eastAsia="方正仿宋_GBK" w:cs="Times New Roman"/>
          <w:color w:val="auto"/>
          <w:szCs w:val="32"/>
          <w:highlight w:val="red"/>
          <w:u w:val="single"/>
        </w:rPr>
        <w:t>验收</w:t>
      </w:r>
      <w:r>
        <w:rPr>
          <w:rFonts w:hint="eastAsia" w:ascii="Times New Roman" w:hAnsi="Times New Roman" w:eastAsia="方正仿宋_GBK" w:cs="Times New Roman"/>
          <w:color w:val="auto"/>
          <w:szCs w:val="32"/>
          <w:highlight w:val="red"/>
          <w:u w:val="single"/>
          <w:lang w:val="en-US" w:eastAsia="zh-CN"/>
        </w:rPr>
        <w:t>或备案抽查</w:t>
      </w:r>
      <w:r>
        <w:rPr>
          <w:rFonts w:hint="eastAsia" w:ascii="Times New Roman" w:hAnsi="Times New Roman" w:eastAsia="方正仿宋_GBK" w:cs="Times New Roman"/>
          <w:color w:val="auto"/>
          <w:szCs w:val="32"/>
          <w:highlight w:val="red"/>
          <w:u w:val="single"/>
        </w:rPr>
        <w:t>的建筑物，如其符合消防安全重点单位界定标准，应要求其按照公安部61号令第十四条规定，向当地消防</w:t>
      </w:r>
      <w:r>
        <w:rPr>
          <w:rFonts w:hint="eastAsia" w:ascii="Times New Roman" w:hAnsi="Times New Roman" w:eastAsia="方正仿宋_GBK" w:cs="Times New Roman"/>
          <w:color w:val="auto"/>
          <w:szCs w:val="32"/>
          <w:highlight w:val="red"/>
          <w:u w:val="single"/>
          <w:lang w:val="en-US" w:eastAsia="zh-CN"/>
        </w:rPr>
        <w:t>救援</w:t>
      </w:r>
      <w:r>
        <w:rPr>
          <w:rFonts w:hint="eastAsia" w:ascii="Times New Roman" w:hAnsi="Times New Roman" w:eastAsia="方正仿宋_GBK" w:cs="Times New Roman"/>
          <w:color w:val="auto"/>
          <w:szCs w:val="32"/>
          <w:highlight w:val="red"/>
          <w:u w:val="single"/>
        </w:rPr>
        <w:t>机构备案</w:t>
      </w:r>
      <w:r>
        <w:rPr>
          <w:rFonts w:hint="eastAsia" w:ascii="Times New Roman" w:eastAsia="方正仿宋_GBK" w:cs="Times New Roman"/>
          <w:color w:val="auto"/>
          <w:szCs w:val="32"/>
          <w:highlight w:val="red"/>
          <w:u w:val="single"/>
          <w:lang w:eastAsia="zh-CN"/>
        </w:rPr>
        <w:t>，</w:t>
      </w:r>
      <w:r>
        <w:rPr>
          <w:rFonts w:hint="eastAsia" w:ascii="Times New Roman" w:hAnsi="Times New Roman" w:eastAsia="方正仿宋_GBK" w:cs="Times New Roman"/>
          <w:color w:val="auto"/>
          <w:szCs w:val="32"/>
          <w:highlight w:val="red"/>
          <w:u w:val="single"/>
        </w:rPr>
        <w:t>待其补齐手续并符合消防安全要求的基础上，再确定其为消防安全重点单位并予以备案。在确定其为消防安全重点单位前，应按照消防安全重点单位要求进行管理，并纳入重点监管范围。</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highlight w:val="red"/>
          <w:u w:val="single"/>
        </w:rPr>
      </w:pPr>
      <w:r>
        <w:rPr>
          <w:rFonts w:hint="eastAsia" w:ascii="Times New Roman" w:hAnsi="Times New Roman" w:eastAsia="方正仿宋_GBK" w:cs="Times New Roman"/>
          <w:szCs w:val="32"/>
        </w:rPr>
        <w:t>5.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r>
        <w:rPr>
          <w:rFonts w:hint="eastAsia" w:ascii="Times New Roman" w:hAnsi="Times New Roman" w:eastAsia="方正仿宋_GBK" w:cs="Times New Roman"/>
          <w:color w:val="auto"/>
          <w:szCs w:val="32"/>
          <w:highlight w:val="red"/>
          <w:u w:val="single"/>
        </w:rPr>
        <w:t>不在同一地点且符合消防安全重点单位界定标准的，如其不具备独立法人资格，其申报名称为营业执照或组织机构代码证名称，同时备注所在区域，如：XX医院（XX院区</w:t>
      </w:r>
      <w:r>
        <w:rPr>
          <w:rFonts w:hint="eastAsia" w:ascii="Times New Roman" w:eastAsia="方正仿宋_GBK" w:cs="Times New Roman"/>
          <w:color w:val="auto"/>
          <w:szCs w:val="32"/>
          <w:highlight w:val="red"/>
          <w:u w:val="single"/>
          <w:lang w:val="en-US" w:eastAsia="zh-CN"/>
        </w:rPr>
        <w:t>或分院</w:t>
      </w:r>
      <w:r>
        <w:rPr>
          <w:rFonts w:hint="eastAsia" w:ascii="Times New Roman" w:hAnsi="Times New Roman" w:eastAsia="方正仿宋_GBK" w:cs="Times New Roman"/>
          <w:color w:val="auto"/>
          <w:szCs w:val="32"/>
          <w:highlight w:val="red"/>
          <w:u w:val="single"/>
        </w:rPr>
        <w:t>）；同一地点具备独立法人资格的下属单位，且符合消防安全重点单位界定标准，应在名称后备注其所属上级单位名称，如：XX研究所（上级单位名称）。</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6.县级以上党委、人大、政府、政协等机关的消防安全管理工作，根据公安部61号令第四条的规定，由法定代表人负责。上述机关可以根据需要确定本单位的消防安全管理人，具体组织和实施落实消防安全管理工作。</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7.商场、市场均指室内的商场、市场。</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8.寄宿制幼儿园是指夜间寄宿。</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9.候车厅的建筑面积是指独立的建筑面积，不包括其他附属建筑的建筑面积。</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10.液化石油气供应站（换瓶站）的储瓶量是指15公斤液化石油气钢瓶实瓶的储量。</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11.劳动密集型生产、加工企业生产车间员工人数是指同一时间一个车间的员工数量。</w:t>
      </w:r>
    </w:p>
    <w:p>
      <w:pPr>
        <w:spacing w:line="560" w:lineRule="exact"/>
        <w:jc w:val="left"/>
        <w:rPr>
          <w:rFonts w:hint="eastAsia" w:ascii="Times New Roman" w:cs="Times New Roman"/>
          <w:bCs/>
        </w:rPr>
      </w:pPr>
      <w:r>
        <w:rPr>
          <w:rFonts w:hint="eastAsia" w:ascii="黑体" w:hAnsi="黑体" w:eastAsia="黑体" w:cs="Times New Roman"/>
          <w:bCs/>
        </w:rPr>
        <w:t>附件</w:t>
      </w:r>
      <w:r>
        <w:rPr>
          <w:rFonts w:hint="eastAsia" w:ascii="Times New Roman" w:eastAsia="黑体" w:cs="Times New Roman"/>
          <w:bCs/>
          <w:lang w:val="en-US" w:eastAsia="zh-CN"/>
        </w:rPr>
        <w:t>2</w:t>
      </w:r>
      <w:r>
        <w:rPr>
          <w:rFonts w:hint="eastAsia" w:ascii="Times New Roman" w:cs="Times New Roman"/>
          <w:bCs/>
        </w:rPr>
        <w:t>-3</w:t>
      </w:r>
    </w:p>
    <w:p>
      <w:pPr>
        <w:spacing w:line="560" w:lineRule="exact"/>
        <w:jc w:val="left"/>
        <w:rPr>
          <w:rFonts w:hint="eastAsia" w:ascii="Times New Roman" w:cs="Times New Roman"/>
          <w:bCs/>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新疆维吾尔自治区火灾高危单位界定标准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按照《新疆维吾尔自治区火灾高危单位消防安全管理暂行规定》（新政发〔2013〕53号）</w:t>
      </w:r>
      <w:r>
        <w:rPr>
          <w:rFonts w:hint="eastAsia" w:ascii="Times New Roman" w:eastAsia="方正仿宋_GBK" w:cs="Times New Roman"/>
          <w:szCs w:val="32"/>
          <w:lang w:val="en-US" w:eastAsia="zh-CN"/>
        </w:rPr>
        <w:t>第二条规定，</w:t>
      </w:r>
      <w:r>
        <w:rPr>
          <w:rFonts w:hint="eastAsia" w:ascii="Times New Roman" w:hAnsi="Times New Roman" w:eastAsia="方正仿宋_GBK" w:cs="Times New Roman"/>
          <w:szCs w:val="32"/>
        </w:rPr>
        <w:t>下列范围的单位、场所是火灾高危单位：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一）单层建筑面积5000平方米以上或建筑总面积50000平方米以上、经营易燃可燃商品的商场，建筑总面积20000平方米以上的集贸市场，设有中央空调且三星级以上或客房数在200间以上的宾馆、饭店，建筑总面积10000平方米以上的其他地下公众聚集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（二）位于建筑的首层、二层、三层且建筑总面积5000平方米以上，或者位于建筑的地下、四层以上且建筑总面积2000平方米以上的公共娱乐场所；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（三）床位数1000张以上的医院，床位数200张以上的养老院、敬老院、福利院，床位数100张以上的寄宿制幼儿园、托儿所；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（四）建筑总面积50000平方米以上的公共体育馆、会堂、展览馆、博物馆；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（五）总储量10000立方米以上的甲、乙类可燃气体和总储量30000立方米以上的甲、乙类易燃液体的生产、充装、储存、销售单位；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（六）总储量50000吨以上的粮库，总储量10000吨以上的棉花储存、加工场所，总储量50000立方米以上的木材堆场，以及储存总价值2000万元以上的其他可燃物品仓库、堆场；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（七）建筑高度超过100米的高层公共建筑；</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（八）规模容量120万千瓦以上的发电厂；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（九）采用木结构或砖木结构的全国重点文物保护单位；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（十）其他容易发生火灾且一旦发生火灾可能造成重大人员伤亡或者财产损失的单位、场所。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lang w:val="en-US" w:eastAsia="zh-CN"/>
        </w:rPr>
      </w:pPr>
      <w:r>
        <w:rPr>
          <w:rFonts w:hint="eastAsia" w:ascii="方正黑体_GBK" w:hAnsi="方正黑体_GBK" w:eastAsia="方正黑体_GBK" w:cs="方正黑体_GBK"/>
          <w:b w:val="0"/>
          <w:bCs/>
          <w:szCs w:val="32"/>
          <w:lang w:val="en-US" w:eastAsia="zh-CN"/>
        </w:rPr>
        <w:t>说明：</w:t>
      </w:r>
      <w:r>
        <w:rPr>
          <w:rFonts w:hint="eastAsia" w:ascii="Times New Roman" w:hAnsi="Times New Roman" w:eastAsia="方正仿宋_GBK" w:cs="Times New Roman"/>
          <w:szCs w:val="32"/>
        </w:rPr>
        <w:t>本</w:t>
      </w:r>
      <w:r>
        <w:rPr>
          <w:rFonts w:hint="eastAsia" w:ascii="Times New Roman" w:hAnsi="Times New Roman" w:eastAsia="方正仿宋_GBK" w:cs="Times New Roman"/>
          <w:szCs w:val="32"/>
          <w:lang w:val="en-US" w:eastAsia="zh-CN"/>
        </w:rPr>
        <w:t>标准</w:t>
      </w:r>
      <w:r>
        <w:rPr>
          <w:rFonts w:hint="eastAsia" w:ascii="Times New Roman" w:hAnsi="Times New Roman" w:eastAsia="方正仿宋_GBK" w:cs="Times New Roman"/>
          <w:szCs w:val="32"/>
        </w:rPr>
        <w:t>中所提到的“以上”包含本数。</w:t>
      </w:r>
    </w:p>
    <w:sectPr>
      <w:footerReference r:id="rId5" w:type="default"/>
      <w:pgSz w:w="11906" w:h="16838"/>
      <w:pgMar w:top="153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492879"/>
      <w:docPartObj>
        <w:docPartGallery w:val="autotext"/>
      </w:docPartObj>
    </w:sdtPr>
    <w:sdtEndPr>
      <w:rPr>
        <w:rFonts w:ascii="Times New Roman" w:cs="Times New Roman"/>
        <w:sz w:val="28"/>
        <w:szCs w:val="28"/>
      </w:rPr>
    </w:sdtEndPr>
    <w:sdtContent>
      <w:p>
        <w:pPr>
          <w:pStyle w:val="2"/>
          <w:jc w:val="right"/>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1</w:t>
        </w:r>
        <w:r>
          <w:rPr>
            <w:rFonts w:ascii="Times New Roman" w:cs="Times New Roman"/>
            <w:sz w:val="28"/>
            <w:szCs w:val="28"/>
          </w:rPr>
          <w:fldChar w:fldCharType="end"/>
        </w:r>
        <w:r>
          <w:rPr>
            <w:rFonts w:asci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632047"/>
      <w:docPartObj>
        <w:docPartGallery w:val="autotext"/>
      </w:docPartObj>
    </w:sdtPr>
    <w:sdtEndPr>
      <w:rPr>
        <w:rFonts w:ascii="Times New Roman" w:cs="Times New Roman"/>
        <w:sz w:val="28"/>
        <w:szCs w:val="28"/>
      </w:rPr>
    </w:sdtEndPr>
    <w:sdtContent>
      <w:p>
        <w:pPr>
          <w:pStyle w:val="2"/>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2</w:t>
        </w:r>
        <w:r>
          <w:rPr>
            <w:rFonts w:ascii="Times New Roman" w:cs="Times New Roman"/>
            <w:sz w:val="28"/>
            <w:szCs w:val="28"/>
          </w:rPr>
          <w:fldChar w:fldCharType="end"/>
        </w:r>
        <w:r>
          <w:rPr>
            <w:rFonts w:ascii="Times New Roman" w:cs="Times New Roman"/>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976902"/>
      <w:docPartObj>
        <w:docPartGallery w:val="autotext"/>
      </w:docPartObj>
    </w:sdtPr>
    <w:sdtEndPr>
      <w:rPr>
        <w:rFonts w:ascii="Times New Roman" w:cs="Times New Roman"/>
        <w:sz w:val="28"/>
        <w:szCs w:val="28"/>
      </w:rPr>
    </w:sdtEndPr>
    <w:sdtContent>
      <w:p>
        <w:pPr>
          <w:pStyle w:val="2"/>
          <w:jc w:val="right"/>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21</w:t>
        </w:r>
        <w:r>
          <w:rPr>
            <w:rFonts w:ascii="Times New Roman" w:cs="Times New Roman"/>
            <w:sz w:val="28"/>
            <w:szCs w:val="28"/>
          </w:rPr>
          <w:fldChar w:fldCharType="end"/>
        </w:r>
        <w:r>
          <w:rPr>
            <w:rFonts w:asci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Y2FmNTQ3NGNiNjNjZGVmYzNhMmZlMjFjYmQxYzMifQ=="/>
  </w:docVars>
  <w:rsids>
    <w:rsidRoot w:val="15071EF4"/>
    <w:rsid w:val="0CA268D0"/>
    <w:rsid w:val="15071EF4"/>
    <w:rsid w:val="207D5757"/>
    <w:rsid w:val="2FBA69C7"/>
    <w:rsid w:val="37CE0AC6"/>
    <w:rsid w:val="3FAA7E04"/>
    <w:rsid w:val="43524F0A"/>
    <w:rsid w:val="4DDE2A3A"/>
    <w:rsid w:val="50F743CB"/>
    <w:rsid w:val="5E4A6629"/>
    <w:rsid w:val="60AD5D39"/>
    <w:rsid w:val="68863414"/>
    <w:rsid w:val="75401E22"/>
    <w:rsid w:val="782E3466"/>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4162</Words>
  <Characters>4439</Characters>
  <Lines>0</Lines>
  <Paragraphs>0</Paragraphs>
  <TotalTime>25</TotalTime>
  <ScaleCrop>false</ScaleCrop>
  <LinksUpToDate>false</LinksUpToDate>
  <CharactersWithSpaces>4509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2023-03-09T15:56:00Z</dcterms:created>
  <dc:creator>admin</dc:creator>
  <cp:lastModifiedBy>RL</cp:lastModifiedBy>
  <dcterms:modified xsi:type="dcterms:W3CDTF">2023-03-20T10:14:43Z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DEF514A0C15C4C17BC82872C63C03F85</vt:lpwstr>
  </property>
</Properties>
</file>