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0" w:firstLineChars="0"/>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伊宁县城镇供水定价成本</w:t>
      </w:r>
      <w:r>
        <w:rPr>
          <w:rFonts w:hint="eastAsia" w:ascii="方正小标宋简体" w:hAnsi="方正小标宋简体" w:eastAsia="方正小标宋简体" w:cs="方正小标宋简体"/>
          <w:color w:val="333333"/>
          <w:sz w:val="44"/>
          <w:szCs w:val="44"/>
          <w:lang w:eastAsia="zh-CN"/>
        </w:rPr>
        <w:t>监审</w:t>
      </w:r>
      <w:r>
        <w:rPr>
          <w:rFonts w:hint="eastAsia" w:ascii="方正小标宋简体" w:hAnsi="方正小标宋简体" w:eastAsia="方正小标宋简体" w:cs="方正小标宋简体"/>
          <w:color w:val="333333"/>
          <w:sz w:val="44"/>
          <w:szCs w:val="44"/>
        </w:rPr>
        <w:t>结论</w:t>
      </w:r>
    </w:p>
    <w:p>
      <w:pPr>
        <w:ind w:firstLine="0" w:firstLineChars="0"/>
      </w:pPr>
    </w:p>
    <w:p>
      <w:pPr>
        <w:ind w:firstLine="640"/>
        <w:rPr>
          <w:rFonts w:hint="eastAsia"/>
        </w:rPr>
      </w:pPr>
      <w:r>
        <w:rPr>
          <w:rFonts w:hint="eastAsia"/>
        </w:rPr>
        <w:t>为认真贯彻落实国家和自治区有关推进城镇供水价格改革的文件精神，建立和完善有利于促进节约用水、合理配置水资源和提高用水效率为核心的水价形成机制，进一步运用价格杠杆促进节约用水和水资源的可持续利用，有效弥补供水合理成本，保障供水企业健康发展，依据有关</w:t>
      </w:r>
      <w:r>
        <w:rPr>
          <w:rFonts w:hint="eastAsia"/>
          <w:lang w:eastAsia="zh-CN"/>
        </w:rPr>
        <w:t>法律法规政策</w:t>
      </w:r>
      <w:r>
        <w:rPr>
          <w:rFonts w:hint="eastAsia"/>
        </w:rPr>
        <w:t>规定，遵循公平、科学、规范、效率的原则，</w:t>
      </w:r>
      <w:r>
        <w:rPr>
          <w:rFonts w:hint="eastAsia"/>
          <w:lang w:eastAsia="zh-CN"/>
        </w:rPr>
        <w:t>我委成立监审小组，</w:t>
      </w:r>
      <w:r>
        <w:rPr>
          <w:rFonts w:hint="eastAsia"/>
        </w:rPr>
        <w:t>通过对伊宁县杏祥供排水有限公司</w:t>
      </w:r>
      <w:r>
        <w:rPr>
          <w:rFonts w:hint="eastAsia"/>
          <w:lang w:val="en-US" w:eastAsia="zh-CN"/>
        </w:rPr>
        <w:t>提供的</w:t>
      </w:r>
      <w:r>
        <w:rPr>
          <w:rFonts w:hint="eastAsia"/>
        </w:rPr>
        <w:t>2018年—2020年会计报表等资料的审核，于2021年8月—10月测算出伊宁县城镇供水定价成本。现将有关情况汇报如下：</w:t>
      </w:r>
    </w:p>
    <w:p>
      <w:pPr>
        <w:pStyle w:val="6"/>
        <w:pageBreakBefore w:val="0"/>
        <w:ind w:firstLine="640"/>
        <w:rPr>
          <w:rFonts w:hint="eastAsia" w:ascii="Times New Roman" w:hAnsi="Times New Roman" w:eastAsia="仿宋_GB2312" w:cs="Times New Roman"/>
          <w:w w:val="100"/>
          <w:sz w:val="32"/>
          <w:szCs w:val="30"/>
          <w:shd w:val="clear" w:color="auto" w:fill="auto"/>
        </w:rPr>
      </w:pPr>
      <w:r>
        <w:rPr>
          <w:rFonts w:hint="eastAsia" w:ascii="Times New Roman" w:hAnsi="Times New Roman" w:eastAsia="仿宋_GB2312" w:cs="Times New Roman"/>
          <w:w w:val="100"/>
          <w:sz w:val="32"/>
          <w:szCs w:val="30"/>
          <w:shd w:val="clear" w:color="auto" w:fill="auto"/>
        </w:rPr>
        <w:t>一、成本</w:t>
      </w:r>
      <w:r>
        <w:rPr>
          <w:rFonts w:hint="eastAsia" w:ascii="Times New Roman" w:hAnsi="Times New Roman" w:eastAsia="仿宋_GB2312" w:cs="Times New Roman"/>
          <w:w w:val="100"/>
          <w:sz w:val="32"/>
          <w:szCs w:val="30"/>
          <w:shd w:val="clear" w:color="auto" w:fill="auto"/>
          <w:lang w:eastAsia="zh-CN"/>
        </w:rPr>
        <w:t>监审</w:t>
      </w:r>
      <w:r>
        <w:rPr>
          <w:rFonts w:hint="eastAsia" w:ascii="Times New Roman" w:hAnsi="Times New Roman" w:eastAsia="仿宋_GB2312" w:cs="Times New Roman"/>
          <w:w w:val="100"/>
          <w:sz w:val="32"/>
          <w:szCs w:val="30"/>
          <w:shd w:val="clear" w:color="auto" w:fill="auto"/>
        </w:rPr>
        <w:t>项目</w:t>
      </w:r>
    </w:p>
    <w:p>
      <w:pPr>
        <w:ind w:firstLine="640"/>
        <w:rPr>
          <w:rFonts w:hint="eastAsia" w:ascii="Times New Roman" w:hAnsi="Times New Roman" w:eastAsia="仿宋_GB2312" w:cs="Times New Roman"/>
          <w:w w:val="100"/>
          <w:sz w:val="32"/>
          <w:szCs w:val="30"/>
          <w:shd w:val="clear" w:color="auto" w:fill="auto"/>
        </w:rPr>
      </w:pPr>
      <w:r>
        <w:rPr>
          <w:rFonts w:hint="eastAsia" w:ascii="Times New Roman" w:hAnsi="Times New Roman" w:eastAsia="仿宋_GB2312" w:cs="Times New Roman"/>
          <w:w w:val="100"/>
          <w:sz w:val="32"/>
          <w:szCs w:val="30"/>
          <w:shd w:val="clear" w:color="auto" w:fill="auto"/>
        </w:rPr>
        <w:t>伊宁县城镇供水定价成本。</w:t>
      </w:r>
    </w:p>
    <w:p>
      <w:pPr>
        <w:pStyle w:val="6"/>
        <w:ind w:firstLine="640"/>
        <w:rPr>
          <w:rFonts w:hint="eastAsia" w:ascii="Times New Roman" w:hAnsi="Times New Roman" w:eastAsia="仿宋_GB2312" w:cs="Times New Roman"/>
          <w:w w:val="100"/>
          <w:sz w:val="32"/>
          <w:szCs w:val="30"/>
          <w:shd w:val="clear" w:color="auto" w:fill="auto"/>
        </w:rPr>
      </w:pPr>
      <w:r>
        <w:rPr>
          <w:rFonts w:hint="eastAsia" w:ascii="Times New Roman" w:hAnsi="Times New Roman" w:eastAsia="仿宋_GB2312" w:cs="Times New Roman"/>
          <w:w w:val="100"/>
          <w:sz w:val="32"/>
          <w:szCs w:val="30"/>
          <w:shd w:val="clear" w:color="auto" w:fill="auto"/>
        </w:rPr>
        <w:t>二、成本审核依据</w:t>
      </w:r>
    </w:p>
    <w:p>
      <w:pPr>
        <w:pStyle w:val="7"/>
        <w:ind w:left="0" w:leftChars="0" w:firstLine="640" w:firstLineChars="200"/>
        <w:rPr>
          <w:rFonts w:hint="eastAsia" w:ascii="Times New Roman" w:hAnsi="Times New Roman" w:eastAsia="仿宋_GB2312" w:cs="Times New Roman"/>
          <w:b w:val="0"/>
          <w:bCs/>
          <w:w w:val="100"/>
          <w:sz w:val="32"/>
          <w:szCs w:val="30"/>
          <w:shd w:val="clear" w:color="auto" w:fill="auto"/>
          <w:lang w:eastAsia="zh-CN"/>
        </w:rPr>
      </w:pPr>
      <w:r>
        <w:rPr>
          <w:rFonts w:hint="eastAsia" w:ascii="Times New Roman" w:hAnsi="Times New Roman" w:eastAsia="仿宋_GB2312" w:cs="Times New Roman"/>
          <w:b w:val="0"/>
          <w:bCs/>
          <w:w w:val="100"/>
          <w:sz w:val="32"/>
          <w:szCs w:val="30"/>
          <w:shd w:val="clear" w:color="auto" w:fill="auto"/>
          <w:lang w:eastAsia="zh-CN"/>
        </w:rPr>
        <w:t>略</w:t>
      </w:r>
    </w:p>
    <w:p>
      <w:pPr>
        <w:pStyle w:val="6"/>
        <w:ind w:firstLine="640"/>
        <w:rPr>
          <w:rFonts w:hint="eastAsia" w:ascii="Times New Roman" w:hAnsi="Times New Roman" w:eastAsia="仿宋_GB2312" w:cs="Times New Roman"/>
          <w:w w:val="100"/>
          <w:sz w:val="32"/>
          <w:szCs w:val="30"/>
          <w:shd w:val="clear" w:color="auto" w:fill="auto"/>
        </w:rPr>
      </w:pPr>
      <w:r>
        <w:rPr>
          <w:rFonts w:hint="eastAsia" w:ascii="Times New Roman" w:hAnsi="Times New Roman" w:eastAsia="仿宋_GB2312" w:cs="Times New Roman"/>
          <w:w w:val="100"/>
          <w:sz w:val="32"/>
          <w:szCs w:val="30"/>
          <w:shd w:val="clear" w:color="auto" w:fill="auto"/>
        </w:rPr>
        <w:t>三、成本审核的主要程序</w:t>
      </w:r>
    </w:p>
    <w:p>
      <w:pPr>
        <w:ind w:firstLine="640"/>
        <w:rPr>
          <w:rFonts w:hint="eastAsia"/>
        </w:rPr>
      </w:pPr>
      <w:r>
        <w:rPr>
          <w:rFonts w:hint="eastAsia"/>
        </w:rPr>
        <w:t>（一）应当遵循下列原则</w:t>
      </w:r>
    </w:p>
    <w:p>
      <w:pPr>
        <w:ind w:firstLine="640"/>
        <w:rPr>
          <w:rFonts w:hint="eastAsia"/>
        </w:rPr>
      </w:pPr>
      <w:r>
        <w:rPr>
          <w:rFonts w:hint="eastAsia"/>
        </w:rPr>
        <w:t>1.合法性原则。2.相关性原则。3.合理性原则。</w:t>
      </w:r>
    </w:p>
    <w:p>
      <w:pPr>
        <w:ind w:firstLine="640"/>
        <w:rPr>
          <w:rFonts w:hint="eastAsia"/>
        </w:rPr>
      </w:pPr>
      <w:r>
        <w:rPr>
          <w:rFonts w:hint="eastAsia"/>
        </w:rPr>
        <w:t>（二）工作程序</w:t>
      </w:r>
    </w:p>
    <w:p>
      <w:pPr>
        <w:ind w:firstLine="640"/>
        <w:rPr>
          <w:rFonts w:hint="eastAsia"/>
          <w:lang w:eastAsia="zh-CN"/>
        </w:rPr>
      </w:pPr>
      <w:r>
        <w:rPr>
          <w:rFonts w:hint="eastAsia"/>
          <w:lang w:eastAsia="zh-CN"/>
        </w:rPr>
        <w:t>略</w:t>
      </w:r>
    </w:p>
    <w:p>
      <w:pPr>
        <w:ind w:firstLine="640"/>
        <w:rPr>
          <w:rFonts w:hint="eastAsia"/>
        </w:rPr>
      </w:pPr>
      <w:r>
        <w:rPr>
          <w:rFonts w:hint="eastAsia"/>
        </w:rPr>
        <w:t>（四）成本审核方法</w:t>
      </w:r>
    </w:p>
    <w:p>
      <w:pPr>
        <w:ind w:firstLine="640"/>
        <w:rPr>
          <w:rFonts w:hint="eastAsia" w:eastAsia="仿宋_GB2312"/>
          <w:lang w:eastAsia="zh-CN"/>
        </w:rPr>
      </w:pPr>
      <w:r>
        <w:rPr>
          <w:rFonts w:hint="eastAsia"/>
          <w:lang w:eastAsia="zh-CN"/>
        </w:rPr>
        <w:t>略</w:t>
      </w:r>
    </w:p>
    <w:p>
      <w:pPr>
        <w:ind w:firstLine="640"/>
        <w:rPr>
          <w:rFonts w:hint="eastAsia" w:ascii="Times New Roman" w:hAnsi="Times New Roman"/>
        </w:rPr>
      </w:pPr>
      <w:r>
        <w:rPr>
          <w:rFonts w:hint="eastAsia" w:ascii="Times New Roman" w:hAnsi="Times New Roman"/>
        </w:rPr>
        <w:t>四、被</w:t>
      </w:r>
      <w:r>
        <w:rPr>
          <w:rFonts w:hint="eastAsia" w:ascii="Times New Roman" w:hAnsi="Times New Roman"/>
          <w:lang w:eastAsia="zh-CN"/>
        </w:rPr>
        <w:t>监审</w:t>
      </w:r>
      <w:r>
        <w:rPr>
          <w:rFonts w:hint="eastAsia" w:ascii="Times New Roman" w:hAnsi="Times New Roman"/>
        </w:rPr>
        <w:t>单位基本情况</w:t>
      </w:r>
    </w:p>
    <w:p>
      <w:pPr>
        <w:ind w:firstLine="640"/>
        <w:rPr>
          <w:rFonts w:hint="eastAsia" w:ascii="Times New Roman" w:hAnsi="Times New Roman"/>
        </w:rPr>
      </w:pPr>
      <w:r>
        <w:rPr>
          <w:rFonts w:hint="eastAsia" w:ascii="Times New Roman" w:hAnsi="Times New Roman"/>
        </w:rPr>
        <w:t>（一）单位基本情况</w:t>
      </w:r>
    </w:p>
    <w:p>
      <w:pPr>
        <w:ind w:firstLine="640"/>
        <w:rPr>
          <w:rFonts w:hint="eastAsia" w:ascii="Times New Roman" w:hAnsi="Times New Roman"/>
          <w:lang w:eastAsia="zh-CN"/>
        </w:rPr>
      </w:pPr>
      <w:r>
        <w:rPr>
          <w:rFonts w:hint="eastAsia" w:ascii="Times New Roman" w:hAnsi="Times New Roman"/>
          <w:lang w:eastAsia="zh-CN"/>
        </w:rPr>
        <w:t>略</w:t>
      </w:r>
    </w:p>
    <w:p>
      <w:pPr>
        <w:ind w:firstLine="640"/>
        <w:rPr>
          <w:rFonts w:hint="eastAsia"/>
        </w:rPr>
      </w:pPr>
      <w:r>
        <w:rPr>
          <w:rFonts w:hint="eastAsia" w:ascii="Times New Roman" w:hAnsi="Times New Roman"/>
        </w:rPr>
        <w:t>五、城镇供水准许成本审核过程</w:t>
      </w:r>
    </w:p>
    <w:p>
      <w:pPr>
        <w:pStyle w:val="6"/>
        <w:ind w:firstLine="640"/>
        <w:rPr>
          <w:rFonts w:hint="eastAsia" w:eastAsia="宋体"/>
          <w:lang w:eastAsia="zh-CN"/>
        </w:rPr>
      </w:pPr>
      <w:r>
        <w:rPr>
          <w:rFonts w:hint="eastAsia" w:eastAsia="宋体"/>
          <w:lang w:eastAsia="zh-CN"/>
        </w:rPr>
        <w:t>略</w:t>
      </w:r>
    </w:p>
    <w:p>
      <w:pPr>
        <w:ind w:firstLine="640"/>
        <w:rPr>
          <w:rFonts w:hint="eastAsia" w:ascii="Times New Roman" w:hAnsi="Times New Roman"/>
        </w:rPr>
      </w:pPr>
      <w:r>
        <w:rPr>
          <w:rFonts w:hint="eastAsia" w:ascii="Times New Roman" w:hAnsi="Times New Roman"/>
        </w:rPr>
        <w:t>六、城镇供水定价单位成本</w:t>
      </w:r>
    </w:p>
    <w:p>
      <w:pPr>
        <w:ind w:firstLine="640"/>
        <w:rPr>
          <w:rFonts w:hint="eastAsia" w:ascii="Times New Roman" w:hAnsi="Times New Roman"/>
          <w:lang w:eastAsia="zh-CN"/>
        </w:rPr>
      </w:pPr>
      <w:r>
        <w:rPr>
          <w:rFonts w:hint="eastAsia" w:ascii="Times New Roman" w:hAnsi="Times New Roman"/>
          <w:lang w:eastAsia="zh-CN"/>
        </w:rPr>
        <w:t>略</w:t>
      </w:r>
    </w:p>
    <w:p>
      <w:pPr>
        <w:ind w:firstLine="640"/>
        <w:rPr>
          <w:rFonts w:hint="eastAsia" w:ascii="Times New Roman" w:hAnsi="Times New Roman"/>
        </w:rPr>
      </w:pPr>
      <w:r>
        <w:rPr>
          <w:rFonts w:hint="eastAsia" w:ascii="Times New Roman" w:hAnsi="Times New Roman"/>
        </w:rPr>
        <w:t>七、城镇供水成本</w:t>
      </w:r>
      <w:r>
        <w:rPr>
          <w:rFonts w:hint="eastAsia" w:ascii="Times New Roman" w:hAnsi="Times New Roman"/>
          <w:lang w:eastAsia="zh-CN"/>
        </w:rPr>
        <w:t>监审</w:t>
      </w:r>
      <w:r>
        <w:rPr>
          <w:rFonts w:hint="eastAsia" w:ascii="Times New Roman" w:hAnsi="Times New Roman"/>
        </w:rPr>
        <w:t>结论</w:t>
      </w:r>
    </w:p>
    <w:p>
      <w:pPr>
        <w:ind w:firstLine="640"/>
      </w:pPr>
      <w:r>
        <w:rPr>
          <w:rFonts w:hint="eastAsia"/>
        </w:rPr>
        <w:t>（一）准许成本</w:t>
      </w:r>
    </w:p>
    <w:p>
      <w:pPr>
        <w:ind w:firstLine="640"/>
      </w:pPr>
      <w:r>
        <w:rPr>
          <w:rFonts w:hint="eastAsia"/>
        </w:rPr>
        <w:t>城镇供水核定准许成本为11117918.74元。</w:t>
      </w:r>
    </w:p>
    <w:p>
      <w:pPr>
        <w:ind w:firstLine="640"/>
      </w:pPr>
      <w:r>
        <w:rPr>
          <w:rFonts w:hint="eastAsia"/>
        </w:rPr>
        <w:t>（二）准许收入</w:t>
      </w:r>
    </w:p>
    <w:p>
      <w:pPr>
        <w:ind w:firstLine="640"/>
      </w:pPr>
      <w:r>
        <w:rPr>
          <w:rFonts w:hint="eastAsia"/>
        </w:rPr>
        <w:t>城镇供水核定准许收入为10491028.23元。</w:t>
      </w:r>
    </w:p>
    <w:p>
      <w:pPr>
        <w:ind w:firstLine="640"/>
      </w:pPr>
      <w:r>
        <w:rPr>
          <w:rFonts w:hint="eastAsia"/>
        </w:rPr>
        <w:t>（三）单位定价成本（不含增值税）</w:t>
      </w:r>
    </w:p>
    <w:p>
      <w:pPr>
        <w:ind w:firstLine="640"/>
      </w:pPr>
      <w:r>
        <w:rPr>
          <w:rFonts w:hint="eastAsia"/>
        </w:rPr>
        <w:t>城镇供水单位定价成本为1.75元/立方米。</w:t>
      </w:r>
    </w:p>
    <w:p>
      <w:pPr>
        <w:ind w:firstLine="640"/>
      </w:pPr>
      <w:r>
        <w:rPr>
          <w:rFonts w:hint="eastAsia"/>
        </w:rPr>
        <w:t>（四）考虑增值税单位成本</w:t>
      </w:r>
    </w:p>
    <w:p>
      <w:pPr>
        <w:ind w:firstLine="640"/>
        <w:rPr>
          <w:rFonts w:hint="eastAsia"/>
        </w:rPr>
      </w:pPr>
      <w:r>
        <w:rPr>
          <w:rFonts w:hint="eastAsia"/>
        </w:rPr>
        <w:t>城镇供水单位定价成本为1.80元/立方米（含3%增值税）。</w:t>
      </w:r>
    </w:p>
    <w:p>
      <w:pPr>
        <w:ind w:firstLine="640"/>
        <w:rPr>
          <w:rFonts w:hint="eastAsia" w:ascii="Times New Roman" w:hAnsi="Times New Roman"/>
        </w:rPr>
      </w:pPr>
      <w:r>
        <w:rPr>
          <w:rFonts w:hint="eastAsia" w:ascii="Times New Roman" w:hAnsi="Times New Roman"/>
        </w:rPr>
        <w:t>八、伊宁县城镇供水定价成本核定表</w:t>
      </w:r>
    </w:p>
    <w:tbl>
      <w:tblPr>
        <w:tblStyle w:val="8"/>
        <w:tblW w:w="9360" w:type="dxa"/>
        <w:jc w:val="center"/>
        <w:tblInd w:w="0" w:type="dxa"/>
        <w:tblLayout w:type="fixed"/>
        <w:tblCellMar>
          <w:top w:w="0" w:type="dxa"/>
          <w:left w:w="108" w:type="dxa"/>
          <w:bottom w:w="0" w:type="dxa"/>
          <w:right w:w="108" w:type="dxa"/>
        </w:tblCellMar>
      </w:tblPr>
      <w:tblGrid>
        <w:gridCol w:w="2464"/>
        <w:gridCol w:w="851"/>
        <w:gridCol w:w="1984"/>
        <w:gridCol w:w="1985"/>
        <w:gridCol w:w="2076"/>
      </w:tblGrid>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项目名称</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单位</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上报数</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核定数</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核增减数</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固定资产</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177202233.39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177202233.39</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年供水总量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m³</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7259850.00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7259850.00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管网漏损率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9.00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9.00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自用水率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9.00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9.00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核定供水量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m³</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6011881.79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6011881.79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一、固定资产折旧</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6721703.39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250539.23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-6471164.16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二、无形资产摊销</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10833.33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10833.33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三、运行维护费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8729712.03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10856546.18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2126834.15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1.原水费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370110.00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370110.00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401"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2.外购成品水费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3.动力费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95523.10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91291.38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-4231.72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4.原材料</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259636.67 </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259636.67 </w:t>
            </w:r>
          </w:p>
        </w:tc>
        <w:tc>
          <w:tcPr>
            <w:tcW w:w="20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5.修理费</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1626711.96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2212390.10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585678.14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6.人员薪酬</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4898131.33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6629738.73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1731607.40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180" w:firstLineChars="10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7.其他运营费用</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1479598.97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1293379.29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-186219.68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四、准许成本</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15462248.75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11117918.74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-4344330.01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五、财政补助</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1112242.33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1112242.33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六、可计提收益的有效资产</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16381808.13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6605290.42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-9776517.71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七、准许收益率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5.03%</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5.03%</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0.00%</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八、准许收益</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823203.62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331923.00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-491280.61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八、税金</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153428.82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153428.82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0.00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九、准许收入</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15326638.86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10491028.23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-4835610.63 </w:t>
            </w:r>
          </w:p>
        </w:tc>
      </w:tr>
      <w:tr>
        <w:tblPrEx>
          <w:tblLayout w:type="fixed"/>
          <w:tblCellMar>
            <w:top w:w="0" w:type="dxa"/>
            <w:left w:w="108" w:type="dxa"/>
            <w:bottom w:w="0" w:type="dxa"/>
            <w:right w:w="108" w:type="dxa"/>
          </w:tblCellMar>
        </w:tblPrEx>
        <w:trPr>
          <w:trHeight w:val="283" w:hRule="atLeast"/>
          <w:jc w:val="center"/>
        </w:trPr>
        <w:tc>
          <w:tcPr>
            <w:tcW w:w="2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firstLine="0" w:firstLineChars="0"/>
              <w:jc w:val="left"/>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十、单位供水成本</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元/m³</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2.55 </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1.75 </w:t>
            </w:r>
          </w:p>
        </w:tc>
        <w:tc>
          <w:tcPr>
            <w:tcW w:w="207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firstLineChars="0"/>
              <w:jc w:val="center"/>
              <w:textAlignment w:val="center"/>
              <w:rPr>
                <w:rFonts w:ascii="宋体" w:hAnsi="宋体" w:eastAsia="宋体" w:cs="宋体"/>
                <w:color w:val="000000"/>
                <w:sz w:val="18"/>
                <w:szCs w:val="18"/>
                <w:lang w:bidi="ar"/>
              </w:rPr>
            </w:pPr>
            <w:r>
              <w:rPr>
                <w:rFonts w:hint="eastAsia" w:ascii="宋体" w:hAnsi="宋体" w:eastAsia="宋体" w:cs="宋体"/>
                <w:color w:val="000000"/>
                <w:sz w:val="18"/>
                <w:szCs w:val="18"/>
                <w:lang w:bidi="ar"/>
              </w:rPr>
              <w:t xml:space="preserve">-0.80 </w:t>
            </w:r>
          </w:p>
        </w:tc>
      </w:tr>
    </w:tbl>
    <w:p>
      <w:pPr>
        <w:ind w:firstLine="640"/>
        <w:rPr>
          <w:rFonts w:hint="eastAsia" w:ascii="Times New Roman" w:hAnsi="Times New Roman"/>
        </w:rPr>
      </w:pPr>
      <w:r>
        <w:rPr>
          <w:rFonts w:hint="eastAsia" w:ascii="Times New Roman" w:hAnsi="Times New Roman"/>
        </w:rPr>
        <w:t>九、其他需要说明的事项</w:t>
      </w:r>
    </w:p>
    <w:p>
      <w:pPr>
        <w:ind w:firstLine="640"/>
        <w:rPr>
          <w:rFonts w:hint="eastAsia"/>
        </w:rPr>
      </w:pPr>
      <w:r>
        <w:rPr>
          <w:rFonts w:hint="eastAsia"/>
        </w:rPr>
        <w:t>（一）本报告2018年、2019年、2020年的各项数字源自伊宁县杏祥供排水有限公司。依据该单位提供的审计报告以及企业财务报表、账簿、原始凭证基础上核算出伊宁县城镇供水定价成本。伊宁县杏祥供排水有限公司为提供的财务报表等会计资料其真实性、合法性负责。</w:t>
      </w:r>
    </w:p>
    <w:p>
      <w:pPr>
        <w:ind w:firstLine="640"/>
        <w:rPr>
          <w:rFonts w:hint="eastAsia"/>
        </w:rPr>
      </w:pPr>
      <w:r>
        <w:rPr>
          <w:rFonts w:hint="eastAsia"/>
        </w:rPr>
        <w:t>（二）参加本次</w:t>
      </w:r>
      <w:r>
        <w:rPr>
          <w:rFonts w:hint="eastAsia"/>
          <w:lang w:eastAsia="zh-CN"/>
        </w:rPr>
        <w:t>监审</w:t>
      </w:r>
      <w:r>
        <w:rPr>
          <w:rFonts w:hint="eastAsia"/>
        </w:rPr>
        <w:t>的工作人员与被</w:t>
      </w:r>
      <w:r>
        <w:rPr>
          <w:rFonts w:hint="eastAsia"/>
          <w:lang w:eastAsia="zh-CN"/>
        </w:rPr>
        <w:t>监审</w:t>
      </w:r>
      <w:r>
        <w:rPr>
          <w:rFonts w:hint="eastAsia"/>
        </w:rPr>
        <w:t>单位无任何利害关系。</w:t>
      </w:r>
    </w:p>
    <w:p>
      <w:pPr>
        <w:ind w:firstLine="640"/>
        <w:rPr>
          <w:rFonts w:hint="eastAsia"/>
        </w:rPr>
      </w:pPr>
      <w:r>
        <w:rPr>
          <w:rFonts w:hint="eastAsia"/>
        </w:rPr>
        <w:t>（三）本</w:t>
      </w:r>
      <w:r>
        <w:rPr>
          <w:rFonts w:hint="eastAsia"/>
          <w:lang w:eastAsia="zh-CN"/>
        </w:rPr>
        <w:t>监审</w:t>
      </w:r>
      <w:r>
        <w:rPr>
          <w:rFonts w:hint="eastAsia"/>
        </w:rPr>
        <w:t>报告中，所有以元为金额单位的表格或者文字表述，如存在总计数与各分项数值之和出现尾差，均为四舍五入原因造成；</w:t>
      </w:r>
    </w:p>
    <w:p>
      <w:pPr>
        <w:ind w:firstLine="640"/>
        <w:rPr>
          <w:rFonts w:hint="eastAsia"/>
        </w:rPr>
      </w:pPr>
      <w:r>
        <w:rPr>
          <w:rFonts w:hint="eastAsia"/>
        </w:rPr>
        <w:t>（四）本报告仅为政府价格主管部门价格决策服务。其他任何单位和个人引用本报告内容，可能会出现由于核算指标等概念不同形成的误差，本报告制作单位不承担责任。</w:t>
      </w:r>
    </w:p>
    <w:p>
      <w:pPr>
        <w:ind w:firstLine="640"/>
      </w:pPr>
      <w:r>
        <w:rPr>
          <w:rFonts w:hint="eastAsia"/>
        </w:rPr>
        <w:t>（五）凡使用本报告者均应妥善保管和慎重使用本报告。由于使用不妥或保管不善引起的纠纷或问题，责任自负。</w:t>
      </w:r>
    </w:p>
    <w:p>
      <w:pPr>
        <w:ind w:firstLine="640"/>
        <w:rPr>
          <w:rFonts w:hint="eastAsia"/>
        </w:rPr>
      </w:pPr>
      <w:r>
        <w:rPr>
          <w:rFonts w:hint="eastAsia"/>
        </w:rPr>
        <w:t>（六）未经</w:t>
      </w:r>
      <w:r>
        <w:rPr>
          <w:rFonts w:hint="eastAsia"/>
          <w:lang w:eastAsia="zh-CN"/>
        </w:rPr>
        <w:t>监审</w:t>
      </w:r>
      <w:r>
        <w:rPr>
          <w:rFonts w:hint="eastAsia"/>
        </w:rPr>
        <w:t>单位同意，不得转载、引用本报告内容和相关数据，一经发现将追究相关人员责任。</w:t>
      </w:r>
    </w:p>
    <w:p>
      <w:pPr>
        <w:ind w:firstLine="640"/>
        <w:rPr>
          <w:rFonts w:hint="eastAsia"/>
        </w:rPr>
      </w:pPr>
      <w:r>
        <w:rPr>
          <w:rFonts w:hint="eastAsia"/>
        </w:rPr>
        <w:t>（七）本报告有效期为</w:t>
      </w:r>
      <w:r>
        <w:rPr>
          <w:rFonts w:hint="eastAsia"/>
          <w:lang w:val="en-US" w:eastAsia="zh-CN"/>
        </w:rPr>
        <w:t>两</w:t>
      </w:r>
      <w:bookmarkStart w:id="0" w:name="_GoBack"/>
      <w:bookmarkEnd w:id="0"/>
      <w:r>
        <w:rPr>
          <w:rFonts w:hint="eastAsia"/>
        </w:rPr>
        <w:t>年。</w:t>
      </w:r>
    </w:p>
    <w:p>
      <w:pPr>
        <w:ind w:firstLine="640"/>
        <w:rPr>
          <w:rFonts w:hint="eastAsia"/>
        </w:rPr>
      </w:pPr>
    </w:p>
    <w:p>
      <w:pPr>
        <w:ind w:firstLine="640"/>
        <w:rPr>
          <w:rFonts w:hint="default" w:ascii="Times New Roman" w:hAnsi="Times New Roman"/>
          <w:lang w:val="en-US"/>
        </w:rPr>
      </w:pPr>
      <w:r>
        <w:rPr>
          <w:rFonts w:hint="eastAsia" w:ascii="Times New Roman" w:hAnsi="Times New Roman"/>
          <w:lang w:eastAsia="zh-CN"/>
        </w:rPr>
        <w:t>监审负责人：</w:t>
      </w:r>
      <w:r>
        <w:rPr>
          <w:rFonts w:hint="eastAsia" w:ascii="Times New Roman" w:hAnsi="Times New Roman"/>
          <w:lang w:val="en-US" w:eastAsia="zh-CN"/>
        </w:rPr>
        <w:t>李清建</w:t>
      </w:r>
    </w:p>
    <w:p>
      <w:pPr>
        <w:ind w:left="0" w:leftChars="0" w:firstLine="640" w:firstLineChars="200"/>
        <w:rPr>
          <w:rFonts w:hint="eastAsia" w:ascii="Times New Roman" w:hAnsi="Times New Roman"/>
        </w:rPr>
      </w:pPr>
      <w:r>
        <w:rPr>
          <w:rFonts w:hint="eastAsia" w:ascii="Times New Roman" w:hAnsi="Times New Roman"/>
          <w:lang w:eastAsia="zh-CN"/>
        </w:rPr>
        <w:t>监审人员：</w:t>
      </w:r>
      <w:r>
        <w:rPr>
          <w:rFonts w:hint="eastAsia" w:ascii="Times New Roman" w:hAnsi="Times New Roman"/>
          <w:lang w:val="en-US" w:eastAsia="zh-CN"/>
        </w:rPr>
        <w:t>艾克然木</w:t>
      </w:r>
    </w:p>
    <w:p>
      <w:pPr>
        <w:ind w:firstLine="640"/>
        <w:rPr>
          <w:rFonts w:hint="eastAsia" w:eastAsia="仿宋_GB2312"/>
          <w:lang w:eastAsia="zh-CN"/>
        </w:rPr>
      </w:pPr>
    </w:p>
    <w:p>
      <w:pPr>
        <w:ind w:firstLine="640"/>
        <w:rPr>
          <w:rFonts w:hint="eastAsia"/>
        </w:rPr>
      </w:pPr>
    </w:p>
    <w:p>
      <w:pPr>
        <w:ind w:firstLine="640"/>
        <w:jc w:val="right"/>
        <w:rPr>
          <w:rFonts w:hint="eastAsia"/>
          <w:lang w:eastAsia="zh-CN"/>
        </w:rPr>
      </w:pPr>
      <w:r>
        <w:rPr>
          <w:rFonts w:hint="eastAsia"/>
          <w:lang w:eastAsia="zh-CN"/>
        </w:rPr>
        <w:t>伊宁县发展和改革委员会</w:t>
      </w:r>
    </w:p>
    <w:p>
      <w:pPr>
        <w:ind w:firstLine="640"/>
        <w:jc w:val="center"/>
        <w:rPr>
          <w:rFonts w:hint="eastAsia"/>
        </w:rPr>
      </w:pPr>
      <w:r>
        <w:rPr>
          <w:rFonts w:hint="eastAsia"/>
          <w:lang w:val="en-US" w:eastAsia="zh-CN"/>
        </w:rPr>
        <w:t xml:space="preserve">                               </w:t>
      </w:r>
      <w:r>
        <w:rPr>
          <w:rFonts w:hint="eastAsia"/>
        </w:rPr>
        <w:t>202</w:t>
      </w:r>
      <w:r>
        <w:rPr>
          <w:rFonts w:hint="eastAsia"/>
          <w:lang w:val="en-US" w:eastAsia="zh-CN"/>
        </w:rPr>
        <w:t>3</w:t>
      </w:r>
      <w:r>
        <w:rPr>
          <w:rFonts w:hint="eastAsia"/>
        </w:rPr>
        <w:t>年5月9日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C89EF"/>
    <w:multiLevelType w:val="singleLevel"/>
    <w:tmpl w:val="AC5C89EF"/>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B4894"/>
    <w:rsid w:val="091804FF"/>
    <w:rsid w:val="4A4B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topLinePunct/>
      <w:spacing w:line="540" w:lineRule="exact"/>
      <w:ind w:firstLine="720" w:firstLineChars="200"/>
      <w:jc w:val="both"/>
    </w:pPr>
    <w:rPr>
      <w:rFonts w:ascii="Times New Roman" w:hAnsi="Times New Roman" w:eastAsia="仿宋_GB2312" w:cs="Times New Roman"/>
      <w:w w:val="100"/>
      <w:sz w:val="32"/>
      <w:szCs w:val="30"/>
      <w:shd w:val="clear" w:color="auto" w:fill="auto"/>
    </w:rPr>
  </w:style>
  <w:style w:type="paragraph" w:styleId="6">
    <w:name w:val="heading 1"/>
    <w:basedOn w:val="1"/>
    <w:next w:val="1"/>
    <w:qFormat/>
    <w:uiPriority w:val="7"/>
    <w:pPr>
      <w:jc w:val="both"/>
      <w:outlineLvl w:val="0"/>
    </w:pPr>
    <w:rPr>
      <w:rFonts w:ascii="Malgun Gothic" w:hAnsi="Malgun Gothic" w:eastAsia="Malgun Gothic" w:cs="Times New Roman"/>
      <w:w w:val="100"/>
      <w:sz w:val="28"/>
      <w:szCs w:val="28"/>
      <w:shd w:val="clear" w:color="auto" w:fill="auto"/>
    </w:rPr>
  </w:style>
  <w:style w:type="paragraph" w:styleId="7">
    <w:name w:val="heading 4"/>
    <w:basedOn w:val="1"/>
    <w:next w:val="1"/>
    <w:qFormat/>
    <w:uiPriority w:val="10"/>
    <w:pPr>
      <w:ind w:left="1200" w:hanging="400"/>
      <w:jc w:val="both"/>
      <w:outlineLvl w:val="3"/>
    </w:pPr>
    <w:rPr>
      <w:rFonts w:ascii="Malgun Gothic" w:hAnsi="Malgun Gothic" w:eastAsia="Malgun Gothic" w:cs="Times New Roman"/>
      <w:b/>
      <w:w w:val="100"/>
      <w:sz w:val="21"/>
      <w:szCs w:val="21"/>
      <w:shd w:val="clear" w:color="auto" w:fill="auto"/>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pPr>
    <w:rPr>
      <w:rFonts w:ascii="Times New Roman" w:hAnsi="Times New Roman"/>
      <w:b/>
      <w:bCs/>
    </w:rPr>
  </w:style>
  <w:style w:type="paragraph" w:styleId="3">
    <w:name w:val="Body Text Indent"/>
    <w:basedOn w:val="1"/>
    <w:next w:val="1"/>
    <w:qFormat/>
    <w:uiPriority w:val="0"/>
    <w:pPr>
      <w:ind w:firstLine="560" w:firstLineChars="200"/>
    </w:pPr>
    <w:rPr>
      <w:rFonts w:ascii="宋体" w:hAnsi="宋体"/>
      <w:color w:val="FF0000"/>
      <w:kern w:val="0"/>
      <w:sz w:val="28"/>
      <w:szCs w:val="20"/>
    </w:rPr>
  </w:style>
  <w:style w:type="paragraph" w:styleId="4">
    <w:name w:val="Plain Text"/>
    <w:basedOn w:val="1"/>
    <w:next w:val="5"/>
    <w:qFormat/>
    <w:uiPriority w:val="0"/>
    <w:rPr>
      <w:rFonts w:ascii="宋体" w:hAnsi="Courier New" w:cs="Courier New"/>
      <w:szCs w:val="21"/>
    </w:rPr>
  </w:style>
  <w:style w:type="paragraph" w:styleId="5">
    <w:name w:val="List Number 5"/>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2023-06-06T09:41:00Z</dcterms:created>
  <dc:creator>RL</dc:creator>
  <cp:lastModifiedBy>RL</cp:lastModifiedBy>
  <dcterms:modified xsi:type="dcterms:W3CDTF">2023-06-06T09:47:45Z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