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_GB2312"/>
          <w:b/>
          <w:kern w:val="0"/>
          <w:sz w:val="52"/>
          <w:szCs w:val="52"/>
        </w:rPr>
      </w:pPr>
    </w:p>
    <w:p>
      <w:pPr>
        <w:spacing w:line="560" w:lineRule="exact"/>
        <w:rPr>
          <w:rFonts w:eastAsia="仿宋_GB2312"/>
          <w:b/>
          <w:kern w:val="0"/>
          <w:sz w:val="52"/>
          <w:szCs w:val="52"/>
        </w:rPr>
      </w:pPr>
    </w:p>
    <w:p>
      <w:pPr>
        <w:spacing w:line="560" w:lineRule="exact"/>
        <w:rPr>
          <w:rFonts w:eastAsia="仿宋_GB2312"/>
          <w:b/>
          <w:kern w:val="0"/>
          <w:sz w:val="52"/>
          <w:szCs w:val="52"/>
        </w:rPr>
      </w:pPr>
    </w:p>
    <w:p>
      <w:pPr>
        <w:spacing w:line="560" w:lineRule="exact"/>
        <w:rPr>
          <w:rFonts w:eastAsia="仿宋_GB2312"/>
          <w:b/>
          <w:kern w:val="0"/>
          <w:sz w:val="52"/>
          <w:szCs w:val="52"/>
        </w:rPr>
      </w:pPr>
    </w:p>
    <w:p>
      <w:pPr>
        <w:spacing w:line="560" w:lineRule="exact"/>
        <w:rPr>
          <w:rFonts w:hint="eastAsia" w:ascii="仿宋" w:hAnsi="仿宋" w:eastAsia="仿宋" w:cs="仿宋"/>
          <w:b/>
          <w:bCs w:val="0"/>
          <w:kern w:val="0"/>
          <w:sz w:val="52"/>
          <w:szCs w:val="52"/>
        </w:rPr>
      </w:pPr>
    </w:p>
    <w:p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kern w:val="0"/>
          <w:sz w:val="52"/>
          <w:szCs w:val="52"/>
        </w:rPr>
      </w:pPr>
      <w:r>
        <w:rPr>
          <w:rFonts w:hint="eastAsia" w:ascii="仿宋" w:hAnsi="仿宋" w:eastAsia="仿宋" w:cs="仿宋"/>
          <w:b/>
          <w:bCs w:val="0"/>
          <w:kern w:val="0"/>
          <w:sz w:val="52"/>
          <w:szCs w:val="52"/>
        </w:rPr>
        <w:t>伊</w:t>
      </w:r>
      <w:r>
        <w:rPr>
          <w:rFonts w:hint="eastAsia" w:ascii="仿宋" w:hAnsi="仿宋" w:eastAsia="仿宋" w:cs="仿宋"/>
          <w:b/>
          <w:bCs w:val="0"/>
          <w:kern w:val="0"/>
          <w:sz w:val="52"/>
          <w:szCs w:val="52"/>
          <w:lang w:val="en-US" w:eastAsia="zh-CN"/>
        </w:rPr>
        <w:t>宁县</w:t>
      </w:r>
      <w:r>
        <w:rPr>
          <w:rFonts w:hint="eastAsia" w:ascii="仿宋" w:hAnsi="仿宋" w:eastAsia="仿宋" w:cs="仿宋"/>
          <w:b/>
          <w:bCs w:val="0"/>
          <w:kern w:val="0"/>
          <w:sz w:val="52"/>
          <w:szCs w:val="52"/>
        </w:rPr>
        <w:t>城乡居民医疗保险</w:t>
      </w:r>
    </w:p>
    <w:p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kern w:val="0"/>
          <w:sz w:val="52"/>
          <w:szCs w:val="52"/>
        </w:rPr>
      </w:pPr>
      <w:r>
        <w:rPr>
          <w:rFonts w:hint="eastAsia" w:ascii="仿宋" w:hAnsi="仿宋" w:eastAsia="仿宋" w:cs="仿宋"/>
          <w:b/>
          <w:bCs w:val="0"/>
          <w:kern w:val="0"/>
          <w:sz w:val="52"/>
          <w:szCs w:val="52"/>
        </w:rPr>
        <w:t>支出绩效评价报告</w:t>
      </w:r>
    </w:p>
    <w:p>
      <w:pPr>
        <w:spacing w:line="560" w:lineRule="exact"/>
        <w:rPr>
          <w:rFonts w:eastAsia="仿宋_GB2312"/>
          <w:b/>
          <w:kern w:val="0"/>
          <w:sz w:val="52"/>
          <w:szCs w:val="52"/>
        </w:rPr>
      </w:pPr>
    </w:p>
    <w:p>
      <w:pPr>
        <w:spacing w:line="560" w:lineRule="exact"/>
        <w:jc w:val="center"/>
        <w:rPr>
          <w:rFonts w:eastAsia="仿宋_GB2312"/>
          <w:b/>
          <w:bCs/>
          <w:kern w:val="0"/>
          <w:sz w:val="36"/>
          <w:szCs w:val="36"/>
        </w:rPr>
      </w:pPr>
      <w:r>
        <w:rPr>
          <w:rFonts w:eastAsia="仿宋_GB2312"/>
          <w:b/>
          <w:bCs/>
          <w:kern w:val="0"/>
          <w:sz w:val="36"/>
          <w:szCs w:val="36"/>
        </w:rPr>
        <w:t>（20</w:t>
      </w:r>
      <w:r>
        <w:rPr>
          <w:rFonts w:hint="eastAsia" w:eastAsia="仿宋_GB2312"/>
          <w:b/>
          <w:bCs/>
          <w:kern w:val="0"/>
          <w:sz w:val="36"/>
          <w:szCs w:val="36"/>
          <w:lang w:val="en-US" w:eastAsia="zh-CN"/>
        </w:rPr>
        <w:t>20</w:t>
      </w:r>
      <w:r>
        <w:rPr>
          <w:rFonts w:eastAsia="仿宋_GB2312"/>
          <w:b/>
          <w:bCs/>
          <w:kern w:val="0"/>
          <w:sz w:val="36"/>
          <w:szCs w:val="36"/>
        </w:rPr>
        <w:t>年度）</w:t>
      </w:r>
    </w:p>
    <w:p>
      <w:pPr>
        <w:spacing w:line="560" w:lineRule="exact"/>
        <w:rPr>
          <w:rFonts w:eastAsia="仿宋_GB2312"/>
          <w:kern w:val="0"/>
          <w:sz w:val="30"/>
          <w:szCs w:val="30"/>
        </w:rPr>
      </w:pPr>
    </w:p>
    <w:p>
      <w:pPr>
        <w:spacing w:line="560" w:lineRule="exact"/>
        <w:rPr>
          <w:rFonts w:eastAsia="仿宋_GB2312"/>
          <w:kern w:val="0"/>
          <w:sz w:val="30"/>
          <w:szCs w:val="30"/>
        </w:rPr>
      </w:pPr>
    </w:p>
    <w:p>
      <w:pPr>
        <w:spacing w:line="560" w:lineRule="exact"/>
        <w:rPr>
          <w:rFonts w:eastAsia="仿宋_GB2312"/>
          <w:kern w:val="0"/>
          <w:sz w:val="30"/>
          <w:szCs w:val="30"/>
        </w:rPr>
      </w:pPr>
    </w:p>
    <w:p>
      <w:pPr>
        <w:spacing w:line="560" w:lineRule="exact"/>
        <w:rPr>
          <w:rFonts w:eastAsia="仿宋_GB2312"/>
          <w:kern w:val="0"/>
          <w:sz w:val="30"/>
          <w:szCs w:val="30"/>
        </w:rPr>
      </w:pPr>
    </w:p>
    <w:p>
      <w:pPr>
        <w:spacing w:line="560" w:lineRule="exact"/>
        <w:rPr>
          <w:rFonts w:eastAsia="仿宋_GB2312"/>
          <w:kern w:val="0"/>
          <w:sz w:val="30"/>
          <w:szCs w:val="30"/>
        </w:rPr>
      </w:pPr>
    </w:p>
    <w:p>
      <w:pPr>
        <w:spacing w:line="560" w:lineRule="exact"/>
        <w:rPr>
          <w:rFonts w:eastAsia="仿宋_GB2312"/>
          <w:kern w:val="0"/>
          <w:sz w:val="30"/>
          <w:szCs w:val="30"/>
        </w:rPr>
      </w:pPr>
    </w:p>
    <w:p>
      <w:pPr>
        <w:spacing w:line="560" w:lineRule="exact"/>
        <w:rPr>
          <w:rFonts w:eastAsia="仿宋_GB2312"/>
          <w:kern w:val="0"/>
          <w:sz w:val="30"/>
          <w:szCs w:val="30"/>
        </w:rPr>
      </w:pPr>
    </w:p>
    <w:p>
      <w:pPr>
        <w:spacing w:line="560" w:lineRule="exact"/>
        <w:rPr>
          <w:rFonts w:eastAsia="仿宋_GB2312"/>
          <w:kern w:val="0"/>
          <w:sz w:val="30"/>
          <w:szCs w:val="30"/>
        </w:rPr>
      </w:pPr>
    </w:p>
    <w:p>
      <w:pPr>
        <w:spacing w:line="560" w:lineRule="exact"/>
        <w:ind w:firstLine="904" w:firstLineChars="250"/>
        <w:jc w:val="left"/>
        <w:rPr>
          <w:rFonts w:eastAsia="仿宋_GB2312"/>
          <w:b/>
          <w:bCs/>
          <w:kern w:val="0"/>
          <w:sz w:val="36"/>
          <w:szCs w:val="36"/>
        </w:rPr>
      </w:pPr>
      <w:r>
        <w:rPr>
          <w:rFonts w:eastAsia="仿宋_GB2312"/>
          <w:b/>
          <w:bCs/>
          <w:kern w:val="0"/>
          <w:sz w:val="36"/>
          <w:szCs w:val="36"/>
        </w:rPr>
        <w:t>项目名称：</w:t>
      </w:r>
      <w:r>
        <w:rPr>
          <w:rFonts w:hint="eastAsia" w:eastAsia="仿宋_GB2312"/>
          <w:b/>
          <w:bCs/>
          <w:kern w:val="0"/>
          <w:sz w:val="36"/>
          <w:szCs w:val="36"/>
        </w:rPr>
        <w:t>城乡居民医疗保险基金支出</w:t>
      </w:r>
    </w:p>
    <w:p>
      <w:pPr>
        <w:spacing w:line="560" w:lineRule="exact"/>
        <w:ind w:firstLine="904" w:firstLineChars="250"/>
        <w:jc w:val="left"/>
        <w:rPr>
          <w:rFonts w:hint="eastAsia" w:eastAsia="仿宋_GB2312"/>
          <w:b/>
          <w:bCs/>
          <w:kern w:val="0"/>
          <w:sz w:val="36"/>
          <w:szCs w:val="36"/>
        </w:rPr>
      </w:pPr>
      <w:r>
        <w:rPr>
          <w:rFonts w:eastAsia="仿宋_GB2312"/>
          <w:b/>
          <w:bCs/>
          <w:kern w:val="0"/>
          <w:sz w:val="36"/>
          <w:szCs w:val="36"/>
        </w:rPr>
        <w:t>实施单位（公章）：</w:t>
      </w:r>
      <w:r>
        <w:rPr>
          <w:rFonts w:hint="eastAsia" w:eastAsia="仿宋_GB2312"/>
          <w:b/>
          <w:bCs/>
          <w:kern w:val="0"/>
          <w:sz w:val="36"/>
          <w:szCs w:val="36"/>
        </w:rPr>
        <w:t>伊</w:t>
      </w:r>
      <w:r>
        <w:rPr>
          <w:rFonts w:hint="eastAsia" w:eastAsia="仿宋_GB2312"/>
          <w:b/>
          <w:bCs/>
          <w:kern w:val="0"/>
          <w:sz w:val="36"/>
          <w:szCs w:val="36"/>
          <w:lang w:val="en-US" w:eastAsia="zh-CN"/>
        </w:rPr>
        <w:t>宁县</w:t>
      </w:r>
      <w:r>
        <w:rPr>
          <w:rFonts w:hint="eastAsia" w:eastAsia="仿宋_GB2312"/>
          <w:b/>
          <w:bCs/>
          <w:kern w:val="0"/>
          <w:sz w:val="36"/>
          <w:szCs w:val="36"/>
        </w:rPr>
        <w:t>医疗保障局</w:t>
      </w:r>
    </w:p>
    <w:p>
      <w:pPr>
        <w:spacing w:line="560" w:lineRule="exact"/>
        <w:ind w:firstLine="853" w:firstLineChars="236"/>
        <w:jc w:val="left"/>
        <w:rPr>
          <w:rFonts w:hint="eastAsia" w:eastAsia="仿宋_GB2312"/>
          <w:b/>
          <w:bCs/>
          <w:kern w:val="0"/>
          <w:sz w:val="36"/>
          <w:szCs w:val="36"/>
          <w:lang w:val="en-US" w:eastAsia="zh-CN"/>
        </w:rPr>
      </w:pPr>
      <w:r>
        <w:rPr>
          <w:rFonts w:eastAsia="仿宋_GB2312"/>
          <w:b/>
          <w:bCs/>
          <w:kern w:val="0"/>
          <w:sz w:val="36"/>
          <w:szCs w:val="36"/>
        </w:rPr>
        <w:t>负 责 人（签章）：</w:t>
      </w:r>
      <w:r>
        <w:rPr>
          <w:rFonts w:hint="eastAsia" w:eastAsia="仿宋_GB2312"/>
          <w:b/>
          <w:bCs/>
          <w:kern w:val="0"/>
          <w:sz w:val="36"/>
          <w:szCs w:val="36"/>
          <w:lang w:val="en-US" w:eastAsia="zh-CN"/>
        </w:rPr>
        <w:t>何颖</w:t>
      </w:r>
    </w:p>
    <w:p>
      <w:pPr>
        <w:spacing w:line="560" w:lineRule="exact"/>
        <w:ind w:firstLine="853" w:firstLineChars="236"/>
        <w:jc w:val="left"/>
        <w:rPr>
          <w:rFonts w:eastAsia="仿宋_GB2312"/>
          <w:b/>
          <w:bCs/>
          <w:kern w:val="0"/>
          <w:sz w:val="36"/>
          <w:szCs w:val="36"/>
        </w:rPr>
      </w:pPr>
      <w:r>
        <w:rPr>
          <w:rFonts w:eastAsia="仿宋_GB2312"/>
          <w:b/>
          <w:bCs/>
          <w:kern w:val="0"/>
          <w:sz w:val="36"/>
          <w:szCs w:val="36"/>
        </w:rPr>
        <w:t>填报时间：</w:t>
      </w:r>
      <w:r>
        <w:rPr>
          <w:rFonts w:eastAsia="楷体_GB2312"/>
          <w:b/>
          <w:bCs/>
          <w:kern w:val="0"/>
          <w:sz w:val="36"/>
          <w:szCs w:val="36"/>
        </w:rPr>
        <w:t>202</w:t>
      </w:r>
      <w:r>
        <w:rPr>
          <w:rFonts w:hint="eastAsia" w:eastAsia="楷体_GB2312"/>
          <w:b/>
          <w:bCs/>
          <w:kern w:val="0"/>
          <w:sz w:val="36"/>
          <w:szCs w:val="36"/>
          <w:lang w:val="en-US" w:eastAsia="zh-CN"/>
        </w:rPr>
        <w:t>1</w:t>
      </w:r>
      <w:r>
        <w:rPr>
          <w:rFonts w:eastAsia="楷体_GB2312"/>
          <w:b/>
          <w:bCs/>
          <w:kern w:val="0"/>
          <w:sz w:val="36"/>
          <w:szCs w:val="36"/>
        </w:rPr>
        <w:t>年</w:t>
      </w:r>
      <w:r>
        <w:rPr>
          <w:rFonts w:hint="eastAsia" w:eastAsia="楷体_GB2312"/>
          <w:b/>
          <w:bCs/>
          <w:kern w:val="0"/>
          <w:sz w:val="36"/>
          <w:szCs w:val="36"/>
          <w:lang w:val="en-US" w:eastAsia="zh-CN"/>
        </w:rPr>
        <w:t>8</w:t>
      </w:r>
      <w:r>
        <w:rPr>
          <w:rFonts w:eastAsia="楷体_GB2312"/>
          <w:b/>
          <w:bCs/>
          <w:kern w:val="0"/>
          <w:sz w:val="36"/>
          <w:szCs w:val="36"/>
        </w:rPr>
        <w:t>月</w:t>
      </w:r>
      <w:r>
        <w:rPr>
          <w:rFonts w:hint="eastAsia" w:eastAsia="楷体_GB2312"/>
          <w:b/>
          <w:bCs/>
          <w:kern w:val="0"/>
          <w:sz w:val="36"/>
          <w:szCs w:val="36"/>
          <w:lang w:val="en-US" w:eastAsia="zh-CN"/>
        </w:rPr>
        <w:t>13</w:t>
      </w:r>
      <w:r>
        <w:rPr>
          <w:rFonts w:eastAsia="楷体_GB2312"/>
          <w:b/>
          <w:bCs/>
          <w:kern w:val="0"/>
          <w:sz w:val="36"/>
          <w:szCs w:val="36"/>
        </w:rPr>
        <w:t>日</w:t>
      </w:r>
    </w:p>
    <w:p>
      <w:pPr>
        <w:spacing w:line="560" w:lineRule="exact"/>
        <w:rPr>
          <w:rStyle w:val="20"/>
          <w:rFonts w:eastAsia="仿宋_GB2312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/>
        <w:rPr>
          <w:rStyle w:val="20"/>
          <w:rFonts w:eastAsia="黑体"/>
          <w:b w:val="0"/>
          <w:spacing w:val="-4"/>
          <w:sz w:val="32"/>
          <w:szCs w:val="32"/>
        </w:rPr>
      </w:pPr>
      <w:r>
        <w:rPr>
          <w:rStyle w:val="20"/>
          <w:rFonts w:hAnsi="黑体" w:eastAsia="黑体"/>
          <w:b w:val="0"/>
          <w:spacing w:val="-4"/>
          <w:sz w:val="32"/>
          <w:szCs w:val="32"/>
        </w:rPr>
        <w:t>一、医疗</w:t>
      </w:r>
      <w:r>
        <w:rPr>
          <w:rStyle w:val="20"/>
          <w:rFonts w:hint="eastAsia" w:hAnsi="黑体" w:eastAsia="黑体"/>
          <w:b w:val="0"/>
          <w:spacing w:val="-4"/>
          <w:sz w:val="32"/>
          <w:szCs w:val="32"/>
        </w:rPr>
        <w:t>保障</w:t>
      </w:r>
      <w:r>
        <w:rPr>
          <w:rStyle w:val="20"/>
          <w:rFonts w:hAnsi="黑体" w:eastAsia="黑体"/>
          <w:b w:val="0"/>
          <w:spacing w:val="-4"/>
          <w:sz w:val="32"/>
          <w:szCs w:val="32"/>
        </w:rPr>
        <w:t>基金收支余总体情况</w:t>
      </w:r>
    </w:p>
    <w:p>
      <w:pPr>
        <w:adjustRightInd w:val="0"/>
        <w:snapToGrid w:val="0"/>
        <w:spacing w:line="560" w:lineRule="exact"/>
        <w:ind w:firstLine="567"/>
        <w:rPr>
          <w:rStyle w:val="20"/>
          <w:rFonts w:ascii="楷体_GB2312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eastAsia="楷体_GB2312"/>
          <w:spacing w:val="-4"/>
          <w:sz w:val="32"/>
          <w:szCs w:val="32"/>
        </w:rPr>
        <w:t>（一）医疗保险基金总体情况</w:t>
      </w:r>
    </w:p>
    <w:p>
      <w:pPr>
        <w:ind w:firstLine="750" w:firstLineChars="250"/>
        <w:rPr>
          <w:rFonts w:hint="eastAsia" w:ascii="仿宋" w:hAnsi="仿宋" w:eastAsia="仿宋" w:cs="Arial"/>
          <w:color w:val="333333"/>
          <w:sz w:val="30"/>
          <w:szCs w:val="30"/>
        </w:rPr>
      </w:pPr>
      <w:r>
        <w:rPr>
          <w:rFonts w:hint="eastAsia" w:ascii="仿宋" w:hAnsi="仿宋" w:eastAsia="仿宋" w:cs="Arial"/>
          <w:color w:val="333333"/>
          <w:sz w:val="30"/>
          <w:szCs w:val="30"/>
        </w:rPr>
        <w:t>2019年2月2</w:t>
      </w:r>
      <w:r>
        <w:rPr>
          <w:rFonts w:ascii="仿宋" w:hAnsi="仿宋" w:eastAsia="仿宋" w:cs="Arial"/>
          <w:color w:val="333333"/>
          <w:sz w:val="30"/>
          <w:szCs w:val="30"/>
        </w:rPr>
        <w:t>8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日，伊宁县医疗保障局正式挂牌成立</w:t>
      </w:r>
      <w:r>
        <w:rPr>
          <w:rFonts w:hint="eastAsia" w:ascii="仿宋" w:hAnsi="仿宋" w:eastAsia="仿宋" w:cs="Arial"/>
          <w:color w:val="333333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主要工作职责是：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贯彻执行国家、省、州医疗保险、生育保险、医疗救助等医疗保障制度，执行落实自治区医疗保障制度的法规规章、政策、规划和补助；执行落实自治区人身意外伤害保险、大额医疗补助、公务员医疗补助、企事业单位补充医疗保险、离休人员和优抚对象医疗保障政策、管理办法。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伊宁县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医疗保障部门按照国家、自治区医疗保障工作要点，切实强化预决算管理，规范优化收支和经办流程，加强医保基金监管，确保医保基金基金安全和可持续，有效发挥医疗保障是事关人民健康福祉的重大民生工程、是实现社会稳定的重要压舱石、是构建和谐社会的重要减压阀的功能作用。</w:t>
      </w:r>
    </w:p>
    <w:p>
      <w:pPr>
        <w:spacing w:line="560" w:lineRule="exact"/>
        <w:ind w:firstLine="567"/>
        <w:rPr>
          <w:rFonts w:hint="eastAsia" w:ascii="仿宋" w:hAnsi="仿宋" w:eastAsia="仿宋" w:cs="Arial"/>
          <w:color w:val="333333"/>
          <w:sz w:val="30"/>
          <w:szCs w:val="30"/>
          <w:lang w:eastAsia="zh-CN"/>
        </w:rPr>
      </w:pPr>
      <w:r>
        <w:rPr>
          <w:rFonts w:hint="eastAsia" w:ascii="仿宋" w:hAnsi="仿宋" w:eastAsia="仿宋" w:cs="Arial"/>
          <w:color w:val="333333"/>
          <w:sz w:val="30"/>
          <w:szCs w:val="30"/>
          <w:lang w:eastAsia="zh-CN"/>
        </w:rPr>
        <w:t>一、</w:t>
      </w:r>
      <w:r>
        <w:rPr>
          <w:rStyle w:val="20"/>
          <w:rFonts w:hint="eastAsia" w:eastAsia="仿宋_GB2312"/>
          <w:spacing w:val="-4"/>
          <w:sz w:val="32"/>
          <w:szCs w:val="32"/>
        </w:rPr>
        <w:t>城乡居民</w:t>
      </w:r>
      <w:r>
        <w:rPr>
          <w:rStyle w:val="20"/>
          <w:rFonts w:eastAsia="仿宋_GB2312"/>
          <w:spacing w:val="-4"/>
          <w:sz w:val="32"/>
          <w:szCs w:val="32"/>
        </w:rPr>
        <w:t>医疗保险基金</w:t>
      </w:r>
      <w:r>
        <w:rPr>
          <w:rStyle w:val="20"/>
          <w:rFonts w:hint="eastAsia" w:ascii="仿宋_GB2312" w:hAnsi="仿宋_GB2312" w:eastAsia="仿宋_GB2312" w:cs="仿宋_GB2312"/>
          <w:b/>
          <w:bCs w:val="0"/>
          <w:spacing w:val="-4"/>
          <w:sz w:val="30"/>
          <w:szCs w:val="30"/>
        </w:rPr>
        <w:t>总体情况</w:t>
      </w:r>
    </w:p>
    <w:p>
      <w:pPr>
        <w:ind w:firstLine="600" w:firstLineChars="200"/>
        <w:rPr>
          <w:rFonts w:hint="eastAsia" w:ascii="仿宋" w:hAnsi="仿宋" w:eastAsia="仿宋" w:cs="Arial"/>
          <w:color w:val="333333"/>
          <w:sz w:val="30"/>
          <w:szCs w:val="30"/>
        </w:rPr>
      </w:pPr>
      <w:r>
        <w:rPr>
          <w:rFonts w:hint="eastAsia" w:ascii="仿宋" w:hAnsi="仿宋" w:eastAsia="仿宋" w:cs="Arial"/>
          <w:color w:val="333333"/>
          <w:sz w:val="30"/>
          <w:szCs w:val="30"/>
        </w:rPr>
        <w:t>20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年，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我县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城乡居民基本医疗保险基金本年收入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26434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bCs/>
          <w:sz w:val="30"/>
          <w:szCs w:val="30"/>
          <w:highlight w:val="none"/>
          <w:lang w:eastAsia="zh-CN"/>
        </w:rPr>
        <w:t>（收入小计不含上下级往来）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，其中：个人缴费收入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9814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万元，财政补贴收入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16583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万元。本年支出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13906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bCs/>
          <w:sz w:val="30"/>
          <w:szCs w:val="30"/>
          <w:highlight w:val="none"/>
          <w:lang w:eastAsia="zh-CN"/>
        </w:rPr>
        <w:t>（支出小计不含上下级往来）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，其中，基本医疗保险待遇支出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13906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万元。本年收支结余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776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万元，年末滚存结余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1172</w:t>
      </w:r>
      <w:r>
        <w:rPr>
          <w:rFonts w:hint="eastAsia" w:ascii="仿宋" w:hAnsi="仿宋" w:eastAsia="仿宋" w:cs="Arial"/>
          <w:color w:val="333333"/>
          <w:sz w:val="30"/>
          <w:szCs w:val="30"/>
        </w:rPr>
        <w:t>万元。</w:t>
      </w:r>
    </w:p>
    <w:p>
      <w:pPr>
        <w:adjustRightInd w:val="0"/>
        <w:snapToGrid w:val="0"/>
        <w:spacing w:line="560" w:lineRule="exact"/>
        <w:ind w:firstLine="567"/>
        <w:rPr>
          <w:rStyle w:val="20"/>
          <w:rFonts w:eastAsia="仿宋_GB2312"/>
          <w:spacing w:val="-4"/>
          <w:sz w:val="32"/>
          <w:szCs w:val="32"/>
        </w:rPr>
      </w:pPr>
      <w:r>
        <w:rPr>
          <w:rStyle w:val="20"/>
          <w:rFonts w:eastAsia="仿宋_GB2312"/>
          <w:spacing w:val="-4"/>
          <w:sz w:val="32"/>
          <w:szCs w:val="32"/>
        </w:rPr>
        <w:t>（</w:t>
      </w:r>
      <w:r>
        <w:rPr>
          <w:rStyle w:val="20"/>
          <w:rFonts w:hint="eastAsia" w:eastAsia="仿宋_GB2312"/>
          <w:spacing w:val="-4"/>
          <w:sz w:val="32"/>
          <w:szCs w:val="32"/>
          <w:lang w:eastAsia="zh-CN"/>
        </w:rPr>
        <w:t>一</w:t>
      </w:r>
      <w:r>
        <w:rPr>
          <w:rStyle w:val="20"/>
          <w:rFonts w:eastAsia="仿宋_GB2312"/>
          <w:spacing w:val="-4"/>
          <w:sz w:val="32"/>
          <w:szCs w:val="32"/>
        </w:rPr>
        <w:t>）</w:t>
      </w:r>
      <w:r>
        <w:rPr>
          <w:rStyle w:val="20"/>
          <w:rFonts w:hint="eastAsia" w:eastAsia="仿宋_GB2312"/>
          <w:spacing w:val="-4"/>
          <w:sz w:val="32"/>
          <w:szCs w:val="32"/>
        </w:rPr>
        <w:t>城乡居民</w:t>
      </w:r>
      <w:r>
        <w:rPr>
          <w:rStyle w:val="20"/>
          <w:rFonts w:eastAsia="仿宋_GB2312"/>
          <w:spacing w:val="-4"/>
          <w:sz w:val="32"/>
          <w:szCs w:val="32"/>
        </w:rPr>
        <w:t>医疗保险基金支出预算绩效目标设定情况</w:t>
      </w:r>
    </w:p>
    <w:p>
      <w:pPr>
        <w:adjustRightInd w:val="0"/>
        <w:snapToGrid w:val="0"/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pacing w:val="-6"/>
          <w:sz w:val="32"/>
          <w:szCs w:val="32"/>
        </w:rPr>
        <w:t>0</w:t>
      </w:r>
      <w:r>
        <w:rPr>
          <w:rFonts w:hint="eastAsia" w:eastAsia="仿宋_GB2312"/>
          <w:spacing w:val="-6"/>
          <w:sz w:val="32"/>
          <w:szCs w:val="32"/>
          <w:lang w:val="en-US" w:eastAsia="zh-CN"/>
        </w:rPr>
        <w:t>20</w:t>
      </w:r>
      <w:r>
        <w:rPr>
          <w:rFonts w:eastAsia="仿宋_GB2312"/>
          <w:spacing w:val="-6"/>
          <w:sz w:val="32"/>
          <w:szCs w:val="32"/>
        </w:rPr>
        <w:t>年预算</w:t>
      </w:r>
      <w:r>
        <w:rPr>
          <w:rFonts w:eastAsia="仿宋_GB2312"/>
          <w:bCs/>
          <w:spacing w:val="-6"/>
          <w:sz w:val="32"/>
          <w:szCs w:val="32"/>
        </w:rPr>
        <w:t>城乡居民医保基金</w:t>
      </w:r>
      <w:r>
        <w:rPr>
          <w:rFonts w:eastAsia="仿宋_GB2312"/>
          <w:spacing w:val="-6"/>
          <w:sz w:val="32"/>
          <w:szCs w:val="32"/>
        </w:rPr>
        <w:t>总支出</w:t>
      </w:r>
      <w:r>
        <w:rPr>
          <w:rFonts w:hint="eastAsia" w:eastAsia="仿宋_GB2312"/>
          <w:spacing w:val="-6"/>
          <w:sz w:val="32"/>
          <w:szCs w:val="32"/>
          <w:lang w:val="en-US" w:eastAsia="zh-CN"/>
        </w:rPr>
        <w:t>25068</w:t>
      </w:r>
      <w:r>
        <w:rPr>
          <w:rFonts w:eastAsia="仿宋_GB2312"/>
          <w:spacing w:val="-6"/>
          <w:sz w:val="32"/>
          <w:szCs w:val="32"/>
        </w:rPr>
        <w:t>万元</w:t>
      </w:r>
      <w:r>
        <w:rPr>
          <w:rFonts w:hint="eastAsia" w:eastAsia="仿宋_GB2312"/>
          <w:spacing w:val="-6"/>
          <w:sz w:val="32"/>
          <w:szCs w:val="32"/>
          <w:lang w:eastAsia="zh-CN"/>
        </w:rPr>
        <w:t>，</w:t>
      </w:r>
      <w:r>
        <w:rPr>
          <w:rFonts w:eastAsia="仿宋_GB2312"/>
          <w:sz w:val="32"/>
          <w:szCs w:val="32"/>
        </w:rPr>
        <w:t>预算支出执行目标9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%以</w:t>
      </w:r>
      <w:r>
        <w:rPr>
          <w:rFonts w:hint="eastAsia" w:eastAsia="仿宋_GB2312"/>
          <w:sz w:val="32"/>
          <w:szCs w:val="32"/>
          <w:lang w:val="en-US" w:eastAsia="zh-CN"/>
        </w:rPr>
        <w:t>下。</w:t>
      </w:r>
    </w:p>
    <w:p>
      <w:pPr>
        <w:adjustRightInd w:val="0"/>
        <w:snapToGrid w:val="0"/>
        <w:spacing w:line="560" w:lineRule="exact"/>
        <w:ind w:firstLine="640"/>
        <w:rPr>
          <w:rStyle w:val="20"/>
          <w:rFonts w:eastAsia="黑体"/>
          <w:b w:val="0"/>
          <w:spacing w:val="-4"/>
          <w:sz w:val="32"/>
          <w:szCs w:val="32"/>
        </w:rPr>
      </w:pPr>
      <w:r>
        <w:rPr>
          <w:rStyle w:val="20"/>
          <w:rFonts w:hAnsi="黑体" w:eastAsia="黑体"/>
          <w:b w:val="0"/>
          <w:spacing w:val="-4"/>
          <w:sz w:val="32"/>
          <w:szCs w:val="32"/>
        </w:rPr>
        <w:t>二、</w:t>
      </w:r>
      <w:r>
        <w:rPr>
          <w:rStyle w:val="20"/>
          <w:rFonts w:hint="eastAsia" w:hAnsi="黑体" w:eastAsia="黑体"/>
          <w:b w:val="0"/>
          <w:spacing w:val="-4"/>
          <w:sz w:val="32"/>
          <w:szCs w:val="32"/>
        </w:rPr>
        <w:t>城乡居民</w:t>
      </w:r>
      <w:r>
        <w:rPr>
          <w:rStyle w:val="20"/>
          <w:rFonts w:hAnsi="黑体" w:eastAsia="黑体"/>
          <w:b w:val="0"/>
          <w:spacing w:val="-4"/>
          <w:sz w:val="32"/>
          <w:szCs w:val="32"/>
        </w:rPr>
        <w:t>医疗保险基金预算完成及运行情况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城乡居民基本医保基金收入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26434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sz w:val="30"/>
          <w:szCs w:val="30"/>
          <w:highlight w:val="none"/>
          <w:lang w:eastAsia="zh-CN"/>
        </w:rPr>
        <w:t>（收入小计不含上下级往来）</w:t>
      </w:r>
      <w:r>
        <w:rPr>
          <w:rFonts w:eastAsia="仿宋_GB2312"/>
          <w:sz w:val="32"/>
          <w:szCs w:val="32"/>
        </w:rPr>
        <w:t>，其中</w:t>
      </w:r>
      <w:r>
        <w:rPr>
          <w:rFonts w:hint="eastAsia" w:eastAsia="仿宋_GB2312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缴费收入</w:t>
      </w:r>
      <w:r>
        <w:rPr>
          <w:rFonts w:hint="eastAsia" w:eastAsia="仿宋_GB2312"/>
          <w:sz w:val="32"/>
          <w:szCs w:val="32"/>
          <w:lang w:val="en-US" w:eastAsia="zh-CN"/>
        </w:rPr>
        <w:t>9814</w:t>
      </w:r>
      <w:r>
        <w:rPr>
          <w:rFonts w:eastAsia="仿宋_GB2312"/>
          <w:sz w:val="32"/>
          <w:szCs w:val="32"/>
        </w:rPr>
        <w:t>万元，财政补贴收入</w:t>
      </w:r>
      <w:r>
        <w:rPr>
          <w:rFonts w:hint="eastAsia" w:eastAsia="仿宋_GB2312"/>
          <w:sz w:val="32"/>
          <w:szCs w:val="32"/>
          <w:lang w:val="en-US" w:eastAsia="zh-CN"/>
        </w:rPr>
        <w:t>16583</w:t>
      </w:r>
      <w:r>
        <w:rPr>
          <w:rFonts w:eastAsia="仿宋_GB2312"/>
          <w:sz w:val="32"/>
          <w:szCs w:val="32"/>
        </w:rPr>
        <w:t>万元，完成年初预算的</w:t>
      </w:r>
      <w:r>
        <w:rPr>
          <w:rFonts w:hint="eastAsia" w:eastAsia="仿宋_GB2312"/>
          <w:sz w:val="32"/>
          <w:szCs w:val="32"/>
          <w:lang w:val="en-US" w:eastAsia="zh-CN"/>
        </w:rPr>
        <w:t>94</w:t>
      </w:r>
      <w:r>
        <w:rPr>
          <w:rFonts w:eastAsia="仿宋_GB2312"/>
          <w:sz w:val="32"/>
          <w:szCs w:val="32"/>
        </w:rPr>
        <w:t>%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pacing w:val="-6"/>
          <w:sz w:val="32"/>
          <w:szCs w:val="32"/>
        </w:rPr>
        <w:t>0</w:t>
      </w:r>
      <w:r>
        <w:rPr>
          <w:rFonts w:hint="eastAsia" w:eastAsia="仿宋_GB2312"/>
          <w:spacing w:val="-6"/>
          <w:sz w:val="32"/>
          <w:szCs w:val="32"/>
          <w:lang w:val="en-US" w:eastAsia="zh-CN"/>
        </w:rPr>
        <w:t>20</w:t>
      </w:r>
      <w:r>
        <w:rPr>
          <w:rFonts w:eastAsia="仿宋_GB2312"/>
          <w:spacing w:val="-6"/>
          <w:sz w:val="32"/>
          <w:szCs w:val="32"/>
        </w:rPr>
        <w:t>年预算</w:t>
      </w:r>
      <w:r>
        <w:rPr>
          <w:rFonts w:eastAsia="仿宋_GB2312"/>
          <w:bCs/>
          <w:spacing w:val="-6"/>
          <w:sz w:val="32"/>
          <w:szCs w:val="32"/>
        </w:rPr>
        <w:t>城乡居民医保基金</w:t>
      </w:r>
      <w:r>
        <w:rPr>
          <w:rFonts w:eastAsia="仿宋_GB2312"/>
          <w:spacing w:val="-6"/>
          <w:sz w:val="32"/>
          <w:szCs w:val="32"/>
        </w:rPr>
        <w:t>支出</w:t>
      </w:r>
      <w:r>
        <w:rPr>
          <w:rFonts w:hint="eastAsia" w:ascii="仿宋" w:hAnsi="仿宋" w:eastAsia="仿宋" w:cs="Arial"/>
          <w:color w:val="333333"/>
          <w:sz w:val="30"/>
          <w:szCs w:val="30"/>
          <w:lang w:val="en-US" w:eastAsia="zh-CN"/>
        </w:rPr>
        <w:t>13906</w:t>
      </w:r>
      <w:r>
        <w:rPr>
          <w:rFonts w:eastAsia="仿宋_GB2312"/>
          <w:spacing w:val="-6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sz w:val="30"/>
          <w:szCs w:val="30"/>
          <w:highlight w:val="none"/>
          <w:lang w:eastAsia="zh-CN"/>
        </w:rPr>
        <w:t>（支出小计不含上下级往来）</w:t>
      </w:r>
      <w:r>
        <w:rPr>
          <w:rFonts w:hint="eastAsia" w:eastAsia="仿宋_GB2312"/>
          <w:spacing w:val="-6"/>
          <w:sz w:val="32"/>
          <w:szCs w:val="32"/>
          <w:lang w:eastAsia="zh-CN"/>
        </w:rPr>
        <w:t>，</w:t>
      </w:r>
      <w:r>
        <w:rPr>
          <w:rFonts w:hint="eastAsia" w:eastAsia="仿宋_GB2312"/>
          <w:spacing w:val="-6"/>
          <w:sz w:val="32"/>
          <w:szCs w:val="32"/>
          <w:lang w:val="en-US" w:eastAsia="zh-CN"/>
        </w:rPr>
        <w:t>完成预算的</w:t>
      </w:r>
      <w:r>
        <w:rPr>
          <w:rFonts w:hint="eastAsia" w:eastAsia="仿宋_GB2312"/>
          <w:sz w:val="32"/>
          <w:szCs w:val="32"/>
          <w:lang w:val="en-US" w:eastAsia="zh-CN"/>
        </w:rPr>
        <w:t>55%。预算执行率低</w:t>
      </w:r>
      <w:r>
        <w:rPr>
          <w:rFonts w:eastAsia="仿宋_GB2312"/>
          <w:sz w:val="32"/>
          <w:szCs w:val="32"/>
        </w:rPr>
        <w:t>的主要原因</w:t>
      </w:r>
      <w:r>
        <w:rPr>
          <w:rFonts w:hint="eastAsia" w:eastAsia="仿宋_GB2312"/>
          <w:sz w:val="32"/>
          <w:szCs w:val="32"/>
          <w:lang w:val="en-US" w:eastAsia="zh-CN"/>
        </w:rPr>
        <w:t>是疫情原因导致病人减少。</w:t>
      </w:r>
    </w:p>
    <w:p>
      <w:pPr>
        <w:adjustRightInd w:val="0"/>
        <w:snapToGrid w:val="0"/>
        <w:spacing w:line="560" w:lineRule="exact"/>
        <w:ind w:firstLine="640"/>
        <w:rPr>
          <w:rStyle w:val="20"/>
          <w:rFonts w:eastAsia="黑体"/>
          <w:b w:val="0"/>
          <w:spacing w:val="-4"/>
          <w:sz w:val="32"/>
          <w:szCs w:val="32"/>
        </w:rPr>
      </w:pPr>
      <w:r>
        <w:rPr>
          <w:rStyle w:val="20"/>
          <w:rFonts w:eastAsia="黑体"/>
          <w:b w:val="0"/>
          <w:spacing w:val="-4"/>
          <w:sz w:val="32"/>
          <w:szCs w:val="32"/>
        </w:rPr>
        <w:t>三、医疗保险基金支出组织实施情况和绩效管理情况</w:t>
      </w:r>
    </w:p>
    <w:p>
      <w:pPr>
        <w:adjustRightInd w:val="0"/>
        <w:snapToGrid w:val="0"/>
        <w:spacing w:line="560" w:lineRule="exact"/>
        <w:ind w:firstLine="567"/>
        <w:rPr>
          <w:rStyle w:val="20"/>
          <w:rFonts w:ascii="楷体_GB2312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eastAsia="楷体_GB2312"/>
          <w:spacing w:val="-4"/>
          <w:sz w:val="32"/>
          <w:szCs w:val="32"/>
        </w:rPr>
        <w:t>（一）社会保险管理情况分析</w:t>
      </w:r>
    </w:p>
    <w:p>
      <w:pPr>
        <w:adjustRightInd w:val="0"/>
        <w:snapToGrid w:val="0"/>
        <w:spacing w:line="560" w:lineRule="exact"/>
        <w:ind w:firstLine="630" w:firstLineChars="196"/>
        <w:rPr>
          <w:rFonts w:eastAsia="仿宋_GB2312"/>
          <w:bCs/>
          <w:sz w:val="32"/>
          <w:szCs w:val="32"/>
        </w:rPr>
      </w:pPr>
      <w:r>
        <w:rPr>
          <w:rFonts w:eastAsia="仿宋_GB2312"/>
          <w:b/>
          <w:sz w:val="32"/>
          <w:szCs w:val="32"/>
        </w:rPr>
        <w:t>1.加强基金预决算管理。</w:t>
      </w:r>
      <w:r>
        <w:rPr>
          <w:rFonts w:eastAsia="仿宋_GB2312"/>
          <w:bCs/>
          <w:sz w:val="32"/>
          <w:szCs w:val="32"/>
        </w:rPr>
        <w:t>与财政部门建立统筹协调、分工负责的联</w:t>
      </w:r>
      <w:r>
        <w:rPr>
          <w:rFonts w:hint="eastAsia" w:eastAsia="仿宋_GB2312"/>
          <w:bCs/>
          <w:sz w:val="32"/>
          <w:szCs w:val="32"/>
        </w:rPr>
        <w:t>动</w:t>
      </w:r>
      <w:r>
        <w:rPr>
          <w:rFonts w:eastAsia="仿宋_GB2312"/>
          <w:bCs/>
          <w:sz w:val="32"/>
          <w:szCs w:val="32"/>
        </w:rPr>
        <w:t>机制，</w:t>
      </w:r>
      <w:r>
        <w:rPr>
          <w:rFonts w:hint="eastAsia" w:eastAsia="仿宋_GB2312"/>
          <w:bCs/>
          <w:sz w:val="32"/>
          <w:szCs w:val="32"/>
        </w:rPr>
        <w:t>有效</w:t>
      </w:r>
      <w:r>
        <w:rPr>
          <w:rFonts w:eastAsia="仿宋_GB2312"/>
          <w:bCs/>
          <w:sz w:val="32"/>
          <w:szCs w:val="32"/>
        </w:rPr>
        <w:t>提高预决算编制工作效率和报表数据准确性。加强基金支出预算精细化管理。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eastAsia="仿宋_GB2312"/>
          <w:snapToGrid w:val="0"/>
          <w:sz w:val="32"/>
          <w:szCs w:val="32"/>
        </w:rPr>
      </w:pPr>
      <w:r>
        <w:rPr>
          <w:rFonts w:hint="eastAsia" w:eastAsia="仿宋_GB2312"/>
          <w:b/>
          <w:sz w:val="32"/>
          <w:szCs w:val="32"/>
        </w:rPr>
        <w:t>2</w:t>
      </w:r>
      <w:r>
        <w:rPr>
          <w:rFonts w:eastAsia="仿宋_GB2312"/>
          <w:b/>
          <w:sz w:val="32"/>
          <w:szCs w:val="32"/>
        </w:rPr>
        <w:t>.</w:t>
      </w:r>
      <w:r>
        <w:rPr>
          <w:rFonts w:hint="eastAsia" w:eastAsia="仿宋_GB2312"/>
          <w:b/>
          <w:sz w:val="32"/>
          <w:szCs w:val="32"/>
          <w:lang w:val="en-US" w:eastAsia="zh-CN"/>
        </w:rPr>
        <w:t>加强基金监管</w:t>
      </w:r>
      <w:r>
        <w:rPr>
          <w:rFonts w:eastAsia="仿宋_GB2312"/>
          <w:b/>
          <w:sz w:val="32"/>
          <w:szCs w:val="32"/>
        </w:rPr>
        <w:t>。</w:t>
      </w:r>
      <w:r>
        <w:rPr>
          <w:rFonts w:hint="eastAsia" w:eastAsia="仿宋_GB2312"/>
          <w:b w:val="0"/>
          <w:bCs/>
          <w:sz w:val="32"/>
          <w:szCs w:val="32"/>
          <w:lang w:val="en-US" w:eastAsia="zh-CN"/>
        </w:rPr>
        <w:t>不定期对两定机构进行督导检查，</w:t>
      </w:r>
      <w:r>
        <w:rPr>
          <w:rFonts w:eastAsia="仿宋_GB2312"/>
          <w:snapToGrid w:val="0"/>
          <w:kern w:val="0"/>
          <w:sz w:val="32"/>
          <w:szCs w:val="32"/>
        </w:rPr>
        <w:t>巩固提升“打击欺诈骗保专项治理”成果，落实举报奖励办法，推进医疗保障基金智能监控系统建设和应用。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制定基金管理和风险防控流程，建立起涵盖业务受理、审核复核、稽核审计、财务管理、分管领导等全要素口径的监管流程。</w:t>
      </w:r>
    </w:p>
    <w:p>
      <w:pPr>
        <w:adjustRightInd w:val="0"/>
        <w:snapToGrid w:val="0"/>
        <w:spacing w:line="560" w:lineRule="exact"/>
        <w:ind w:firstLine="567"/>
        <w:rPr>
          <w:rStyle w:val="20"/>
          <w:rFonts w:ascii="楷体_GB2312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eastAsia="楷体_GB2312"/>
          <w:spacing w:val="-4"/>
          <w:sz w:val="32"/>
          <w:szCs w:val="32"/>
        </w:rPr>
        <w:t>（二）绩效目标完成情况分析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 2019年城乡居民基本医疗保险基金支出预算数</w:t>
      </w:r>
      <w:r>
        <w:rPr>
          <w:rFonts w:hint="eastAsia" w:eastAsia="仿宋_GB2312"/>
          <w:spacing w:val="-6"/>
          <w:sz w:val="32"/>
          <w:szCs w:val="32"/>
          <w:lang w:val="en-US" w:eastAsia="zh-CN"/>
        </w:rPr>
        <w:t>25068</w:t>
      </w:r>
      <w:r>
        <w:rPr>
          <w:rFonts w:eastAsia="仿宋_GB2312"/>
          <w:sz w:val="32"/>
          <w:szCs w:val="32"/>
        </w:rPr>
        <w:t>万元，实际执行数</w:t>
      </w:r>
      <w:r>
        <w:rPr>
          <w:rFonts w:hint="eastAsia" w:eastAsia="仿宋_GB2312"/>
          <w:spacing w:val="-6"/>
          <w:sz w:val="32"/>
          <w:szCs w:val="32"/>
          <w:lang w:val="en-US" w:eastAsia="zh-CN"/>
        </w:rPr>
        <w:t>13906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全年预算支出执行率</w:t>
      </w:r>
      <w:r>
        <w:rPr>
          <w:rFonts w:hint="eastAsia" w:eastAsia="仿宋_GB2312"/>
          <w:sz w:val="32"/>
          <w:szCs w:val="32"/>
          <w:lang w:val="en-US" w:eastAsia="zh-CN"/>
        </w:rPr>
        <w:t>55</w:t>
      </w:r>
      <w:r>
        <w:rPr>
          <w:rFonts w:eastAsia="仿宋_GB2312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.通过一站式结算，依靠系统结算、人工审核等保证了医疗待遇计算准确率99.99%以上。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.全年有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189189</w:t>
      </w:r>
      <w:r>
        <w:rPr>
          <w:rFonts w:eastAsia="仿宋_GB2312"/>
          <w:sz w:val="32"/>
          <w:szCs w:val="32"/>
        </w:rPr>
        <w:t>人享受城乡居民医保待遇。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.每月25日前支付各家医疗机构预付金，次月10前完成各医疗机构及药店上月医保基金结算工作。通过及时拨款，保障就医参保人员医</w:t>
      </w:r>
      <w:r>
        <w:rPr>
          <w:rFonts w:hint="eastAsia" w:eastAsia="仿宋_GB2312"/>
          <w:sz w:val="32"/>
          <w:szCs w:val="32"/>
          <w:lang w:val="en-US" w:eastAsia="zh-CN"/>
        </w:rPr>
        <w:t>疗</w:t>
      </w:r>
      <w:r>
        <w:rPr>
          <w:rFonts w:eastAsia="仿宋_GB2312"/>
          <w:sz w:val="32"/>
          <w:szCs w:val="32"/>
        </w:rPr>
        <w:t>各项待遇按时兑现。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hint="eastAsia" w:eastAsia="仿宋_GB2312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eastAsia="仿宋_GB2312"/>
          <w:snapToGrid w:val="0"/>
          <w:kern w:val="0"/>
          <w:sz w:val="32"/>
          <w:szCs w:val="32"/>
        </w:rPr>
        <w:t>.采取预拨方式向定点医疗机构提前拨付医保支付范围内的资金，延伸结算平台终端至各医疗机构，实现医疗救助与基本医疗保险、城乡居民大病保险和低保补充医疗保险结算的无缝衔接，做到让群众少跑腿、信息数据多跑路。通过政策宣传</w:t>
      </w:r>
      <w:r>
        <w:rPr>
          <w:rFonts w:hint="eastAsia" w:eastAsia="仿宋_GB2312"/>
          <w:snapToGrid w:val="0"/>
          <w:kern w:val="0"/>
          <w:sz w:val="32"/>
          <w:szCs w:val="32"/>
          <w:lang w:val="en-US" w:eastAsia="zh-CN"/>
        </w:rPr>
        <w:t>提高</w:t>
      </w:r>
      <w:r>
        <w:rPr>
          <w:rFonts w:eastAsia="仿宋_GB2312"/>
          <w:snapToGrid w:val="0"/>
          <w:kern w:val="0"/>
          <w:sz w:val="32"/>
          <w:szCs w:val="32"/>
        </w:rPr>
        <w:t>群众满意率。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hint="eastAsia" w:eastAsia="仿宋_GB2312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eastAsia="仿宋_GB2312"/>
          <w:snapToGrid w:val="0"/>
          <w:kern w:val="0"/>
          <w:sz w:val="32"/>
          <w:szCs w:val="32"/>
        </w:rPr>
        <w:t>.形成</w:t>
      </w:r>
      <w:r>
        <w:rPr>
          <w:rFonts w:hint="eastAsia" w:eastAsia="仿宋_GB2312"/>
          <w:snapToGrid w:val="0"/>
          <w:kern w:val="0"/>
          <w:sz w:val="32"/>
          <w:szCs w:val="32"/>
        </w:rPr>
        <w:t>定期与</w:t>
      </w:r>
      <w:r>
        <w:rPr>
          <w:rFonts w:eastAsia="仿宋_GB2312"/>
          <w:snapToGrid w:val="0"/>
          <w:kern w:val="0"/>
          <w:sz w:val="32"/>
          <w:szCs w:val="32"/>
        </w:rPr>
        <w:t>财政、税务</w:t>
      </w:r>
      <w:r>
        <w:rPr>
          <w:rFonts w:hint="eastAsia" w:eastAsia="仿宋_GB2312"/>
          <w:snapToGrid w:val="0"/>
          <w:kern w:val="0"/>
          <w:sz w:val="32"/>
          <w:szCs w:val="32"/>
        </w:rPr>
        <w:t>等部门</w:t>
      </w:r>
      <w:r>
        <w:rPr>
          <w:rFonts w:eastAsia="仿宋_GB2312"/>
          <w:snapToGrid w:val="0"/>
          <w:kern w:val="0"/>
          <w:sz w:val="32"/>
          <w:szCs w:val="32"/>
        </w:rPr>
        <w:t>对账机制，保证基金核算准确性。及时编制月度、季度、年度基金报表，每月结束5日内报送月报，每季度结束15日内报送基金季报及分析，年度结束20日内报送决算报表及年报分析。</w:t>
      </w:r>
    </w:p>
    <w:p>
      <w:pPr>
        <w:adjustRightInd w:val="0"/>
        <w:snapToGrid w:val="0"/>
        <w:spacing w:line="560" w:lineRule="exact"/>
        <w:ind w:firstLine="640"/>
        <w:rPr>
          <w:rStyle w:val="20"/>
          <w:rFonts w:eastAsia="黑体"/>
          <w:b w:val="0"/>
          <w:spacing w:val="-4"/>
          <w:sz w:val="32"/>
          <w:szCs w:val="32"/>
        </w:rPr>
      </w:pPr>
      <w:bookmarkStart w:id="0" w:name="_Toc317761057"/>
      <w:bookmarkStart w:id="1" w:name="_Toc475126038"/>
      <w:bookmarkStart w:id="2" w:name="_Toc24892"/>
      <w:bookmarkStart w:id="3" w:name="_Toc443496973"/>
      <w:r>
        <w:rPr>
          <w:rStyle w:val="20"/>
          <w:rFonts w:eastAsia="黑体"/>
          <w:b w:val="0"/>
          <w:spacing w:val="-4"/>
          <w:sz w:val="32"/>
          <w:szCs w:val="32"/>
        </w:rPr>
        <w:t>四、其他需要说明的问题</w:t>
      </w:r>
    </w:p>
    <w:p>
      <w:pPr>
        <w:adjustRightInd w:val="0"/>
        <w:snapToGrid w:val="0"/>
        <w:spacing w:line="560" w:lineRule="exact"/>
        <w:ind w:firstLine="567"/>
        <w:rPr>
          <w:rStyle w:val="20"/>
          <w:rFonts w:ascii="楷体_GB2312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eastAsia="楷体_GB2312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1</w:t>
      </w:r>
      <w:r>
        <w:rPr>
          <w:rFonts w:eastAsia="仿宋_GB2312"/>
          <w:b/>
          <w:snapToGrid w:val="0"/>
          <w:kern w:val="0"/>
          <w:sz w:val="32"/>
          <w:szCs w:val="32"/>
        </w:rPr>
        <w:t>.推进医保精准扶贫</w:t>
      </w:r>
      <w:r>
        <w:rPr>
          <w:rFonts w:eastAsia="仿宋_GB2312"/>
          <w:snapToGrid w:val="0"/>
          <w:kern w:val="0"/>
          <w:sz w:val="32"/>
          <w:szCs w:val="32"/>
        </w:rPr>
        <w:t>。从严落实贫困人口应保尽保硬指标，贫困人口基本医疗保险、大病保险、医疗救助覆盖率达到100%。精准落实贫困人口缴费资助政策，严格执行特困人员全额资助和建档立卡贫困人口、低保对象定额资助要求。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2</w:t>
      </w:r>
      <w:r>
        <w:rPr>
          <w:rFonts w:eastAsia="仿宋_GB2312"/>
          <w:b/>
          <w:snapToGrid w:val="0"/>
          <w:kern w:val="0"/>
          <w:sz w:val="32"/>
          <w:szCs w:val="32"/>
        </w:rPr>
        <w:t>.加强医保基金监管</w:t>
      </w:r>
      <w:r>
        <w:rPr>
          <w:rFonts w:eastAsia="仿宋_GB2312"/>
          <w:snapToGrid w:val="0"/>
          <w:kern w:val="0"/>
          <w:sz w:val="32"/>
          <w:szCs w:val="32"/>
        </w:rPr>
        <w:t>。继续推进全民医保计划，</w:t>
      </w:r>
      <w:bookmarkStart w:id="4" w:name="_Hlk21601759"/>
      <w:r>
        <w:rPr>
          <w:rFonts w:eastAsia="仿宋_GB2312"/>
          <w:snapToGrid w:val="0"/>
          <w:kern w:val="0"/>
          <w:sz w:val="32"/>
          <w:szCs w:val="32"/>
        </w:rPr>
        <w:t>全力做好参保登记，</w:t>
      </w:r>
      <w:bookmarkEnd w:id="4"/>
      <w:r>
        <w:rPr>
          <w:rFonts w:eastAsia="仿宋_GB2312"/>
          <w:snapToGrid w:val="0"/>
          <w:kern w:val="0"/>
          <w:sz w:val="32"/>
          <w:szCs w:val="32"/>
        </w:rPr>
        <w:t>确保基本医疗保险参保率在95%以上。预算偏离度控制在10%以内。</w:t>
      </w:r>
    </w:p>
    <w:p>
      <w:pPr>
        <w:adjustRightInd w:val="0"/>
        <w:snapToGrid w:val="0"/>
        <w:spacing w:line="560" w:lineRule="exact"/>
        <w:ind w:firstLine="567"/>
        <w:rPr>
          <w:rStyle w:val="20"/>
          <w:rFonts w:ascii="楷体_GB2312" w:eastAsia="楷体_GB2312"/>
          <w:spacing w:val="-4"/>
          <w:sz w:val="32"/>
          <w:szCs w:val="32"/>
        </w:rPr>
      </w:pPr>
      <w:r>
        <w:rPr>
          <w:rStyle w:val="20"/>
          <w:rFonts w:hint="eastAsia" w:ascii="楷体_GB2312" w:eastAsia="楷体_GB2312"/>
          <w:spacing w:val="-4"/>
          <w:sz w:val="32"/>
          <w:szCs w:val="32"/>
        </w:rPr>
        <w:t>（二）存在的问题</w:t>
      </w:r>
      <w:bookmarkEnd w:id="0"/>
      <w:bookmarkEnd w:id="1"/>
      <w:bookmarkEnd w:id="2"/>
      <w:bookmarkEnd w:id="3"/>
      <w:r>
        <w:rPr>
          <w:rStyle w:val="20"/>
          <w:rFonts w:hint="eastAsia" w:ascii="楷体_GB2312" w:eastAsia="楷体_GB2312"/>
          <w:spacing w:val="-4"/>
          <w:sz w:val="32"/>
          <w:szCs w:val="32"/>
        </w:rPr>
        <w:t>及建议</w:t>
      </w:r>
    </w:p>
    <w:p>
      <w:pPr>
        <w:adjustRightInd w:val="0"/>
        <w:snapToGrid w:val="0"/>
        <w:spacing w:line="560" w:lineRule="exact"/>
        <w:ind w:firstLine="624" w:firstLineChars="195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40"/>
        <w:rPr>
          <w:rFonts w:eastAsia="仿宋_GB2312"/>
          <w:snapToGrid w:val="0"/>
          <w:kern w:val="0"/>
          <w:sz w:val="32"/>
          <w:szCs w:val="32"/>
        </w:rPr>
      </w:pPr>
      <w:r>
        <w:rPr>
          <w:rStyle w:val="20"/>
          <w:rFonts w:eastAsia="黑体"/>
          <w:b w:val="0"/>
          <w:spacing w:val="-4"/>
          <w:sz w:val="32"/>
          <w:szCs w:val="32"/>
        </w:rPr>
        <w:t>五、附表</w:t>
      </w:r>
    </w:p>
    <w:tbl>
      <w:tblPr>
        <w:tblStyle w:val="18"/>
        <w:tblW w:w="93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伊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宁县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城乡居民医疗保险支出绩效自评表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</w:tbl>
    <w:p>
      <w:pPr>
        <w:adjustRightInd w:val="0"/>
        <w:snapToGrid w:val="0"/>
        <w:spacing w:line="560" w:lineRule="exact"/>
        <w:ind w:firstLine="640"/>
        <w:rPr>
          <w:rStyle w:val="20"/>
          <w:rFonts w:eastAsia="仿宋_GB2312"/>
          <w:b w:val="0"/>
          <w:bCs w:val="0"/>
          <w:sz w:val="22"/>
          <w:szCs w:val="22"/>
        </w:rPr>
      </w:pPr>
      <w:bookmarkStart w:id="5" w:name="_GoBack"/>
      <w:bookmarkEnd w:id="5"/>
    </w:p>
    <w:sectPr>
      <w:footerReference r:id="rId3" w:type="default"/>
      <w:pgSz w:w="11906" w:h="16838"/>
      <w:pgMar w:top="2098" w:right="1531" w:bottom="1984" w:left="1531" w:header="1134" w:footer="158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11734"/>
    <w:rsid w:val="00056465"/>
    <w:rsid w:val="00057E3F"/>
    <w:rsid w:val="00077CCF"/>
    <w:rsid w:val="0009319D"/>
    <w:rsid w:val="00096762"/>
    <w:rsid w:val="000E7058"/>
    <w:rsid w:val="000F3878"/>
    <w:rsid w:val="00121AE4"/>
    <w:rsid w:val="00146AAD"/>
    <w:rsid w:val="001576D6"/>
    <w:rsid w:val="001B019D"/>
    <w:rsid w:val="001B3A40"/>
    <w:rsid w:val="001B6CEB"/>
    <w:rsid w:val="002314F0"/>
    <w:rsid w:val="002378F1"/>
    <w:rsid w:val="002614C7"/>
    <w:rsid w:val="002A191D"/>
    <w:rsid w:val="002C4738"/>
    <w:rsid w:val="00311A70"/>
    <w:rsid w:val="00317D2F"/>
    <w:rsid w:val="00325819"/>
    <w:rsid w:val="00392327"/>
    <w:rsid w:val="003F2744"/>
    <w:rsid w:val="004366A8"/>
    <w:rsid w:val="00491E56"/>
    <w:rsid w:val="004973F4"/>
    <w:rsid w:val="00502BA7"/>
    <w:rsid w:val="0051288D"/>
    <w:rsid w:val="005162F1"/>
    <w:rsid w:val="00535153"/>
    <w:rsid w:val="00536224"/>
    <w:rsid w:val="00554F82"/>
    <w:rsid w:val="0056390D"/>
    <w:rsid w:val="005719B0"/>
    <w:rsid w:val="005B0104"/>
    <w:rsid w:val="005D10D6"/>
    <w:rsid w:val="005F382E"/>
    <w:rsid w:val="0063148D"/>
    <w:rsid w:val="006877D6"/>
    <w:rsid w:val="006D2C0F"/>
    <w:rsid w:val="0070657A"/>
    <w:rsid w:val="007230BD"/>
    <w:rsid w:val="00741077"/>
    <w:rsid w:val="00774FC7"/>
    <w:rsid w:val="008064EE"/>
    <w:rsid w:val="00855E3A"/>
    <w:rsid w:val="00892FAA"/>
    <w:rsid w:val="00906E68"/>
    <w:rsid w:val="00922CB9"/>
    <w:rsid w:val="00933E99"/>
    <w:rsid w:val="00970A6A"/>
    <w:rsid w:val="009A057E"/>
    <w:rsid w:val="009B5D7E"/>
    <w:rsid w:val="009E5CD9"/>
    <w:rsid w:val="009F25CA"/>
    <w:rsid w:val="009F4E7D"/>
    <w:rsid w:val="00A26421"/>
    <w:rsid w:val="00A2784C"/>
    <w:rsid w:val="00A4293B"/>
    <w:rsid w:val="00A67D50"/>
    <w:rsid w:val="00A8691A"/>
    <w:rsid w:val="00AC1946"/>
    <w:rsid w:val="00B35A39"/>
    <w:rsid w:val="00B40063"/>
    <w:rsid w:val="00B41F61"/>
    <w:rsid w:val="00BA46E6"/>
    <w:rsid w:val="00BB200C"/>
    <w:rsid w:val="00BC5DAB"/>
    <w:rsid w:val="00C24C82"/>
    <w:rsid w:val="00C56C72"/>
    <w:rsid w:val="00C97665"/>
    <w:rsid w:val="00CA6457"/>
    <w:rsid w:val="00CF7A65"/>
    <w:rsid w:val="00D17F2E"/>
    <w:rsid w:val="00D30354"/>
    <w:rsid w:val="00D41809"/>
    <w:rsid w:val="00D74428"/>
    <w:rsid w:val="00D80F3B"/>
    <w:rsid w:val="00D95620"/>
    <w:rsid w:val="00DA4255"/>
    <w:rsid w:val="00DE266E"/>
    <w:rsid w:val="00DF42A0"/>
    <w:rsid w:val="00E25910"/>
    <w:rsid w:val="00E769FE"/>
    <w:rsid w:val="00EA2CBE"/>
    <w:rsid w:val="00EF43B7"/>
    <w:rsid w:val="00F11E8E"/>
    <w:rsid w:val="00F2562C"/>
    <w:rsid w:val="00F32FEE"/>
    <w:rsid w:val="00F40DE5"/>
    <w:rsid w:val="00FB10BB"/>
    <w:rsid w:val="028B784E"/>
    <w:rsid w:val="02E44195"/>
    <w:rsid w:val="039B44EB"/>
    <w:rsid w:val="04013254"/>
    <w:rsid w:val="045A72C0"/>
    <w:rsid w:val="0599686F"/>
    <w:rsid w:val="05D81707"/>
    <w:rsid w:val="06D248D5"/>
    <w:rsid w:val="0841066D"/>
    <w:rsid w:val="0B062B4A"/>
    <w:rsid w:val="0B3C3A8A"/>
    <w:rsid w:val="0C184425"/>
    <w:rsid w:val="0C6872A3"/>
    <w:rsid w:val="0D3C38E0"/>
    <w:rsid w:val="0FA0285C"/>
    <w:rsid w:val="109A1DB5"/>
    <w:rsid w:val="10B82865"/>
    <w:rsid w:val="10F13ED6"/>
    <w:rsid w:val="11425805"/>
    <w:rsid w:val="11963721"/>
    <w:rsid w:val="11F4227C"/>
    <w:rsid w:val="12960E13"/>
    <w:rsid w:val="151A4F07"/>
    <w:rsid w:val="15F13163"/>
    <w:rsid w:val="17A4290C"/>
    <w:rsid w:val="1A41485E"/>
    <w:rsid w:val="1AC90D6A"/>
    <w:rsid w:val="1B766C4C"/>
    <w:rsid w:val="1CB722B2"/>
    <w:rsid w:val="1D94059C"/>
    <w:rsid w:val="1DF237B1"/>
    <w:rsid w:val="20B964D5"/>
    <w:rsid w:val="21660545"/>
    <w:rsid w:val="22901DDD"/>
    <w:rsid w:val="22C11DED"/>
    <w:rsid w:val="23CA452D"/>
    <w:rsid w:val="23F17C44"/>
    <w:rsid w:val="26A722C7"/>
    <w:rsid w:val="279F3929"/>
    <w:rsid w:val="287970E1"/>
    <w:rsid w:val="28C72D0C"/>
    <w:rsid w:val="2B0307B3"/>
    <w:rsid w:val="2CEA0945"/>
    <w:rsid w:val="2DA3268A"/>
    <w:rsid w:val="2FD6585F"/>
    <w:rsid w:val="2FDA6AE1"/>
    <w:rsid w:val="301761EA"/>
    <w:rsid w:val="30CA1AB2"/>
    <w:rsid w:val="312F4327"/>
    <w:rsid w:val="31433B3E"/>
    <w:rsid w:val="316F243B"/>
    <w:rsid w:val="32053D47"/>
    <w:rsid w:val="32F35EF0"/>
    <w:rsid w:val="33FD6ADB"/>
    <w:rsid w:val="35461E6E"/>
    <w:rsid w:val="35623A69"/>
    <w:rsid w:val="367C3E1A"/>
    <w:rsid w:val="36A03EBF"/>
    <w:rsid w:val="370566A7"/>
    <w:rsid w:val="382E4F99"/>
    <w:rsid w:val="387B59F4"/>
    <w:rsid w:val="390C5CF5"/>
    <w:rsid w:val="39AB0EB3"/>
    <w:rsid w:val="39C873B4"/>
    <w:rsid w:val="3A527048"/>
    <w:rsid w:val="3AF57CB8"/>
    <w:rsid w:val="3BB219D1"/>
    <w:rsid w:val="3C094008"/>
    <w:rsid w:val="3C8B7664"/>
    <w:rsid w:val="3D66672B"/>
    <w:rsid w:val="3EAA29C9"/>
    <w:rsid w:val="3EBD35F3"/>
    <w:rsid w:val="3ECA39A7"/>
    <w:rsid w:val="401259AF"/>
    <w:rsid w:val="41965C3C"/>
    <w:rsid w:val="42253CE4"/>
    <w:rsid w:val="43B46A27"/>
    <w:rsid w:val="44324488"/>
    <w:rsid w:val="461A5D19"/>
    <w:rsid w:val="46981453"/>
    <w:rsid w:val="47084FF7"/>
    <w:rsid w:val="47986317"/>
    <w:rsid w:val="47E905C6"/>
    <w:rsid w:val="48410DE7"/>
    <w:rsid w:val="48F612F7"/>
    <w:rsid w:val="49106052"/>
    <w:rsid w:val="49EE4BF1"/>
    <w:rsid w:val="4A1C7673"/>
    <w:rsid w:val="4A8B432C"/>
    <w:rsid w:val="4BDD4837"/>
    <w:rsid w:val="4D2E58B2"/>
    <w:rsid w:val="4F2F6CAE"/>
    <w:rsid w:val="4F544C80"/>
    <w:rsid w:val="501B62BF"/>
    <w:rsid w:val="5322341B"/>
    <w:rsid w:val="537013CB"/>
    <w:rsid w:val="53EA7142"/>
    <w:rsid w:val="544457F6"/>
    <w:rsid w:val="547E328F"/>
    <w:rsid w:val="54FA2F46"/>
    <w:rsid w:val="55352184"/>
    <w:rsid w:val="55E6505F"/>
    <w:rsid w:val="56C04B43"/>
    <w:rsid w:val="58FF7C21"/>
    <w:rsid w:val="59412CEC"/>
    <w:rsid w:val="5AA908CB"/>
    <w:rsid w:val="5BAA4790"/>
    <w:rsid w:val="5BC63F53"/>
    <w:rsid w:val="5D6E5115"/>
    <w:rsid w:val="5DCF386F"/>
    <w:rsid w:val="5FC63ED7"/>
    <w:rsid w:val="60507EB2"/>
    <w:rsid w:val="60803338"/>
    <w:rsid w:val="61A03096"/>
    <w:rsid w:val="61AE6F89"/>
    <w:rsid w:val="61FE220C"/>
    <w:rsid w:val="63000DCA"/>
    <w:rsid w:val="63057ED7"/>
    <w:rsid w:val="631047E2"/>
    <w:rsid w:val="63334D55"/>
    <w:rsid w:val="646D77E0"/>
    <w:rsid w:val="64920CB8"/>
    <w:rsid w:val="667F145B"/>
    <w:rsid w:val="66A60449"/>
    <w:rsid w:val="682A74F5"/>
    <w:rsid w:val="699242CD"/>
    <w:rsid w:val="69C366F2"/>
    <w:rsid w:val="6A4E15BE"/>
    <w:rsid w:val="6A5D44E8"/>
    <w:rsid w:val="6B1622AC"/>
    <w:rsid w:val="6B3C03CC"/>
    <w:rsid w:val="6BA367F1"/>
    <w:rsid w:val="6BA81A02"/>
    <w:rsid w:val="6C8C14E6"/>
    <w:rsid w:val="6D0B6574"/>
    <w:rsid w:val="6D2F78DF"/>
    <w:rsid w:val="6DBE2C2C"/>
    <w:rsid w:val="6FD146C2"/>
    <w:rsid w:val="700C2892"/>
    <w:rsid w:val="70321F68"/>
    <w:rsid w:val="712001FE"/>
    <w:rsid w:val="71FC4541"/>
    <w:rsid w:val="73345A63"/>
    <w:rsid w:val="76563820"/>
    <w:rsid w:val="77491DFE"/>
    <w:rsid w:val="788D5F20"/>
    <w:rsid w:val="7A690067"/>
    <w:rsid w:val="7A6F73D6"/>
    <w:rsid w:val="7B0F511D"/>
    <w:rsid w:val="7C287EA5"/>
    <w:rsid w:val="7C73337E"/>
    <w:rsid w:val="7CFA49B6"/>
    <w:rsid w:val="7FDA78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99"/>
    <w:pPr>
      <w:jc w:val="center"/>
    </w:pPr>
    <w:rPr>
      <w:rFonts w:eastAsia="方正小标宋简体"/>
      <w:b/>
      <w:bCs/>
      <w:sz w:val="44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semiHidden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0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customStyle="1" w:styleId="23">
    <w:name w:val="标题 1 Char"/>
    <w:basedOn w:val="19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4">
    <w:name w:val="标题 2 Char"/>
    <w:basedOn w:val="19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5">
    <w:name w:val="标题 3 Char"/>
    <w:basedOn w:val="19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6">
    <w:name w:val="标题 4 Char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27">
    <w:name w:val="标题 5 Char"/>
    <w:basedOn w:val="19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8">
    <w:name w:val="标题 6 Char"/>
    <w:basedOn w:val="19"/>
    <w:link w:val="7"/>
    <w:semiHidden/>
    <w:qFormat/>
    <w:uiPriority w:val="9"/>
    <w:rPr>
      <w:b/>
      <w:bCs/>
    </w:rPr>
  </w:style>
  <w:style w:type="character" w:customStyle="1" w:styleId="29">
    <w:name w:val="标题 7 Char"/>
    <w:basedOn w:val="19"/>
    <w:link w:val="8"/>
    <w:semiHidden/>
    <w:qFormat/>
    <w:uiPriority w:val="9"/>
    <w:rPr>
      <w:sz w:val="24"/>
      <w:szCs w:val="24"/>
    </w:rPr>
  </w:style>
  <w:style w:type="character" w:customStyle="1" w:styleId="30">
    <w:name w:val="标题 8 Char"/>
    <w:basedOn w:val="19"/>
    <w:link w:val="9"/>
    <w:semiHidden/>
    <w:qFormat/>
    <w:uiPriority w:val="9"/>
    <w:rPr>
      <w:i/>
      <w:iCs/>
      <w:sz w:val="24"/>
      <w:szCs w:val="24"/>
    </w:rPr>
  </w:style>
  <w:style w:type="character" w:customStyle="1" w:styleId="31">
    <w:name w:val="标题 9 Char"/>
    <w:basedOn w:val="19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2">
    <w:name w:val="标题 Char"/>
    <w:basedOn w:val="19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3">
    <w:name w:val="副标题 Char"/>
    <w:basedOn w:val="19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4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5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7">
    <w:name w:val="引用 Char"/>
    <w:basedOn w:val="19"/>
    <w:link w:val="36"/>
    <w:qFormat/>
    <w:uiPriority w:val="29"/>
    <w:rPr>
      <w:i/>
      <w:sz w:val="24"/>
      <w:szCs w:val="24"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9">
    <w:name w:val="明显引用 Char"/>
    <w:basedOn w:val="19"/>
    <w:link w:val="38"/>
    <w:qFormat/>
    <w:uiPriority w:val="30"/>
    <w:rPr>
      <w:b/>
      <w:i/>
      <w:sz w:val="24"/>
    </w:rPr>
  </w:style>
  <w:style w:type="character" w:customStyle="1" w:styleId="40">
    <w:name w:val="不明显强调1"/>
    <w:qFormat/>
    <w:uiPriority w:val="19"/>
    <w:rPr>
      <w:i/>
      <w:color w:val="585858" w:themeColor="text1" w:themeTint="A6"/>
    </w:rPr>
  </w:style>
  <w:style w:type="character" w:customStyle="1" w:styleId="41">
    <w:name w:val="明显强调1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2">
    <w:name w:val="不明显参考1"/>
    <w:basedOn w:val="19"/>
    <w:qFormat/>
    <w:uiPriority w:val="31"/>
    <w:rPr>
      <w:sz w:val="24"/>
      <w:szCs w:val="24"/>
      <w:u w:val="single"/>
    </w:rPr>
  </w:style>
  <w:style w:type="character" w:customStyle="1" w:styleId="43">
    <w:name w:val="明显参考1"/>
    <w:basedOn w:val="19"/>
    <w:qFormat/>
    <w:uiPriority w:val="32"/>
    <w:rPr>
      <w:b/>
      <w:sz w:val="24"/>
      <w:u w:val="single"/>
    </w:rPr>
  </w:style>
  <w:style w:type="character" w:customStyle="1" w:styleId="44">
    <w:name w:val="书籍标题1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6">
    <w:name w:val="页眉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页脚 Char"/>
    <w:basedOn w:val="19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9">
    <w:name w:val="font61"/>
    <w:basedOn w:val="1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0">
    <w:name w:val="font01"/>
    <w:basedOn w:val="1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B6A79B-9EC9-442E-8771-45C0FE1CC5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8</Pages>
  <Words>540</Words>
  <Characters>3081</Characters>
  <Lines>25</Lines>
  <Paragraphs>7</Paragraphs>
  <TotalTime>1</TotalTime>
  <ScaleCrop>false</ScaleCrop>
  <LinksUpToDate>false</LinksUpToDate>
  <CharactersWithSpaces>3614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2021-09-07T03:54:14Z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3D6186CCA15F4D3BB37E9AE0F062B3B9</vt:lpwstr>
  </property>
</Properties>
</file>