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rPr>
          <w:rFonts w:eastAsia="仿宋_GB2312"/>
          <w:b/>
          <w:bCs w:val="0"/>
          <w:kern w:val="0"/>
          <w:sz w:val="52"/>
          <w:szCs w:val="52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</w:pP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  <w:t>伊</w:t>
      </w: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  <w:lang w:val="en-US" w:eastAsia="zh-CN"/>
        </w:rPr>
        <w:t>宁县</w:t>
      </w: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  <w:t>城镇职工基本医疗保险</w:t>
      </w:r>
    </w:p>
    <w:p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</w:pP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  <w:t>（含生育</w:t>
      </w: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  <w:lang w:eastAsia="zh-CN"/>
        </w:rPr>
        <w:t>保险</w:t>
      </w: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  <w:t>）支出绩效评价报告</w:t>
      </w:r>
    </w:p>
    <w:p>
      <w:pPr>
        <w:spacing w:line="560" w:lineRule="exact"/>
        <w:rPr>
          <w:rFonts w:eastAsia="仿宋_GB2312"/>
          <w:b/>
          <w:bCs w:val="0"/>
          <w:kern w:val="0"/>
          <w:sz w:val="52"/>
          <w:szCs w:val="52"/>
        </w:rPr>
      </w:pPr>
    </w:p>
    <w:p>
      <w:pPr>
        <w:spacing w:line="560" w:lineRule="exact"/>
        <w:jc w:val="center"/>
        <w:rPr>
          <w:rFonts w:eastAsia="仿宋_GB2312"/>
          <w:b/>
          <w:bCs w:val="0"/>
          <w:kern w:val="0"/>
          <w:sz w:val="36"/>
          <w:szCs w:val="36"/>
        </w:rPr>
      </w:pPr>
      <w:r>
        <w:rPr>
          <w:rFonts w:eastAsia="仿宋_GB2312"/>
          <w:b/>
          <w:bCs w:val="0"/>
          <w:kern w:val="0"/>
          <w:sz w:val="36"/>
          <w:szCs w:val="36"/>
        </w:rPr>
        <w:t>（20</w:t>
      </w:r>
      <w:r>
        <w:rPr>
          <w:rFonts w:hint="eastAsia" w:eastAsia="仿宋_GB2312"/>
          <w:b/>
          <w:bCs w:val="0"/>
          <w:kern w:val="0"/>
          <w:sz w:val="36"/>
          <w:szCs w:val="36"/>
          <w:lang w:val="en-US" w:eastAsia="zh-CN"/>
        </w:rPr>
        <w:t>20</w:t>
      </w:r>
      <w:r>
        <w:rPr>
          <w:rFonts w:eastAsia="仿宋_GB2312"/>
          <w:b/>
          <w:bCs w:val="0"/>
          <w:kern w:val="0"/>
          <w:sz w:val="36"/>
          <w:szCs w:val="36"/>
        </w:rPr>
        <w:t>年度）</w:t>
      </w:r>
    </w:p>
    <w:p>
      <w:pPr>
        <w:spacing w:line="560" w:lineRule="exact"/>
        <w:rPr>
          <w:rFonts w:eastAsia="仿宋_GB2312"/>
          <w:b/>
          <w:bCs w:val="0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b/>
          <w:bCs w:val="0"/>
          <w:kern w:val="0"/>
          <w:sz w:val="30"/>
          <w:szCs w:val="30"/>
        </w:rPr>
      </w:pPr>
    </w:p>
    <w:p>
      <w:pPr>
        <w:spacing w:line="560" w:lineRule="exact"/>
        <w:rPr>
          <w:rFonts w:hint="default" w:eastAsia="仿宋_GB2312"/>
          <w:b/>
          <w:bCs w:val="0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b/>
          <w:bCs w:val="0"/>
          <w:kern w:val="0"/>
          <w:sz w:val="30"/>
          <w:szCs w:val="30"/>
          <w:lang w:val="en-US" w:eastAsia="zh-CN"/>
        </w:rPr>
        <w:t xml:space="preserve">  </w:t>
      </w:r>
    </w:p>
    <w:p>
      <w:pPr>
        <w:spacing w:line="560" w:lineRule="exact"/>
        <w:rPr>
          <w:rFonts w:eastAsia="仿宋_GB2312"/>
          <w:b/>
          <w:bCs w:val="0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b/>
          <w:bCs w:val="0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b/>
          <w:bCs w:val="0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b/>
          <w:bCs w:val="0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b/>
          <w:bCs w:val="0"/>
          <w:kern w:val="0"/>
          <w:sz w:val="30"/>
          <w:szCs w:val="30"/>
        </w:rPr>
      </w:pPr>
    </w:p>
    <w:p>
      <w:pPr>
        <w:spacing w:line="560" w:lineRule="exact"/>
        <w:ind w:firstLine="904" w:firstLineChars="250"/>
        <w:jc w:val="left"/>
        <w:rPr>
          <w:rFonts w:eastAsia="仿宋_GB2312"/>
          <w:b/>
          <w:bCs w:val="0"/>
          <w:kern w:val="0"/>
          <w:sz w:val="36"/>
          <w:szCs w:val="36"/>
        </w:rPr>
      </w:pPr>
      <w:r>
        <w:rPr>
          <w:rFonts w:eastAsia="仿宋_GB2312"/>
          <w:b/>
          <w:bCs w:val="0"/>
          <w:kern w:val="0"/>
          <w:sz w:val="36"/>
          <w:szCs w:val="36"/>
        </w:rPr>
        <w:t>项目名称：</w:t>
      </w:r>
      <w:r>
        <w:rPr>
          <w:rFonts w:hint="eastAsia" w:eastAsia="仿宋_GB2312"/>
          <w:b/>
          <w:bCs w:val="0"/>
          <w:kern w:val="0"/>
          <w:sz w:val="36"/>
          <w:szCs w:val="36"/>
        </w:rPr>
        <w:t>城镇职工医疗（生育）保险基金支出</w:t>
      </w:r>
    </w:p>
    <w:p>
      <w:pPr>
        <w:spacing w:line="560" w:lineRule="exact"/>
        <w:ind w:firstLine="904" w:firstLineChars="250"/>
        <w:jc w:val="left"/>
        <w:rPr>
          <w:rFonts w:hint="eastAsia" w:eastAsia="仿宋_GB2312"/>
          <w:b/>
          <w:bCs w:val="0"/>
          <w:kern w:val="0"/>
          <w:sz w:val="36"/>
          <w:szCs w:val="36"/>
        </w:rPr>
      </w:pPr>
      <w:r>
        <w:rPr>
          <w:rFonts w:eastAsia="仿宋_GB2312"/>
          <w:b/>
          <w:bCs w:val="0"/>
          <w:kern w:val="0"/>
          <w:sz w:val="36"/>
          <w:szCs w:val="36"/>
        </w:rPr>
        <w:t>实施单位（公章）：</w:t>
      </w:r>
      <w:r>
        <w:rPr>
          <w:rFonts w:hint="eastAsia" w:eastAsia="仿宋_GB2312"/>
          <w:b/>
          <w:bCs w:val="0"/>
          <w:kern w:val="0"/>
          <w:sz w:val="36"/>
          <w:szCs w:val="36"/>
          <w:lang w:val="en-US" w:eastAsia="zh-CN"/>
        </w:rPr>
        <w:t>伊宁县</w:t>
      </w:r>
      <w:r>
        <w:rPr>
          <w:rFonts w:hint="eastAsia" w:eastAsia="仿宋_GB2312"/>
          <w:b/>
          <w:bCs w:val="0"/>
          <w:kern w:val="0"/>
          <w:sz w:val="36"/>
          <w:szCs w:val="36"/>
        </w:rPr>
        <w:t>医疗保障局</w:t>
      </w:r>
    </w:p>
    <w:p>
      <w:pPr>
        <w:spacing w:line="560" w:lineRule="exact"/>
        <w:ind w:firstLine="904" w:firstLineChars="250"/>
        <w:jc w:val="left"/>
        <w:rPr>
          <w:rFonts w:hint="eastAsia" w:eastAsia="仿宋_GB2312"/>
          <w:b/>
          <w:bCs w:val="0"/>
          <w:kern w:val="0"/>
          <w:sz w:val="36"/>
          <w:szCs w:val="36"/>
          <w:lang w:val="en-US" w:eastAsia="zh-CN"/>
        </w:rPr>
      </w:pPr>
      <w:r>
        <w:rPr>
          <w:rFonts w:hint="eastAsia" w:eastAsia="仿宋_GB2312"/>
          <w:b/>
          <w:bCs w:val="0"/>
          <w:kern w:val="0"/>
          <w:sz w:val="36"/>
          <w:szCs w:val="36"/>
        </w:rPr>
        <w:t>负 责 人（签章）：</w:t>
      </w:r>
      <w:r>
        <w:rPr>
          <w:rFonts w:hint="eastAsia" w:eastAsia="仿宋_GB2312"/>
          <w:b/>
          <w:bCs w:val="0"/>
          <w:kern w:val="0"/>
          <w:sz w:val="36"/>
          <w:szCs w:val="36"/>
          <w:lang w:val="en-US" w:eastAsia="zh-CN"/>
        </w:rPr>
        <w:t>何颖</w:t>
      </w:r>
    </w:p>
    <w:p>
      <w:pPr>
        <w:spacing w:line="560" w:lineRule="exact"/>
        <w:ind w:firstLine="904" w:firstLineChars="250"/>
        <w:jc w:val="left"/>
        <w:rPr>
          <w:rFonts w:hint="eastAsia" w:eastAsia="仿宋_GB2312"/>
          <w:b/>
          <w:bCs w:val="0"/>
          <w:kern w:val="0"/>
          <w:sz w:val="36"/>
          <w:szCs w:val="36"/>
        </w:rPr>
      </w:pPr>
      <w:r>
        <w:rPr>
          <w:rFonts w:eastAsia="仿宋_GB2312"/>
          <w:b/>
          <w:bCs w:val="0"/>
          <w:kern w:val="0"/>
          <w:sz w:val="36"/>
          <w:szCs w:val="36"/>
        </w:rPr>
        <w:t>填报时间：</w:t>
      </w:r>
      <w:r>
        <w:rPr>
          <w:rFonts w:hint="eastAsia" w:eastAsia="仿宋_GB2312"/>
          <w:b/>
          <w:bCs w:val="0"/>
          <w:kern w:val="0"/>
          <w:sz w:val="36"/>
          <w:szCs w:val="36"/>
        </w:rPr>
        <w:t>202</w:t>
      </w:r>
      <w:r>
        <w:rPr>
          <w:rFonts w:hint="eastAsia" w:eastAsia="仿宋_GB2312"/>
          <w:b/>
          <w:bCs w:val="0"/>
          <w:kern w:val="0"/>
          <w:sz w:val="36"/>
          <w:szCs w:val="36"/>
          <w:lang w:val="en-US" w:eastAsia="zh-CN"/>
        </w:rPr>
        <w:t>1</w:t>
      </w:r>
      <w:r>
        <w:rPr>
          <w:rFonts w:hint="eastAsia" w:eastAsia="仿宋_GB2312"/>
          <w:b/>
          <w:bCs w:val="0"/>
          <w:kern w:val="0"/>
          <w:sz w:val="36"/>
          <w:szCs w:val="36"/>
        </w:rPr>
        <w:t>年</w:t>
      </w:r>
      <w:r>
        <w:rPr>
          <w:rFonts w:hint="eastAsia" w:eastAsia="仿宋_GB2312"/>
          <w:b/>
          <w:bCs w:val="0"/>
          <w:kern w:val="0"/>
          <w:sz w:val="36"/>
          <w:szCs w:val="36"/>
          <w:lang w:val="en-US" w:eastAsia="zh-CN"/>
        </w:rPr>
        <w:t>8</w:t>
      </w:r>
      <w:r>
        <w:rPr>
          <w:rFonts w:hint="eastAsia" w:eastAsia="仿宋_GB2312"/>
          <w:b/>
          <w:bCs w:val="0"/>
          <w:kern w:val="0"/>
          <w:sz w:val="36"/>
          <w:szCs w:val="36"/>
        </w:rPr>
        <w:t>月</w:t>
      </w:r>
      <w:r>
        <w:rPr>
          <w:rFonts w:hint="eastAsia" w:eastAsia="仿宋_GB2312"/>
          <w:b/>
          <w:bCs w:val="0"/>
          <w:kern w:val="0"/>
          <w:sz w:val="36"/>
          <w:szCs w:val="36"/>
          <w:lang w:val="en-US" w:eastAsia="zh-CN"/>
        </w:rPr>
        <w:t>13</w:t>
      </w:r>
      <w:r>
        <w:rPr>
          <w:rFonts w:hint="eastAsia" w:eastAsia="仿宋_GB2312"/>
          <w:b/>
          <w:bCs w:val="0"/>
          <w:kern w:val="0"/>
          <w:sz w:val="36"/>
          <w:szCs w:val="36"/>
        </w:rPr>
        <w:t>日</w:t>
      </w:r>
    </w:p>
    <w:p>
      <w:pPr>
        <w:spacing w:line="560" w:lineRule="exact"/>
        <w:ind w:firstLine="900" w:firstLineChars="250"/>
        <w:jc w:val="left"/>
        <w:rPr>
          <w:rFonts w:hint="eastAsia" w:eastAsia="仿宋_GB2312"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640"/>
        <w:rPr>
          <w:rStyle w:val="20"/>
          <w:rFonts w:eastAsia="黑体"/>
          <w:b w:val="0"/>
          <w:spacing w:val="-4"/>
          <w:sz w:val="32"/>
          <w:szCs w:val="32"/>
        </w:rPr>
      </w:pPr>
      <w:r>
        <w:rPr>
          <w:rStyle w:val="20"/>
          <w:rFonts w:hAnsi="黑体" w:eastAsia="黑体"/>
          <w:b w:val="0"/>
          <w:spacing w:val="-4"/>
          <w:sz w:val="32"/>
          <w:szCs w:val="32"/>
        </w:rPr>
        <w:t>一、医疗</w:t>
      </w:r>
      <w:r>
        <w:rPr>
          <w:rStyle w:val="20"/>
          <w:rFonts w:hint="eastAsia" w:hAnsi="黑体" w:eastAsia="黑体"/>
          <w:b w:val="0"/>
          <w:spacing w:val="-4"/>
          <w:sz w:val="32"/>
          <w:szCs w:val="32"/>
        </w:rPr>
        <w:t>保障</w:t>
      </w:r>
      <w:r>
        <w:rPr>
          <w:rStyle w:val="20"/>
          <w:rFonts w:hAnsi="黑体" w:eastAsia="黑体"/>
          <w:b w:val="0"/>
          <w:spacing w:val="-4"/>
          <w:sz w:val="32"/>
          <w:szCs w:val="32"/>
        </w:rPr>
        <w:t>基金收支余总体情况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（一）医疗保险基金总体情况</w:t>
      </w:r>
    </w:p>
    <w:p>
      <w:pPr>
        <w:ind w:firstLine="750" w:firstLineChars="250"/>
        <w:rPr>
          <w:rFonts w:hint="eastAsia" w:ascii="仿宋" w:hAnsi="仿宋" w:eastAsia="仿宋" w:cs="Arial"/>
          <w:color w:val="333333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sz w:val="30"/>
          <w:szCs w:val="30"/>
        </w:rPr>
        <w:t>2019年2月2</w:t>
      </w:r>
      <w:r>
        <w:rPr>
          <w:rFonts w:ascii="仿宋" w:hAnsi="仿宋" w:eastAsia="仿宋" w:cs="Arial"/>
          <w:color w:val="333333"/>
          <w:sz w:val="30"/>
          <w:szCs w:val="30"/>
        </w:rPr>
        <w:t>8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日，伊宁县医疗保障局正式挂牌成立</w:t>
      </w:r>
      <w:r>
        <w:rPr>
          <w:rFonts w:hint="eastAsia" w:ascii="仿宋" w:hAnsi="仿宋" w:eastAsia="仿宋" w:cs="Arial"/>
          <w:color w:val="333333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主要工作职责是：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贯彻执行国家、省、州医疗保险、生育保险、医疗救助等医疗保障制度，执行落实自治区医疗保障制度的法规规章、政策、规划和补助；执行落实自治区人身意外伤害保险、大额医疗补助、公务员医疗补助、企事业单位补充医疗保险、离休人员和优抚对象医疗保障政策、管理办法。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伊宁县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医疗保障部门按照国家、自治区医疗保障工作要点，切实强化预决算管理，规范优化收支和经办流程，加强医保基金监管，确保医保基金基金安全和可持续，有效发挥医疗保障是事关人民健康福祉的重大民生工程、是实现社会稳定的重要压舱石、是构建和谐社会的重要减压阀的功能作用。</w:t>
      </w:r>
    </w:p>
    <w:p>
      <w:pPr>
        <w:spacing w:line="560" w:lineRule="exact"/>
        <w:ind w:firstLine="567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一、</w:t>
      </w:r>
      <w:r>
        <w:rPr>
          <w:rFonts w:eastAsia="仿宋_GB2312"/>
          <w:b/>
          <w:bCs/>
          <w:sz w:val="32"/>
          <w:szCs w:val="32"/>
        </w:rPr>
        <w:t>城镇职工基本医疗保险基金</w:t>
      </w:r>
      <w:r>
        <w:rPr>
          <w:rStyle w:val="20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总体情况</w:t>
      </w:r>
    </w:p>
    <w:p>
      <w:pPr>
        <w:ind w:firstLine="450" w:firstLineChars="150"/>
        <w:rPr>
          <w:rFonts w:hint="eastAsia" w:ascii="仿宋" w:hAnsi="仿宋" w:eastAsia="仿宋" w:cs="Arial"/>
          <w:color w:val="333333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sz w:val="30"/>
          <w:szCs w:val="30"/>
        </w:rPr>
        <w:t>20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年城镇职工医保基金本年收入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14144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eastAsia="zh-CN"/>
        </w:rPr>
        <w:t>（收入小计不含上下级往来）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，其中：基本医疗保险费收入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14105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万元。本年支出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5761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eastAsia="zh-CN"/>
        </w:rPr>
        <w:t>（支出小计不含上下级往来）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，其中，基本医疗保险待遇支出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5742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</w:t>
      </w:r>
      <w:r>
        <w:rPr>
          <w:rFonts w:hint="eastAsia" w:ascii="仿宋" w:hAnsi="仿宋" w:eastAsia="仿宋" w:cs="Arial"/>
          <w:color w:val="333333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转移支出19万元。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本年收支结余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195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万元，年末滚存结余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13021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万元，其中：个人账户滚存结余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12515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万元。</w:t>
      </w:r>
    </w:p>
    <w:p>
      <w:pPr>
        <w:adjustRightInd w:val="0"/>
        <w:snapToGrid w:val="0"/>
        <w:spacing w:line="560" w:lineRule="exact"/>
        <w:ind w:firstLine="313" w:firstLineChars="100"/>
        <w:rPr>
          <w:rStyle w:val="20"/>
          <w:rFonts w:eastAsia="仿宋_GB2312"/>
          <w:spacing w:val="-4"/>
          <w:sz w:val="32"/>
          <w:szCs w:val="32"/>
        </w:rPr>
      </w:pPr>
      <w:r>
        <w:rPr>
          <w:rStyle w:val="20"/>
          <w:rFonts w:eastAsia="仿宋_GB2312"/>
          <w:spacing w:val="-4"/>
          <w:sz w:val="32"/>
          <w:szCs w:val="32"/>
        </w:rPr>
        <w:t>（</w:t>
      </w:r>
      <w:r>
        <w:rPr>
          <w:rStyle w:val="20"/>
          <w:rFonts w:hint="eastAsia" w:eastAsia="仿宋_GB2312"/>
          <w:spacing w:val="-4"/>
          <w:sz w:val="32"/>
          <w:szCs w:val="32"/>
          <w:lang w:val="en-US" w:eastAsia="zh-CN"/>
        </w:rPr>
        <w:t>一</w:t>
      </w:r>
      <w:r>
        <w:rPr>
          <w:rStyle w:val="20"/>
          <w:rFonts w:eastAsia="仿宋_GB2312"/>
          <w:spacing w:val="-4"/>
          <w:sz w:val="32"/>
          <w:szCs w:val="32"/>
        </w:rPr>
        <w:t>）医疗保险基金支出预算绩效目标设定情况</w:t>
      </w:r>
    </w:p>
    <w:p>
      <w:pPr>
        <w:ind w:firstLine="450" w:firstLineChars="150"/>
        <w:rPr>
          <w:rFonts w:hint="eastAsia" w:ascii="仿宋" w:hAnsi="仿宋" w:eastAsia="仿宋" w:cs="Arial"/>
          <w:color w:val="333333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sz w:val="30"/>
          <w:szCs w:val="30"/>
        </w:rPr>
        <w:t>20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年预算城镇职工医保基金总支出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12774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万元，其中：待遇支出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12764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万元、转移支出1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万元。</w:t>
      </w:r>
    </w:p>
    <w:p>
      <w:pPr>
        <w:ind w:firstLine="450" w:firstLineChars="150"/>
        <w:rPr>
          <w:rFonts w:hint="eastAsia" w:ascii="仿宋" w:hAnsi="仿宋" w:eastAsia="仿宋" w:cs="Arial"/>
          <w:color w:val="333333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sz w:val="30"/>
          <w:szCs w:val="30"/>
        </w:rPr>
        <w:t>20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年，全年预算支出执行目标95%以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下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，待遇计算准确率、参保群众满意率99%以上。</w:t>
      </w:r>
    </w:p>
    <w:p>
      <w:pPr>
        <w:adjustRightInd w:val="0"/>
        <w:snapToGrid w:val="0"/>
        <w:spacing w:line="560" w:lineRule="exact"/>
        <w:ind w:firstLine="640"/>
        <w:rPr>
          <w:rStyle w:val="20"/>
          <w:rFonts w:eastAsia="黑体"/>
          <w:b w:val="0"/>
          <w:color w:val="auto"/>
          <w:spacing w:val="-4"/>
          <w:sz w:val="32"/>
          <w:szCs w:val="32"/>
        </w:rPr>
      </w:pPr>
      <w:r>
        <w:rPr>
          <w:rStyle w:val="20"/>
          <w:rFonts w:hAnsi="黑体" w:eastAsia="黑体"/>
          <w:b w:val="0"/>
          <w:color w:val="auto"/>
          <w:spacing w:val="-4"/>
          <w:sz w:val="32"/>
          <w:szCs w:val="32"/>
        </w:rPr>
        <w:t>二、医疗保险基金预算完成及运行情况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eastAsia="仿宋_GB2312"/>
          <w:color w:val="auto"/>
          <w:spacing w:val="-4"/>
          <w:sz w:val="32"/>
          <w:szCs w:val="32"/>
        </w:rPr>
      </w:pPr>
      <w:r>
        <w:rPr>
          <w:rStyle w:val="20"/>
          <w:rFonts w:eastAsia="仿宋_GB2312"/>
          <w:color w:val="auto"/>
          <w:spacing w:val="-4"/>
          <w:sz w:val="32"/>
          <w:szCs w:val="32"/>
        </w:rPr>
        <w:t>（一）城镇职工基本医疗保险基预算完成及运行情况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20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eastAsia="仿宋_GB2312"/>
          <w:color w:val="auto"/>
          <w:sz w:val="32"/>
          <w:szCs w:val="32"/>
        </w:rPr>
        <w:t>年</w:t>
      </w:r>
      <w:r>
        <w:rPr>
          <w:rFonts w:hint="eastAsia" w:eastAsia="仿宋_GB2312"/>
          <w:color w:val="auto"/>
          <w:sz w:val="32"/>
          <w:szCs w:val="32"/>
        </w:rPr>
        <w:t>，</w:t>
      </w:r>
      <w:r>
        <w:rPr>
          <w:rFonts w:eastAsia="仿宋_GB2312"/>
          <w:color w:val="auto"/>
          <w:sz w:val="32"/>
          <w:szCs w:val="32"/>
        </w:rPr>
        <w:t>镇职工基本医疗保险基金收入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14144</w:t>
      </w:r>
      <w:r>
        <w:rPr>
          <w:rFonts w:eastAsia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eastAsia="zh-CN"/>
        </w:rPr>
        <w:t>（收入小计不含上下级往来）</w:t>
      </w:r>
      <w:r>
        <w:rPr>
          <w:rFonts w:eastAsia="仿宋_GB2312"/>
          <w:color w:val="auto"/>
          <w:sz w:val="32"/>
          <w:szCs w:val="32"/>
        </w:rPr>
        <w:t>，完成预算任务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16086</w:t>
      </w:r>
      <w:r>
        <w:rPr>
          <w:rFonts w:eastAsia="仿宋_GB2312"/>
          <w:color w:val="auto"/>
          <w:sz w:val="32"/>
          <w:szCs w:val="32"/>
        </w:rPr>
        <w:t>万元的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88</w:t>
      </w:r>
      <w:r>
        <w:rPr>
          <w:rFonts w:eastAsia="仿宋_GB2312"/>
          <w:color w:val="auto"/>
          <w:sz w:val="32"/>
          <w:szCs w:val="32"/>
        </w:rPr>
        <w:t>%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val="en-US" w:eastAsia="zh-CN"/>
        </w:rPr>
        <w:t>预算执行率低</w:t>
      </w:r>
      <w:r>
        <w:rPr>
          <w:rFonts w:eastAsia="仿宋_GB2312"/>
          <w:sz w:val="32"/>
          <w:szCs w:val="32"/>
        </w:rPr>
        <w:t>的主要原因：</w:t>
      </w:r>
      <w:r>
        <w:rPr>
          <w:rFonts w:hint="eastAsia" w:eastAsia="仿宋_GB2312"/>
          <w:sz w:val="32"/>
          <w:szCs w:val="32"/>
          <w:lang w:eastAsia="zh-CN"/>
        </w:rPr>
        <w:t>部分单位</w:t>
      </w: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20年机关事业单位12月医疗保险费未能在年底扎账前拨付</w:t>
      </w:r>
      <w:r>
        <w:rPr>
          <w:rFonts w:eastAsia="仿宋_GB2312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eastAsia="仿宋_GB2312"/>
          <w:spacing w:val="-6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pacing w:val="-6"/>
          <w:sz w:val="32"/>
          <w:szCs w:val="32"/>
        </w:rPr>
        <w:t>0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20</w:t>
      </w:r>
      <w:r>
        <w:rPr>
          <w:rFonts w:eastAsia="仿宋_GB2312"/>
          <w:spacing w:val="-6"/>
          <w:sz w:val="32"/>
          <w:szCs w:val="32"/>
        </w:rPr>
        <w:t>城镇职工基本医保基金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预算</w:t>
      </w:r>
      <w:r>
        <w:rPr>
          <w:rFonts w:eastAsia="仿宋_GB2312"/>
          <w:spacing w:val="-6"/>
          <w:sz w:val="32"/>
          <w:szCs w:val="32"/>
        </w:rPr>
        <w:t>支出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12774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万元，实际支出5761</w:t>
      </w:r>
      <w:r>
        <w:rPr>
          <w:rFonts w:eastAsia="仿宋_GB2312"/>
          <w:spacing w:val="-6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eastAsia="zh-CN"/>
        </w:rPr>
        <w:t>（支出小计不含上下级往来）</w:t>
      </w:r>
      <w:r>
        <w:rPr>
          <w:rFonts w:eastAsia="仿宋_GB2312"/>
          <w:spacing w:val="-6"/>
          <w:sz w:val="32"/>
          <w:szCs w:val="32"/>
        </w:rPr>
        <w:t>，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预算完成率45%，主要原因是：</w:t>
      </w:r>
    </w:p>
    <w:p>
      <w:pPr>
        <w:adjustRightInd w:val="0"/>
        <w:snapToGrid w:val="0"/>
        <w:spacing w:line="560" w:lineRule="exact"/>
        <w:ind w:firstLine="616" w:firstLineChars="200"/>
        <w:rPr>
          <w:rFonts w:hint="default" w:eastAsia="仿宋_GB2312"/>
          <w:spacing w:val="-6"/>
          <w:sz w:val="32"/>
          <w:szCs w:val="32"/>
          <w:lang w:val="en-US" w:eastAsia="zh-CN"/>
        </w:rPr>
      </w:pPr>
      <w:r>
        <w:rPr>
          <w:rFonts w:hint="eastAsia" w:eastAsia="仿宋_GB2312"/>
          <w:spacing w:val="-6"/>
          <w:sz w:val="32"/>
          <w:szCs w:val="32"/>
          <w:lang w:val="en-US" w:eastAsia="zh-CN"/>
        </w:rPr>
        <w:t>1、2020年度联合第三方对县域两定机构进行了全覆盖稽核，规范药店经营范围，化妆品、日常用品全部下架，杜绝了药店压卡支付现象。基本医疗保险基金支出较上年有大幅下降。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2、2019年末编制2020年职工基本医疗费支出预算时，预算数包括州直及县域内发生的全部医疗费支出。年末决算只反映了在县域内发生的医疗费不包括州直结算部分，因此实际支出与预算有差距。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Style w:val="20"/>
          <w:rFonts w:eastAsia="黑体"/>
          <w:b w:val="0"/>
          <w:spacing w:val="-4"/>
          <w:sz w:val="32"/>
          <w:szCs w:val="32"/>
        </w:rPr>
      </w:pPr>
      <w:r>
        <w:rPr>
          <w:rStyle w:val="20"/>
          <w:rFonts w:eastAsia="黑体"/>
          <w:b w:val="0"/>
          <w:spacing w:val="-4"/>
          <w:sz w:val="32"/>
          <w:szCs w:val="32"/>
        </w:rPr>
        <w:t>三、医疗保险基金支出组织实施情况和绩效管理情况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（一）社会保险管理情况分析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1.加强基金预决算管理。</w:t>
      </w:r>
      <w:r>
        <w:rPr>
          <w:rFonts w:eastAsia="仿宋_GB2312"/>
          <w:bCs/>
          <w:sz w:val="32"/>
          <w:szCs w:val="32"/>
        </w:rPr>
        <w:t>与财政部门建立统筹协调、分工负责的联</w:t>
      </w:r>
      <w:r>
        <w:rPr>
          <w:rFonts w:hint="eastAsia" w:eastAsia="仿宋_GB2312"/>
          <w:bCs/>
          <w:sz w:val="32"/>
          <w:szCs w:val="32"/>
        </w:rPr>
        <w:t>动</w:t>
      </w:r>
      <w:r>
        <w:rPr>
          <w:rFonts w:eastAsia="仿宋_GB2312"/>
          <w:bCs/>
          <w:sz w:val="32"/>
          <w:szCs w:val="32"/>
        </w:rPr>
        <w:t>机制，</w:t>
      </w:r>
      <w:r>
        <w:rPr>
          <w:rFonts w:hint="eastAsia" w:eastAsia="仿宋_GB2312"/>
          <w:bCs/>
          <w:sz w:val="32"/>
          <w:szCs w:val="32"/>
        </w:rPr>
        <w:t>有效</w:t>
      </w:r>
      <w:r>
        <w:rPr>
          <w:rFonts w:eastAsia="仿宋_GB2312"/>
          <w:bCs/>
          <w:sz w:val="32"/>
          <w:szCs w:val="32"/>
        </w:rPr>
        <w:t>提高预决算编制工作效率和报表数据准确性。</w:t>
      </w:r>
      <w:r>
        <w:rPr>
          <w:rFonts w:hint="eastAsia" w:eastAsia="仿宋_GB2312"/>
          <w:bCs/>
          <w:sz w:val="32"/>
          <w:szCs w:val="32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</w:t>
      </w:r>
      <w:r>
        <w:rPr>
          <w:rFonts w:eastAsia="仿宋_GB2312"/>
          <w:b/>
          <w:snapToGrid w:val="0"/>
          <w:kern w:val="0"/>
          <w:sz w:val="32"/>
          <w:szCs w:val="32"/>
        </w:rPr>
        <w:t>.加强医保基金监管</w:t>
      </w:r>
      <w:r>
        <w:rPr>
          <w:rFonts w:eastAsia="仿宋_GB2312"/>
          <w:snapToGrid w:val="0"/>
          <w:kern w:val="0"/>
          <w:sz w:val="32"/>
          <w:szCs w:val="32"/>
        </w:rPr>
        <w:t>。推进全民医保计划，确保基本医疗保险参保率在95%以上。预算偏离度控制在10%以内。巩固提升“打击欺诈骗保专项治理”成果，落实举报奖励办法，推进医疗保障基金智能监控系统建设和应用，完善第三方监督机制。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（二）绩效目标完成情况分析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城镇</w:t>
      </w:r>
      <w:r>
        <w:rPr>
          <w:rFonts w:eastAsia="仿宋_GB2312"/>
          <w:sz w:val="32"/>
          <w:szCs w:val="32"/>
        </w:rPr>
        <w:t>职工基本医疗保险基金支出预算数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12774</w:t>
      </w:r>
      <w:r>
        <w:rPr>
          <w:rFonts w:eastAsia="仿宋_GB2312"/>
          <w:sz w:val="32"/>
          <w:szCs w:val="32"/>
        </w:rPr>
        <w:t>万元，实际执行数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5761</w:t>
      </w:r>
      <w:r>
        <w:rPr>
          <w:rFonts w:eastAsia="仿宋_GB2312"/>
          <w:sz w:val="32"/>
          <w:szCs w:val="32"/>
        </w:rPr>
        <w:t>万元，全年预算支出执行率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45</w:t>
      </w:r>
      <w:r>
        <w:rPr>
          <w:rFonts w:eastAsia="仿宋_GB2312"/>
          <w:sz w:val="32"/>
          <w:szCs w:val="32"/>
        </w:rPr>
        <w:t>%。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</w:t>
      </w:r>
      <w:r>
        <w:rPr>
          <w:rFonts w:eastAsia="仿宋_GB2312"/>
          <w:sz w:val="32"/>
          <w:szCs w:val="32"/>
        </w:rPr>
        <w:t>全年有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21857</w:t>
      </w:r>
      <w:r>
        <w:rPr>
          <w:rFonts w:hint="eastAsia" w:eastAsia="仿宋_GB2312"/>
          <w:color w:val="auto"/>
          <w:sz w:val="32"/>
          <w:szCs w:val="32"/>
        </w:rPr>
        <w:t>人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次</w:t>
      </w:r>
      <w:r>
        <w:rPr>
          <w:rFonts w:hint="eastAsia" w:eastAsia="仿宋_GB2312"/>
          <w:color w:val="auto"/>
          <w:sz w:val="32"/>
          <w:szCs w:val="32"/>
        </w:rPr>
        <w:t>享受城镇</w:t>
      </w:r>
      <w:r>
        <w:rPr>
          <w:rFonts w:eastAsia="仿宋_GB2312"/>
          <w:color w:val="auto"/>
          <w:sz w:val="32"/>
          <w:szCs w:val="32"/>
        </w:rPr>
        <w:t>职工住院就医</w:t>
      </w:r>
      <w:r>
        <w:rPr>
          <w:rFonts w:hint="eastAsia" w:eastAsia="仿宋_GB2312"/>
          <w:color w:val="auto"/>
          <w:sz w:val="32"/>
          <w:szCs w:val="32"/>
        </w:rPr>
        <w:t>、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6508</w:t>
      </w:r>
      <w:r>
        <w:rPr>
          <w:rFonts w:hint="eastAsia" w:eastAsia="仿宋_GB2312"/>
          <w:color w:val="auto"/>
          <w:sz w:val="32"/>
          <w:szCs w:val="32"/>
        </w:rPr>
        <w:t>人</w:t>
      </w:r>
      <w:r>
        <w:rPr>
          <w:rFonts w:eastAsia="仿宋_GB2312"/>
          <w:color w:val="auto"/>
          <w:sz w:val="32"/>
          <w:szCs w:val="32"/>
        </w:rPr>
        <w:t>享受门诊统筹待遇。全年</w:t>
      </w:r>
      <w:r>
        <w:rPr>
          <w:rFonts w:hint="eastAsia" w:eastAsia="仿宋_GB2312"/>
          <w:color w:val="auto"/>
          <w:sz w:val="32"/>
          <w:szCs w:val="32"/>
        </w:rPr>
        <w:t>生</w:t>
      </w:r>
      <w:r>
        <w:rPr>
          <w:rFonts w:eastAsia="仿宋_GB2312"/>
          <w:color w:val="auto"/>
          <w:sz w:val="32"/>
          <w:szCs w:val="32"/>
        </w:rPr>
        <w:t>育保险医疗费报销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1100</w:t>
      </w:r>
      <w:r>
        <w:rPr>
          <w:rFonts w:eastAsia="仿宋_GB2312"/>
          <w:color w:val="auto"/>
          <w:sz w:val="32"/>
          <w:szCs w:val="32"/>
        </w:rPr>
        <w:t>人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3、</w:t>
      </w:r>
      <w:r>
        <w:rPr>
          <w:rFonts w:eastAsia="仿宋_GB2312"/>
          <w:sz w:val="32"/>
          <w:szCs w:val="32"/>
        </w:rPr>
        <w:t>每月25日前支付各家医疗机构预付金，次月10前完成各医疗机构及药店上月医保基金结算工作。通过及时拨款，保障就医参保人员医疗生育保险各项待遇按时兑现。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hint="eastAsia" w:eastAsia="仿宋_GB2312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snapToGrid w:val="0"/>
          <w:kern w:val="0"/>
          <w:sz w:val="32"/>
          <w:szCs w:val="32"/>
        </w:rPr>
        <w:t>.形成</w:t>
      </w:r>
      <w:r>
        <w:rPr>
          <w:rFonts w:hint="eastAsia" w:eastAsia="仿宋_GB2312"/>
          <w:snapToGrid w:val="0"/>
          <w:kern w:val="0"/>
          <w:sz w:val="32"/>
          <w:szCs w:val="32"/>
        </w:rPr>
        <w:t>定期与</w:t>
      </w:r>
      <w:r>
        <w:rPr>
          <w:rFonts w:eastAsia="仿宋_GB2312"/>
          <w:snapToGrid w:val="0"/>
          <w:kern w:val="0"/>
          <w:sz w:val="32"/>
          <w:szCs w:val="32"/>
        </w:rPr>
        <w:t>财政、税务</w:t>
      </w:r>
      <w:r>
        <w:rPr>
          <w:rFonts w:hint="eastAsia" w:eastAsia="仿宋_GB2312"/>
          <w:snapToGrid w:val="0"/>
          <w:kern w:val="0"/>
          <w:sz w:val="32"/>
          <w:szCs w:val="32"/>
        </w:rPr>
        <w:t>等部门</w:t>
      </w:r>
      <w:r>
        <w:rPr>
          <w:rFonts w:eastAsia="仿宋_GB2312"/>
          <w:snapToGrid w:val="0"/>
          <w:kern w:val="0"/>
          <w:sz w:val="32"/>
          <w:szCs w:val="32"/>
        </w:rPr>
        <w:t>对账机制，保证基金核算准确性。及时编制月度、季度、年度基金报表，每月结束5日内报送月报，每季度结束15日内报送基金季报及分析，年度结束20日内报送决算报表及年报分析。</w:t>
      </w:r>
    </w:p>
    <w:p>
      <w:pPr>
        <w:adjustRightInd w:val="0"/>
        <w:snapToGrid w:val="0"/>
        <w:spacing w:line="560" w:lineRule="exact"/>
        <w:ind w:firstLine="640"/>
        <w:rPr>
          <w:rStyle w:val="20"/>
          <w:rFonts w:eastAsia="黑体"/>
          <w:b w:val="0"/>
          <w:spacing w:val="-4"/>
          <w:sz w:val="32"/>
          <w:szCs w:val="32"/>
        </w:rPr>
      </w:pPr>
      <w:bookmarkStart w:id="0" w:name="_Toc443496973"/>
      <w:bookmarkStart w:id="1" w:name="_Toc24892"/>
      <w:bookmarkStart w:id="2" w:name="_Toc475126038"/>
      <w:bookmarkStart w:id="3" w:name="_Toc317761057"/>
      <w:r>
        <w:rPr>
          <w:rStyle w:val="20"/>
          <w:rFonts w:eastAsia="黑体"/>
          <w:b w:val="0"/>
          <w:spacing w:val="-4"/>
          <w:sz w:val="32"/>
          <w:szCs w:val="32"/>
        </w:rPr>
        <w:t>四、其他需要说明的问题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1</w:t>
      </w:r>
      <w:r>
        <w:rPr>
          <w:rFonts w:eastAsia="仿宋_GB2312"/>
          <w:b/>
          <w:snapToGrid w:val="0"/>
          <w:kern w:val="0"/>
          <w:sz w:val="32"/>
          <w:szCs w:val="32"/>
        </w:rPr>
        <w:t>.推进医保精准扶贫</w:t>
      </w:r>
      <w:r>
        <w:rPr>
          <w:rFonts w:eastAsia="仿宋_GB2312"/>
          <w:snapToGrid w:val="0"/>
          <w:kern w:val="0"/>
          <w:sz w:val="32"/>
          <w:szCs w:val="32"/>
        </w:rPr>
        <w:t>。从严落实贫困人口应保尽保硬指标，贫困人口基本医疗保险、大病保险、医疗救助覆盖率达到100%。精准落实贫困人口缴费资助政策，严格执行特困人员全额资助和建档立卡贫困人口、低保对象定额资助要求。</w:t>
      </w:r>
    </w:p>
    <w:p>
      <w:pPr>
        <w:adjustRightInd w:val="0"/>
        <w:snapToGrid w:val="0"/>
        <w:spacing w:line="560" w:lineRule="exact"/>
        <w:ind w:firstLine="643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hint="eastAsia" w:eastAsia="仿宋_GB2312"/>
          <w:b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/>
          <w:snapToGrid w:val="0"/>
          <w:kern w:val="0"/>
          <w:sz w:val="32"/>
          <w:szCs w:val="32"/>
        </w:rPr>
        <w:t>.稳步整合基础制度</w:t>
      </w:r>
      <w:r>
        <w:rPr>
          <w:rFonts w:eastAsia="仿宋_GB2312"/>
          <w:snapToGrid w:val="0"/>
          <w:kern w:val="0"/>
          <w:sz w:val="32"/>
          <w:szCs w:val="32"/>
        </w:rPr>
        <w:t>。总结生育保险和职工基本医疗保险合并实施进展情况，持续推动“两险”的政策、经办的无缝衔接。对照国家医疗保障待遇清单，认真梳理州直范围内各项医保政策，统一规范“保基本”的内涵外延。完善医疗救助经办规程，</w:t>
      </w:r>
      <w:r>
        <w:rPr>
          <w:rStyle w:val="20"/>
          <w:rFonts w:hint="eastAsia" w:eastAsia="仿宋_GB2312"/>
          <w:b w:val="0"/>
          <w:snapToGrid w:val="0"/>
          <w:kern w:val="0"/>
          <w:sz w:val="32"/>
          <w:szCs w:val="32"/>
        </w:rPr>
        <w:t>完善</w:t>
      </w:r>
      <w:r>
        <w:rPr>
          <w:rStyle w:val="20"/>
          <w:rFonts w:eastAsia="仿宋_GB2312"/>
          <w:b w:val="0"/>
          <w:snapToGrid w:val="0"/>
          <w:kern w:val="0"/>
          <w:sz w:val="32"/>
          <w:szCs w:val="32"/>
        </w:rPr>
        <w:t>二次救助政策</w:t>
      </w:r>
      <w:r>
        <w:rPr>
          <w:rStyle w:val="20"/>
          <w:rFonts w:hint="eastAsia" w:eastAsia="仿宋_GB2312"/>
          <w:b w:val="0"/>
          <w:snapToGrid w:val="0"/>
          <w:kern w:val="0"/>
          <w:sz w:val="32"/>
          <w:szCs w:val="32"/>
        </w:rPr>
        <w:t>、</w:t>
      </w:r>
      <w:r>
        <w:rPr>
          <w:rStyle w:val="20"/>
          <w:rFonts w:eastAsia="仿宋_GB2312"/>
          <w:b w:val="0"/>
          <w:snapToGrid w:val="0"/>
          <w:kern w:val="0"/>
          <w:sz w:val="32"/>
          <w:szCs w:val="32"/>
        </w:rPr>
        <w:t>流程和标准。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（二）存在的问题</w:t>
      </w:r>
      <w:bookmarkEnd w:id="0"/>
      <w:bookmarkEnd w:id="1"/>
      <w:bookmarkEnd w:id="2"/>
      <w:bookmarkEnd w:id="3"/>
      <w:r>
        <w:rPr>
          <w:rStyle w:val="20"/>
          <w:rFonts w:hint="eastAsia" w:ascii="楷体_GB2312" w:eastAsia="楷体_GB2312"/>
          <w:spacing w:val="-4"/>
          <w:sz w:val="32"/>
          <w:szCs w:val="32"/>
        </w:rPr>
        <w:t>及建议</w:t>
      </w:r>
    </w:p>
    <w:p>
      <w:pPr>
        <w:adjustRightInd w:val="0"/>
        <w:snapToGrid w:val="0"/>
        <w:spacing w:line="560" w:lineRule="exact"/>
        <w:ind w:firstLine="624" w:firstLineChars="195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40"/>
        <w:rPr>
          <w:rStyle w:val="20"/>
          <w:rFonts w:eastAsia="黑体"/>
          <w:b w:val="0"/>
          <w:spacing w:val="-4"/>
          <w:sz w:val="32"/>
          <w:szCs w:val="32"/>
        </w:rPr>
      </w:pPr>
      <w:r>
        <w:rPr>
          <w:rStyle w:val="20"/>
          <w:rFonts w:eastAsia="黑体"/>
          <w:b w:val="0"/>
          <w:spacing w:val="-4"/>
          <w:sz w:val="32"/>
          <w:szCs w:val="32"/>
        </w:rPr>
        <w:t>五、附表</w:t>
      </w:r>
    </w:p>
    <w:tbl>
      <w:tblPr>
        <w:tblStyle w:val="18"/>
        <w:tblW w:w="9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伊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宁县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城镇职工医疗保险（含生育）支出绩效自评表</w:t>
            </w:r>
          </w:p>
        </w:tc>
      </w:tr>
    </w:tbl>
    <w:p>
      <w:pPr>
        <w:adjustRightInd w:val="0"/>
        <w:snapToGrid w:val="0"/>
        <w:spacing w:line="560" w:lineRule="exact"/>
        <w:ind w:firstLine="640"/>
        <w:rPr>
          <w:rStyle w:val="20"/>
          <w:rFonts w:eastAsia="仿宋_GB2312"/>
          <w:b w:val="0"/>
          <w:bCs w:val="0"/>
          <w:sz w:val="32"/>
          <w:szCs w:val="32"/>
        </w:rPr>
      </w:pPr>
      <w:bookmarkStart w:id="4" w:name="_GoBack"/>
      <w:bookmarkEnd w:id="4"/>
    </w:p>
    <w:sectPr>
      <w:footerReference r:id="rId3" w:type="default"/>
      <w:pgSz w:w="11906" w:h="16838"/>
      <w:pgMar w:top="2098" w:right="1531" w:bottom="1984" w:left="1531" w:header="1134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11734"/>
    <w:rsid w:val="00056465"/>
    <w:rsid w:val="00057F43"/>
    <w:rsid w:val="00077CCF"/>
    <w:rsid w:val="00096762"/>
    <w:rsid w:val="000A2D9A"/>
    <w:rsid w:val="000E7058"/>
    <w:rsid w:val="000F3878"/>
    <w:rsid w:val="00121AE4"/>
    <w:rsid w:val="00146AAD"/>
    <w:rsid w:val="001B019D"/>
    <w:rsid w:val="001B3A40"/>
    <w:rsid w:val="001B6CEB"/>
    <w:rsid w:val="002314F0"/>
    <w:rsid w:val="00240355"/>
    <w:rsid w:val="002C4738"/>
    <w:rsid w:val="002E428F"/>
    <w:rsid w:val="00317D2F"/>
    <w:rsid w:val="00325819"/>
    <w:rsid w:val="00392327"/>
    <w:rsid w:val="003C1F2D"/>
    <w:rsid w:val="003D30AB"/>
    <w:rsid w:val="003F2744"/>
    <w:rsid w:val="004366A8"/>
    <w:rsid w:val="004973F4"/>
    <w:rsid w:val="004C7AD2"/>
    <w:rsid w:val="00502BA7"/>
    <w:rsid w:val="0051288D"/>
    <w:rsid w:val="005162F1"/>
    <w:rsid w:val="00535153"/>
    <w:rsid w:val="00536224"/>
    <w:rsid w:val="00554F82"/>
    <w:rsid w:val="0056390D"/>
    <w:rsid w:val="005719B0"/>
    <w:rsid w:val="005B0104"/>
    <w:rsid w:val="005B63B4"/>
    <w:rsid w:val="005D10D6"/>
    <w:rsid w:val="005F382E"/>
    <w:rsid w:val="006877D6"/>
    <w:rsid w:val="006C577B"/>
    <w:rsid w:val="0070657A"/>
    <w:rsid w:val="00741077"/>
    <w:rsid w:val="00774FC7"/>
    <w:rsid w:val="007B79CE"/>
    <w:rsid w:val="00855E3A"/>
    <w:rsid w:val="00856C9A"/>
    <w:rsid w:val="00881E7B"/>
    <w:rsid w:val="00892FAA"/>
    <w:rsid w:val="00922CB9"/>
    <w:rsid w:val="00925E69"/>
    <w:rsid w:val="00933E99"/>
    <w:rsid w:val="00970A6A"/>
    <w:rsid w:val="009A057E"/>
    <w:rsid w:val="009B5D7E"/>
    <w:rsid w:val="009E5CD9"/>
    <w:rsid w:val="009F25CA"/>
    <w:rsid w:val="009F4E7D"/>
    <w:rsid w:val="00A26421"/>
    <w:rsid w:val="00A2784C"/>
    <w:rsid w:val="00A36931"/>
    <w:rsid w:val="00A4293B"/>
    <w:rsid w:val="00A67D50"/>
    <w:rsid w:val="00A777D7"/>
    <w:rsid w:val="00A8691A"/>
    <w:rsid w:val="00AC1946"/>
    <w:rsid w:val="00B40063"/>
    <w:rsid w:val="00B41F61"/>
    <w:rsid w:val="00B726FA"/>
    <w:rsid w:val="00BA46E6"/>
    <w:rsid w:val="00BB200C"/>
    <w:rsid w:val="00BC5DAB"/>
    <w:rsid w:val="00BE5E39"/>
    <w:rsid w:val="00C34670"/>
    <w:rsid w:val="00C56C72"/>
    <w:rsid w:val="00C97665"/>
    <w:rsid w:val="00CA6457"/>
    <w:rsid w:val="00D17F2E"/>
    <w:rsid w:val="00D30354"/>
    <w:rsid w:val="00D74428"/>
    <w:rsid w:val="00D80F3B"/>
    <w:rsid w:val="00D95620"/>
    <w:rsid w:val="00DE266E"/>
    <w:rsid w:val="00DF42A0"/>
    <w:rsid w:val="00E25910"/>
    <w:rsid w:val="00E769FE"/>
    <w:rsid w:val="00EA2CBE"/>
    <w:rsid w:val="00EF43B7"/>
    <w:rsid w:val="00F11E8E"/>
    <w:rsid w:val="00F2562C"/>
    <w:rsid w:val="00F32FEE"/>
    <w:rsid w:val="00FB10BB"/>
    <w:rsid w:val="043B1514"/>
    <w:rsid w:val="045B0E8E"/>
    <w:rsid w:val="0599686F"/>
    <w:rsid w:val="05B62C48"/>
    <w:rsid w:val="05D81707"/>
    <w:rsid w:val="0841066D"/>
    <w:rsid w:val="0B062B4A"/>
    <w:rsid w:val="0B3C3A8A"/>
    <w:rsid w:val="0B770ED9"/>
    <w:rsid w:val="0C6872A3"/>
    <w:rsid w:val="0D3C38E0"/>
    <w:rsid w:val="0EE459F3"/>
    <w:rsid w:val="0FA0285C"/>
    <w:rsid w:val="0FC3301E"/>
    <w:rsid w:val="0FD80A48"/>
    <w:rsid w:val="10F13ED6"/>
    <w:rsid w:val="11425805"/>
    <w:rsid w:val="11963721"/>
    <w:rsid w:val="11F4227C"/>
    <w:rsid w:val="133102BE"/>
    <w:rsid w:val="151A4F07"/>
    <w:rsid w:val="15F13163"/>
    <w:rsid w:val="170C4B7B"/>
    <w:rsid w:val="174265B1"/>
    <w:rsid w:val="17A4290C"/>
    <w:rsid w:val="17A60555"/>
    <w:rsid w:val="19DB18D1"/>
    <w:rsid w:val="1A3B637C"/>
    <w:rsid w:val="1A577F29"/>
    <w:rsid w:val="1AC90D6A"/>
    <w:rsid w:val="1B766C4C"/>
    <w:rsid w:val="1D94059C"/>
    <w:rsid w:val="1DB1222D"/>
    <w:rsid w:val="1DF237B1"/>
    <w:rsid w:val="20AF43C7"/>
    <w:rsid w:val="22901DDD"/>
    <w:rsid w:val="22C11DED"/>
    <w:rsid w:val="23F17C44"/>
    <w:rsid w:val="26A722C7"/>
    <w:rsid w:val="27713B3F"/>
    <w:rsid w:val="2822500D"/>
    <w:rsid w:val="287970E1"/>
    <w:rsid w:val="28C72D0C"/>
    <w:rsid w:val="2A2717E4"/>
    <w:rsid w:val="2B0307B3"/>
    <w:rsid w:val="2CEA0945"/>
    <w:rsid w:val="2DA3268A"/>
    <w:rsid w:val="2ED82A57"/>
    <w:rsid w:val="2FD6585F"/>
    <w:rsid w:val="301761EA"/>
    <w:rsid w:val="31433B3E"/>
    <w:rsid w:val="316F243B"/>
    <w:rsid w:val="32053D47"/>
    <w:rsid w:val="33E36904"/>
    <w:rsid w:val="33FD6ADB"/>
    <w:rsid w:val="351E5A03"/>
    <w:rsid w:val="35461E6E"/>
    <w:rsid w:val="367C3E1A"/>
    <w:rsid w:val="36CC7DEA"/>
    <w:rsid w:val="36F5706E"/>
    <w:rsid w:val="37A15ABA"/>
    <w:rsid w:val="382E4F99"/>
    <w:rsid w:val="387B59F4"/>
    <w:rsid w:val="39AB0EB3"/>
    <w:rsid w:val="39C873B4"/>
    <w:rsid w:val="3A43594C"/>
    <w:rsid w:val="3A527048"/>
    <w:rsid w:val="3BB219D1"/>
    <w:rsid w:val="3C094008"/>
    <w:rsid w:val="3C8B7664"/>
    <w:rsid w:val="3CBE5A58"/>
    <w:rsid w:val="3D66672B"/>
    <w:rsid w:val="3E90009C"/>
    <w:rsid w:val="3EAA29C9"/>
    <w:rsid w:val="3EBD35F3"/>
    <w:rsid w:val="3ECA39A7"/>
    <w:rsid w:val="401259AF"/>
    <w:rsid w:val="40DB7B8A"/>
    <w:rsid w:val="42253CE4"/>
    <w:rsid w:val="42381E74"/>
    <w:rsid w:val="42ED6814"/>
    <w:rsid w:val="42F724C4"/>
    <w:rsid w:val="44324488"/>
    <w:rsid w:val="44851653"/>
    <w:rsid w:val="46981453"/>
    <w:rsid w:val="47084FF7"/>
    <w:rsid w:val="478754C3"/>
    <w:rsid w:val="47986317"/>
    <w:rsid w:val="47E905C6"/>
    <w:rsid w:val="48D03EEF"/>
    <w:rsid w:val="48F612F7"/>
    <w:rsid w:val="49367F64"/>
    <w:rsid w:val="4A0E090F"/>
    <w:rsid w:val="4BDD4837"/>
    <w:rsid w:val="4C5D159A"/>
    <w:rsid w:val="4D2E58B2"/>
    <w:rsid w:val="4D552546"/>
    <w:rsid w:val="4F2F6CAE"/>
    <w:rsid w:val="4FD35AAA"/>
    <w:rsid w:val="501B62BF"/>
    <w:rsid w:val="50C8258C"/>
    <w:rsid w:val="52EB4E6B"/>
    <w:rsid w:val="5322341B"/>
    <w:rsid w:val="537013CB"/>
    <w:rsid w:val="53B31139"/>
    <w:rsid w:val="53EA7142"/>
    <w:rsid w:val="547E328F"/>
    <w:rsid w:val="54FA2F46"/>
    <w:rsid w:val="55352184"/>
    <w:rsid w:val="56C04B43"/>
    <w:rsid w:val="57C75FFE"/>
    <w:rsid w:val="58FF7C21"/>
    <w:rsid w:val="59412CEC"/>
    <w:rsid w:val="5AA908CB"/>
    <w:rsid w:val="5ADF1C96"/>
    <w:rsid w:val="5B07452F"/>
    <w:rsid w:val="5BAA4790"/>
    <w:rsid w:val="5BC63F53"/>
    <w:rsid w:val="5BE53F91"/>
    <w:rsid w:val="5D6407ED"/>
    <w:rsid w:val="5D6E5115"/>
    <w:rsid w:val="5DCF386F"/>
    <w:rsid w:val="5DD35B1A"/>
    <w:rsid w:val="5FA874C1"/>
    <w:rsid w:val="60803338"/>
    <w:rsid w:val="61AE6F89"/>
    <w:rsid w:val="62CE30FC"/>
    <w:rsid w:val="63057ED7"/>
    <w:rsid w:val="631047E2"/>
    <w:rsid w:val="63334D55"/>
    <w:rsid w:val="6351186F"/>
    <w:rsid w:val="63EE6205"/>
    <w:rsid w:val="64920CB8"/>
    <w:rsid w:val="65CF7DB9"/>
    <w:rsid w:val="66A60449"/>
    <w:rsid w:val="674433B4"/>
    <w:rsid w:val="69C366F2"/>
    <w:rsid w:val="6A4E15BE"/>
    <w:rsid w:val="6A5D44E8"/>
    <w:rsid w:val="6B1622AC"/>
    <w:rsid w:val="6B3C03CC"/>
    <w:rsid w:val="6B4C304A"/>
    <w:rsid w:val="6BA81A02"/>
    <w:rsid w:val="6BDF7362"/>
    <w:rsid w:val="6C8C14E6"/>
    <w:rsid w:val="6D0B6574"/>
    <w:rsid w:val="6D2F78DF"/>
    <w:rsid w:val="6DBE2C2C"/>
    <w:rsid w:val="6FD146C2"/>
    <w:rsid w:val="70321F68"/>
    <w:rsid w:val="70575C8C"/>
    <w:rsid w:val="741932D8"/>
    <w:rsid w:val="74A0740C"/>
    <w:rsid w:val="755F7D32"/>
    <w:rsid w:val="756E262E"/>
    <w:rsid w:val="7A690067"/>
    <w:rsid w:val="7A6F73D6"/>
    <w:rsid w:val="7C287EA5"/>
    <w:rsid w:val="7C73337E"/>
    <w:rsid w:val="7CFA49B6"/>
    <w:rsid w:val="7FBE3A7F"/>
    <w:rsid w:val="7FDA78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99"/>
    <w:pPr>
      <w:jc w:val="center"/>
    </w:pPr>
    <w:rPr>
      <w:rFonts w:eastAsia="方正小标宋简体"/>
      <w:b/>
      <w:bCs/>
      <w:sz w:val="44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3">
    <w:name w:val="标题 1 Char"/>
    <w:basedOn w:val="19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4">
    <w:name w:val="标题 2 Char"/>
    <w:basedOn w:val="19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5">
    <w:name w:val="标题 3 Char"/>
    <w:basedOn w:val="19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6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7">
    <w:name w:val="标题 5 Char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8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9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30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1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2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3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4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5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7">
    <w:name w:val="引用 Char"/>
    <w:basedOn w:val="19"/>
    <w:link w:val="36"/>
    <w:qFormat/>
    <w:uiPriority w:val="29"/>
    <w:rPr>
      <w:i/>
      <w:sz w:val="24"/>
      <w:szCs w:val="24"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9">
    <w:name w:val="明显引用 Char"/>
    <w:basedOn w:val="19"/>
    <w:link w:val="38"/>
    <w:qFormat/>
    <w:uiPriority w:val="30"/>
    <w:rPr>
      <w:b/>
      <w:i/>
      <w:sz w:val="24"/>
    </w:rPr>
  </w:style>
  <w:style w:type="character" w:customStyle="1" w:styleId="40">
    <w:name w:val="不明显强调1"/>
    <w:qFormat/>
    <w:uiPriority w:val="19"/>
    <w:rPr>
      <w:i/>
      <w:color w:val="585858" w:themeColor="text1" w:themeTint="A6"/>
    </w:rPr>
  </w:style>
  <w:style w:type="character" w:customStyle="1" w:styleId="41">
    <w:name w:val="明显强调1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2">
    <w:name w:val="不明显参考1"/>
    <w:basedOn w:val="19"/>
    <w:qFormat/>
    <w:uiPriority w:val="31"/>
    <w:rPr>
      <w:sz w:val="24"/>
      <w:szCs w:val="24"/>
      <w:u w:val="single"/>
    </w:rPr>
  </w:style>
  <w:style w:type="character" w:customStyle="1" w:styleId="43">
    <w:name w:val="明显参考1"/>
    <w:basedOn w:val="19"/>
    <w:qFormat/>
    <w:uiPriority w:val="32"/>
    <w:rPr>
      <w:b/>
      <w:sz w:val="24"/>
      <w:u w:val="single"/>
    </w:rPr>
  </w:style>
  <w:style w:type="character" w:customStyle="1" w:styleId="44">
    <w:name w:val="书籍标题1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6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页脚 Char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B6A79B-9EC9-442E-8771-45C0FE1CC5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10</Pages>
  <Words>730</Words>
  <Characters>4164</Characters>
  <Lines>34</Lines>
  <Paragraphs>9</Paragraphs>
  <TotalTime>6</TotalTime>
  <ScaleCrop>false</ScaleCrop>
  <LinksUpToDate>false</LinksUpToDate>
  <CharactersWithSpaces>4885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2021-09-07T03:54:39Z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4A42347138254CC1A07E599DF9C00D03</vt:lpwstr>
  </property>
</Properties>
</file>