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079FFDE" w14:textId="77777777" w:rsidR="00B30C15" w:rsidRDefault="00DB6A4D">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w:t>
      </w:r>
      <w:r>
        <w:rPr>
          <w:rFonts w:ascii="仿宋" w:cs="宋体" w:eastAsia="仿宋" w:hAnsi="仿宋" w:hint="eastAsia"/>
          <w:kern w:val="0"/>
          <w:sz w:val="32"/>
          <w:szCs w:val="32"/>
        </w:rPr>
        <w:t>2</w:t>
      </w:r>
      <w:r>
        <w:rPr>
          <w:rFonts w:ascii="仿宋" w:cs="宋体" w:eastAsia="仿宋" w:hAnsi="仿宋" w:hint="eastAsia"/>
          <w:kern w:val="0"/>
          <w:sz w:val="32"/>
          <w:szCs w:val="32"/>
        </w:rPr>
        <w:t>：</w:t>
      </w:r>
    </w:p>
    <w:p w14:paraId="1359DBB7" w14:textId="77777777" w:rsidR="00B30C15" w:rsidRDefault="00B30C15">
      <w:pPr>
        <w:spacing w:line="540" w:lineRule="exact"/>
        <w:jc w:val="center"/>
        <w:rPr>
          <w:rFonts w:ascii="华文中宋" w:cs="宋体" w:eastAsia="华文中宋" w:hAnsi="华文中宋"/>
          <w:b/>
          <w:kern w:val="0"/>
          <w:sz w:val="52"/>
          <w:szCs w:val="52"/>
        </w:rPr>
      </w:pPr>
    </w:p>
    <w:p w14:paraId="794EBCE4" w14:textId="77777777" w:rsidR="00B30C15" w:rsidRDefault="00B30C15">
      <w:pPr>
        <w:spacing w:line="540" w:lineRule="exact"/>
        <w:jc w:val="center"/>
        <w:rPr>
          <w:rFonts w:ascii="华文中宋" w:cs="宋体" w:eastAsia="华文中宋" w:hAnsi="华文中宋"/>
          <w:b/>
          <w:kern w:val="0"/>
          <w:sz w:val="52"/>
          <w:szCs w:val="52"/>
        </w:rPr>
      </w:pPr>
    </w:p>
    <w:p w14:paraId="5CB1669F" w14:textId="77777777" w:rsidR="00B30C15" w:rsidRDefault="00B30C15">
      <w:pPr>
        <w:spacing w:line="540" w:lineRule="exact"/>
        <w:jc w:val="center"/>
        <w:rPr>
          <w:rFonts w:ascii="华文中宋" w:cs="宋体" w:eastAsia="华文中宋" w:hAnsi="华文中宋"/>
          <w:b/>
          <w:kern w:val="0"/>
          <w:sz w:val="52"/>
          <w:szCs w:val="52"/>
        </w:rPr>
      </w:pPr>
    </w:p>
    <w:p w14:paraId="1CBABBE7" w14:textId="77777777" w:rsidR="00B30C15" w:rsidRDefault="00B30C15">
      <w:pPr>
        <w:spacing w:line="540" w:lineRule="exact"/>
        <w:jc w:val="center"/>
        <w:rPr>
          <w:rFonts w:ascii="华文中宋" w:cs="宋体" w:eastAsia="华文中宋" w:hAnsi="华文中宋"/>
          <w:b/>
          <w:kern w:val="0"/>
          <w:sz w:val="52"/>
          <w:szCs w:val="52"/>
        </w:rPr>
      </w:pPr>
    </w:p>
    <w:p w14:paraId="42C7541A" w14:textId="77777777" w:rsidR="00B30C15" w:rsidRDefault="00B30C15">
      <w:pPr>
        <w:spacing w:line="540" w:lineRule="exact"/>
        <w:jc w:val="center"/>
        <w:rPr>
          <w:rFonts w:ascii="华文中宋" w:cs="宋体" w:eastAsia="华文中宋" w:hAnsi="华文中宋"/>
          <w:b/>
          <w:kern w:val="0"/>
          <w:sz w:val="52"/>
          <w:szCs w:val="52"/>
        </w:rPr>
      </w:pPr>
    </w:p>
    <w:p w14:paraId="73F23259" w14:textId="77777777" w:rsidR="00B30C15" w:rsidRDefault="00B30C15">
      <w:pPr>
        <w:spacing w:line="540" w:lineRule="exact"/>
        <w:jc w:val="center"/>
        <w:rPr>
          <w:rFonts w:ascii="华文中宋" w:cs="宋体" w:eastAsia="华文中宋" w:hAnsi="华文中宋"/>
          <w:b/>
          <w:kern w:val="0"/>
          <w:sz w:val="52"/>
          <w:szCs w:val="52"/>
        </w:rPr>
      </w:pPr>
    </w:p>
    <w:p w14:paraId="2D82766C" w14:textId="15BA8B5A" w:rsidR="00B30C15" w:rsidRDefault="00DB6A4D">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项目支出绩效自评报告</w:t>
      </w:r>
    </w:p>
    <w:p w14:paraId="0105CAE8" w14:textId="77777777" w:rsidR="00B30C15" w:rsidRDefault="00B30C15">
      <w:pPr>
        <w:spacing w:line="540" w:lineRule="exact"/>
        <w:jc w:val="center"/>
        <w:rPr>
          <w:rFonts w:ascii="华文中宋" w:cs="宋体" w:eastAsia="华文中宋" w:hAnsi="华文中宋"/>
          <w:b/>
          <w:kern w:val="0"/>
          <w:sz w:val="52"/>
          <w:szCs w:val="52"/>
        </w:rPr>
      </w:pPr>
    </w:p>
    <w:p w14:paraId="5645C633" w14:textId="77777777" w:rsidR="00B30C15" w:rsidRDefault="00DB6A4D">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cs="宋体" w:eastAsia="仿宋_GB2312" w:hAnsi="宋体" w:hint="eastAsia"/>
          <w:kern w:val="0"/>
          <w:sz w:val="36"/>
          <w:szCs w:val="36"/>
        </w:rPr>
        <w:t xml:space="preserve">   </w:t>
      </w:r>
      <w:r>
        <w:rPr>
          <w:rStyle w:val="ad"/>
          <w:rFonts w:ascii="楷体" w:eastAsia="楷体" w:hAnsi="楷体" w:hint="eastAsia"/>
          <w:spacing w:val="-4"/>
          <w:sz w:val="32"/>
          <w:szCs w:val="32"/>
        </w:rPr>
        <w:t>2021</w:t>
      </w:r>
      <w:proofErr w:type="spellStart"/>
      <w:proofErr w:type="spellEnd"/>
      <w:r>
        <w:rPr>
          <w:rFonts w:cs="宋体" w:eastAsia="仿宋_GB2312" w:hAnsi="宋体" w:hint="eastAsia"/>
          <w:kern w:val="0"/>
          <w:sz w:val="36"/>
          <w:szCs w:val="36"/>
        </w:rPr>
        <w:t xml:space="preserve">  </w:t>
      </w:r>
      <w:r>
        <w:rPr>
          <w:rFonts w:cs="宋体" w:eastAsia="仿宋_GB2312" w:hAnsi="宋体" w:hint="eastAsia"/>
          <w:kern w:val="0"/>
          <w:sz w:val="36"/>
          <w:szCs w:val="36"/>
        </w:rPr>
        <w:t>年度）</w:t>
      </w:r>
    </w:p>
    <w:p w14:paraId="4DD17AE7" w14:textId="77777777" w:rsidR="00B30C15" w:rsidRDefault="00B30C15">
      <w:pPr>
        <w:spacing w:line="540" w:lineRule="exact"/>
        <w:jc w:val="center"/>
        <w:rPr>
          <w:rFonts w:cs="宋体" w:eastAsia="仿宋_GB2312" w:hAnsi="宋体"/>
          <w:kern w:val="0"/>
          <w:sz w:val="30"/>
          <w:szCs w:val="30"/>
        </w:rPr>
      </w:pPr>
    </w:p>
    <w:p w14:paraId="7864D631" w14:textId="77777777" w:rsidR="00B30C15" w:rsidRDefault="00B30C15">
      <w:pPr>
        <w:spacing w:line="540" w:lineRule="exact"/>
        <w:jc w:val="center"/>
        <w:rPr>
          <w:rFonts w:cs="宋体" w:eastAsia="仿宋_GB2312" w:hAnsi="宋体"/>
          <w:kern w:val="0"/>
          <w:sz w:val="30"/>
          <w:szCs w:val="30"/>
        </w:rPr>
      </w:pPr>
    </w:p>
    <w:p w14:paraId="1951DA0C" w14:textId="77777777" w:rsidR="00B30C15" w:rsidRDefault="00B30C15">
      <w:pPr>
        <w:spacing w:line="540" w:lineRule="exact"/>
        <w:jc w:val="center"/>
        <w:rPr>
          <w:rFonts w:cs="宋体" w:eastAsia="仿宋_GB2312" w:hAnsi="宋体"/>
          <w:kern w:val="0"/>
          <w:sz w:val="30"/>
          <w:szCs w:val="30"/>
        </w:rPr>
      </w:pPr>
    </w:p>
    <w:p w14:paraId="7426BE0C" w14:textId="77777777" w:rsidR="00B30C15" w:rsidRDefault="00B30C15">
      <w:pPr>
        <w:spacing w:line="540" w:lineRule="exact"/>
        <w:jc w:val="center"/>
        <w:rPr>
          <w:rFonts w:cs="宋体" w:eastAsia="仿宋_GB2312" w:hAnsi="宋体"/>
          <w:kern w:val="0"/>
          <w:sz w:val="30"/>
          <w:szCs w:val="30"/>
        </w:rPr>
      </w:pPr>
    </w:p>
    <w:p w14:paraId="0D55BB56" w14:textId="77777777" w:rsidR="00B30C15" w:rsidRDefault="00B30C15">
      <w:pPr>
        <w:spacing w:line="540" w:lineRule="exact"/>
        <w:jc w:val="center"/>
        <w:rPr>
          <w:rFonts w:cs="宋体" w:eastAsia="仿宋_GB2312" w:hAnsi="宋体"/>
          <w:kern w:val="0"/>
          <w:sz w:val="30"/>
          <w:szCs w:val="30"/>
        </w:rPr>
      </w:pPr>
    </w:p>
    <w:p w14:paraId="2D009827" w14:textId="77777777" w:rsidR="00B30C15" w:rsidRDefault="00B30C15">
      <w:pPr>
        <w:spacing w:line="540" w:lineRule="exact"/>
        <w:rPr>
          <w:rFonts w:cs="宋体" w:eastAsia="仿宋_GB2312" w:hAnsi="宋体"/>
          <w:kern w:val="0"/>
          <w:sz w:val="30"/>
          <w:szCs w:val="30"/>
        </w:rPr>
      </w:pPr>
    </w:p>
    <w:p w14:paraId="0AD9D5B4" w14:textId="77777777" w:rsidR="00B30C15" w:rsidRDefault="00DB6A4D">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14:paraId="61E82372" w14:textId="77777777" w:rsidR="00B30C15" w:rsidRDefault="00DB6A4D">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ad"/>
          <w:rFonts w:ascii="楷体" w:eastAsia="楷体" w:hAnsi="楷体" w:hint="eastAsia"/>
          <w:spacing w:val="-4"/>
          <w:sz w:val="32"/>
          <w:szCs w:val="32"/>
        </w:rPr>
        <w:t>2021年度城市运行经费</w:t>
      </w:r>
      <w:proofErr w:type="spellStart"/>
      <w:proofErr w:type="spellEnd"/>
    </w:p>
    <w:p w14:paraId="21A4AA14" w14:textId="77777777" w:rsidR="00B30C15" w:rsidRDefault="00DB6A4D">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w:t>
      </w:r>
      <w:r>
        <w:rPr>
          <w:rFonts w:cs="宋体" w:eastAsia="仿宋_GB2312" w:hAnsi="宋体" w:hint="eastAsia"/>
          <w:kern w:val="0"/>
          <w:sz w:val="36"/>
          <w:szCs w:val="36"/>
        </w:rPr>
        <w:t>实施单位（公章）：</w:t>
      </w:r>
      <w:r>
        <w:rPr>
          <w:rStyle w:val="ad"/>
          <w:rFonts w:ascii="楷体" w:eastAsia="楷体" w:hAnsi="楷体" w:hint="eastAsia"/>
          <w:spacing w:val="-4"/>
          <w:sz w:val="28"/>
          <w:szCs w:val="28"/>
        </w:rPr>
        <w:t>伊宁县住房和城乡建设局</w:t>
      </w:r>
      <w:proofErr w:type="spellStart"/>
      <w:proofErr w:type="spellEnd"/>
    </w:p>
    <w:p w14:paraId="451D76B1" w14:textId="77777777" w:rsidR="00B30C15" w:rsidRDefault="00DB6A4D">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ad"/>
          <w:rFonts w:ascii="楷体" w:eastAsia="楷体" w:hAnsi="楷体" w:hint="eastAsia"/>
          <w:spacing w:val="-4"/>
          <w:sz w:val="28"/>
          <w:szCs w:val="28"/>
        </w:rPr>
        <w:t>伊宁县住房和城乡建设局</w:t>
      </w:r>
      <w:proofErr w:type="spellStart"/>
      <w:proofErr w:type="spellEnd"/>
    </w:p>
    <w:p w14:paraId="165F2B56" w14:textId="77777777" w:rsidR="00B30C15" w:rsidRDefault="00DB6A4D">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ad"/>
          <w:rFonts w:ascii="楷体" w:eastAsia="楷体" w:hAnsi="楷体" w:hint="eastAsia"/>
          <w:spacing w:val="-4"/>
          <w:sz w:val="32"/>
          <w:szCs w:val="32"/>
        </w:rPr>
        <w:t>张元熙</w:t>
      </w:r>
      <w:proofErr w:type="spellStart"/>
      <w:proofErr w:type="spellEnd"/>
    </w:p>
    <w:p w14:paraId="5C0E3D36" w14:textId="77777777" w:rsidR="00B30C15" w:rsidRDefault="00DB6A4D">
      <w:pPr>
        <w:spacing w:line="540" w:lineRule="exact"/>
        <w:ind w:firstLine="567" w:left="273"/>
        <w:rPr>
          <w:rStyle w:val="ad"/>
          <w:rFonts w:ascii="楷体" w:eastAsia="楷体" w:hAnsi="楷体"/>
          <w:spacing w:val="-4"/>
          <w:sz w:val="32"/>
          <w:szCs w:val="32"/>
        </w:rPr>
      </w:pPr>
      <w:r>
        <w:rPr>
          <w:rFonts w:cs="宋体" w:eastAsia="仿宋_GB2312" w:hAnsi="宋体" w:hint="eastAsia"/>
          <w:kern w:val="0"/>
          <w:sz w:val="36"/>
          <w:szCs w:val="36"/>
        </w:rPr>
        <w:t>填报时间：</w:t>
      </w:r>
      <w:r>
        <w:rPr>
          <w:rStyle w:val="ad"/>
          <w:rFonts w:ascii="楷体" w:eastAsia="楷体" w:hAnsi="楷体" w:hint="eastAsia"/>
          <w:spacing w:val="-4"/>
          <w:sz w:val="32"/>
          <w:szCs w:val="32"/>
        </w:rPr>
        <w:t>2022年04月22日</w:t>
      </w:r>
    </w:p>
    <w:p w14:paraId="294F1896" w14:textId="77777777" w:rsidR="00B30C15" w:rsidRDefault="00B30C15">
      <w:pPr>
        <w:spacing w:line="700" w:lineRule="exact"/>
        <w:ind w:firstLine="708" w:firstLineChars="236"/>
        <w:jc w:val="left"/>
        <w:rPr>
          <w:rFonts w:cs="宋体" w:eastAsia="仿宋_GB2312" w:hAnsi="宋体"/>
          <w:kern w:val="0"/>
          <w:sz w:val="30"/>
          <w:szCs w:val="30"/>
        </w:rPr>
      </w:pPr>
    </w:p>
    <w:p w14:paraId="5A6EEF68" w14:textId="77777777" w:rsidR="00B30C15" w:rsidRDefault="00B30C15">
      <w:pPr>
        <w:spacing w:line="540" w:lineRule="exact"/>
        <w:rPr>
          <w:rStyle w:val="ad"/>
          <w:rFonts w:ascii="黑体" w:eastAsia="黑体" w:hAnsi="黑体"/>
          <w:b w:val="0"/>
          <w:spacing w:val="-4"/>
          <w:sz w:val="32"/>
          <w:szCs w:val="32"/>
        </w:rPr>
      </w:pPr>
    </w:p>
    <w:p w14:paraId="6CE35C78"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695F52D0"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（一）项目概况。包括项目背景、主要内容及实施情况、资金投入和使用情况等。</w:t>
      </w:r>
    </w:p>
    <w:p w14:paraId="08F8F31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项目概况</w:t>
        <w:br/>
        <w:t>（1）项目背景，主要内容及实施情况</w:t>
        <w:br/>
        <w:t>城市运行就是维持城市正常运作相关的各项事宜，主要包括对城市公共设施及其所承载服务的管理。真正为市民创造良好的人居环境，保障群众正常生活。</w:t>
        <w:br/>
        <w:t>按照县机构编制委员会设立机构10个，包括伊宁县住房和城乡建设局本级、房产管理所、绿化站、工程质量监督站，城建监察队、市政维护队、劳保费用统筹管理站、建材实验室、建筑设计室吉河管理办公室，独立核算机构2个，伊宁县住房和城乡建设局本级、安居办。因机构改革进行账户合并。</w:t>
        <w:br/>
        <w:t>伊宁县现共有道路清扫、垃圾装载清运和冬季除雪等各类设备车辆54辆（台），电动保洁车30辆，2013年后增加12辆。共计清扫保洁县城道路43条577.699万平方米；目前机械化清扫设备共有3辆，机械化清扫面积180.53万平方米；生活垃圾处理率90%，生活垃圾无害化处理率90%，免费公共厕所数量13座，收费公共厕所5座。工业废弃物处理率0%，工业废弃物利用率0%。</w:t>
        <w:br/>
        <w:t>主要内容及实施情况</w:t>
        <w:br/>
        <w:t>主要内容：</w:t>
        <w:br/>
        <w:t>（1） 指导城市供水、排水、污水处理、燃气、热力、市政道路、城市路灯、城市排涝等工作；</w:t>
        <w:br/>
        <w:t>（2）负责污水处理设施建设和重大减排项目的实施，</w:t>
        <w:br/>
        <w:t>（3）确保财政拨付关于城市运行经费及我县污水处理厂经费有时效、 有质量的使用。</w:t>
        <w:br/>
        <w:t>实施情况：</w:t>
        <w:br/>
        <w:t>1）经费拨付申报情况：本项目于2021年1月1日由伊宁县住房和城乡建设局填报2021年度城市运行经费申请并报伊宁县委财经委员会由伊宁县委财经委员会会议审批通过。</w:t>
        <w:br/>
        <w:t>2）项目实施情况：本项目于2021年1月至12月拨付劳务经费资金，主要用于城市运行维护人员劳务费用1547.93万元；于2021年9月拨付绿化用水经费资金79.99万元，主要用于县城绿化用水；2021年1月至12月拨付路灯电费经费资金302.31万元，主要用于县城路灯电费；2021年1月至12月拨付专用材料费经费资金16.37万元，主要用于路灯专业材料费；2021年1月至12月拨付专用车辆燃油费经费资金90.83万元，主要用于县城保洁以及清雪车辆燃油费；2021年1月至12月拨付苗木经费资金30.11万元，主要用于绿化苗木采购；截至2021年12月31日拨付环卫车辆维修经费共计53.39万元。</w:t>
        <w:br/>
        <w:t>（2)资金投入和使用情况</w:t>
        <w:br/>
        <w:t>资金投入情况：该项目年初预算数1000万元，预算追加数1120.93万元，全年预算数为2120.93万元，预算调整率112.09%。截至2021年12月31日，该项目实际总投入2120.93万元，实际总投入占比100%（实际总投入数/全年预算数*100%）。截至2021年12月31日，该项目资金落实到位2120.93万元，资金落实到位率100%，资金来源为县级财政拨款。</w:t>
        <w:br/>
        <w:t>资金使用情况：该项目年初预算数1000万元，全年预算数2120.93万元，全年执行数2120.93万元，全年预算执行率为100%，用于：</w:t>
        <w:br/>
        <w:t>1）环卫车辆维修经费支出53.39万元；</w:t>
        <w:br/>
        <w:t>2）绿化用水经费支出79.99万元；</w:t>
        <w:br/>
        <w:t>3）路灯电费经费支出302.31万元；</w:t>
        <w:br/>
        <w:t>4）专用材料费经费支出16.37万元；</w:t>
        <w:br/>
        <w:t>5）专用车辆燃油费经费支出90.83万元；</w:t>
        <w:br/>
        <w:t>6）苗木经费支出30.11万元 ；</w:t>
        <w:br/>
        <w:t>7）劳务费1547.93万元；</w:t>
      </w:r>
    </w:p>
    <w:p w14:paraId="5191B688"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（二）项目绩效目标。包括总体目标和阶段性目标。</w:t>
      </w:r>
    </w:p>
    <w:p w14:paraId="5E1453B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br/>
        <w:t>目标1：确保全县577万平方米面积整体干净整洁，保证市政维护队环卫车辆正常运转；</w:t>
        <w:br/>
        <w:t>目标2：确保县城用水质量得到改善，使水资源得到充分的利用，保障污水处理厂设备正常运行。</w:t>
        <w:br/>
        <w:t>（2）阶段性目标：</w:t>
        <w:br/>
        <w:t>2.1  2021年3月31日前完成冬季路面清雪清洁、环卫车辆及路灯维修维护工作，保障冬季路面清雪清洁覆盖率达到百分之百，对全县4000辆环卫车辆进行维修检修；提高路灯损坏维修率，积极实路灯维修率到达百分之百。</w:t>
        <w:br/>
        <w:t>2.2  2021年4月31日前完成绿化苗木种植工作，保障全县绿化面积大于等于577万平方米；</w:t>
      </w:r>
    </w:p>
    <w:p w14:paraId="4CDBE12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w:t>
      </w:r>
      <w:r>
        <w:rPr>
          <w:rStyle w:val="ad"/>
          <w:rFonts w:hint="eastAsia"/>
          <w:spacing w:val="-4"/>
          <w:sz w:val="32"/>
          <w:szCs w:val="32"/>
        </w:rPr>
        <w:t>绩效评价工作开展情况</w:t>
      </w:r>
    </w:p>
    <w:p w14:paraId="2A58866E"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212A02D4"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（1）绩效评价目的：</w:t>
        <w:br/>
        <w:t>通过绩效评价，客观地评判项目的管理绩效，了解和掌握2021年度城市运行经费项目支出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br/>
        <w:t>（2）绩效评价对象：</w:t>
        <w:br/>
        <w:t>2021年度城市运行经费项目</w:t>
        <w:br/>
        <w:t>（3）绩效评价范围：</w:t>
        <w:br/>
        <w:t>本次评价从项目决策（包括绩效目标、决策过程）、项目管理（包括项目资金、项目实施）、项目产出（包括项目产出数量、产出质量、产出时效和产出成本）、项目效益四个维度进行2021年度城市运行经费项目评价，评价核心为专项资金的支出完成情况和效果。</w:t>
      </w:r>
    </w:p>
    <w:p w14:paraId="63BB42D3"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（二）绩效评价原则、评价指标体系（附表说明）、评价方法、评价标准等。</w:t>
      </w:r>
    </w:p>
    <w:p w14:paraId="21FF8141"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（1）本次绩效评价主要遵循以下原则：</w:t>
        <w:br/>
        <w:t xml:space="preserve">    1）本次绩效评价严格按照《财政部关于印发&lt;项目支出绩效评价管理办法&gt;的通知》（财预【2020】10号）等文件要求，按照科学合理的方式，综合分析考核项目的绩效情况。</w:t>
        <w:br/>
        <w:t>2）科学公正。绩效评价应当运用科学合理的方法，按照规范的程序，对项目绩效进行客观、公正的反映。</w:t>
        <w:br/>
        <w:t>3）统筹兼顾。单位自评、部门评价和财政评价应职责明确，各有侧重，相互衔接。单位自评应由项目单位自主实施，即“谁支出、谁自评”。部门评价和财政评价应在单位自评的基础上开展，必要时可委托第三方机构实施。</w:t>
        <w:br/>
        <w:t>4）激励约束。绩效评价结果应与预算安排、政策调整、改进管理实质性挂钩，体现奖优罚劣和激励相容导向，有效要安排、低效要压减、无效要问责。</w:t>
        <w:br/>
        <w:t>5）公开透明。绩效评价结果应依法依规公开，并自觉接受社会监督。</w:t>
        <w:br/>
        <w:t>（2）评价指标体系（附表说明）</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2021年度城市运行经费项目支出绩效评价得分：94分。（3）评价方法</w:t>
        <w:br/>
        <w:t xml:space="preserve">本次项目支出绩效自评采用成本效益分析法，原因为：本项目为城市运行维护类型项目，项目支出评价内容主要方向为费用支出后可产生的效益，故使用成本效益分析法。 </w:t>
        <w:br/>
        <w:t>（4）评价标准</w:t>
        <w:br/>
        <w:t>本次项目支出绩效自评采用计划标准，原因是：因本项目预算支出后预期的产出效益是明确的，故以预先制定的目标、计划、预算、定额等作为评价标准。</w:t>
      </w:r>
    </w:p>
    <w:p w14:paraId="620E63F7" w14:textId="77777777" w:rsidR="00B30C15" w:rsidRDefault="00DB6A4D">
      <w:pPr>
        <w:spacing w:line="540" w:lineRule="exact"/>
        <w:ind w:firstLine="567" w:firstLineChars="181"/>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5D1DF44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（1）前期准备：</w:t>
        <w:br/>
        <w:t>2022年3月1日，开始前期准备工作：</w:t>
        <w:br/>
        <w:t>2022年3月1日，伊宁县住房和城乡建设局成立2021年度城市运行经费项目预算绩效自评工作评价小组（小组负责人：张元熙，小组成员：财务会计张倩、出纳付洁、财务室干部李疆威、办公室主任黄波、市政科干部魏洁、征收班干部何美玲、安居办干部孙振敏、市政维护队出纳阿丽亚）。</w:t>
        <w:br/>
        <w:t>1.1）；</w:t>
        <w:br/>
        <w:t>1.2 2022年3月4日，评价组通过前期调研确定绩效评价对象和范围，确定了评价的目的、方法以及评价的原则；</w:t>
        <w:br/>
        <w:t>1.3 2022年3月14日，根据项目的实施内容和特征制定了评价指标体系及评价标准以及评价实施方案，修正并确定所需资料清单，最终确定绩效评价工作方案；</w:t>
        <w:br/>
        <w:t>（2）组织实施：</w:t>
        <w:br/>
        <w:t>2022年3月16日- 3月23日，评价工作进入实施阶段：</w:t>
        <w:br/>
        <w:t>2.1  评价组收集绩效评价相关数据资料，进行现场调研、座谈；</w:t>
        <w:br/>
        <w:t>2.2  与项目实施负责人沟通，了解资金的内容、操作流程、管理机制、资金使用方向等情况，分析形成初步结论。</w:t>
        <w:br/>
        <w:t>（3）分析评价：</w:t>
        <w:br/>
        <w:t>2022年3月24日- 3月30日，评价组按照绩效评价的原则和规范，对取得的资料进行审查核实，对采集的数据进行分析，按照绩效评价指标评分表逐项进行打分、分析，汇总各方评价结果，综合分析并形成评价结论。</w:t>
      </w:r>
    </w:p>
    <w:p w14:paraId="6130A001" w14:textId="77777777" w:rsidR="00B30C15" w:rsidRDefault="00DB6A4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w:t>
      </w:r>
      <w:r>
        <w:rPr>
          <w:rStyle w:val="ad"/>
          <w:rFonts w:hint="eastAsia"/>
          <w:spacing w:val="-4"/>
          <w:sz w:val="32"/>
          <w:szCs w:val="32"/>
        </w:rPr>
        <w:t>综合评价情况及评价结论</w:t>
      </w:r>
    </w:p>
    <w:p w14:paraId="21773542"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 综合评价情况及评价结论</w:t>
        <w:br/>
        <w:t>本项目严格按照科学公正、统筹兼顾、激励约束、公开透明的绩效评价原则，采用成本效益分析法，坚持计划标准对本项目的立项、项绩效目标、资金投入、资金管理、组织实施、产出数量、产出质量、产出时效、产出成本、项目效益进行了综合评价。</w:t>
        <w:br/>
        <w:t>评价结论:</w:t>
        <w:br/>
        <w:t>本项目得分情况如下：</w:t>
        <w:br/>
        <w:t>项目决策32分；</w:t>
        <w:br/>
        <w:t>项目过程22分；</w:t>
        <w:br/>
        <w:t>项目产出20分；</w:t>
        <w:br/>
        <w:t>项目效益20分。</w:t>
        <w:br/>
        <w:t>本项目的决策、过程、产出、效益均达到了预期要求，最终得分为94分，项目达成年度指标。（若得分未达100分，则填写：本项目的决策、过程、产出、效益大部分达到了预期要求，最终得分为项目决策32分、项目过程22分、项目产出20分、项目效益20分。指标未达成年度指标的原因是：绩效监控政策宣传不到位。绩效监控作为新生事物，单位部门认识不到位，绩效管理专业人员匮乏，对绩效监控重视力度不够。预算单位把大量精力花在跑资金、争项目上，认为只要资金使用合法合规就行，忽视财政资金的使用监控。</w:t>
        <w:br/>
        <w:t>有的部门对预算绩效监控工作重视不够，缺乏主动性，应付的成分多于对管理问题的反思，没有将绩效管理工作作为一项日常性重要工作来抓。）</w:t>
      </w:r>
    </w:p>
    <w:p w14:paraId="7542F838" w14:textId="77777777" w:rsidR="00B30C15" w:rsidRDefault="00DB6A4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w:t>
      </w:r>
      <w:r>
        <w:rPr>
          <w:rStyle w:val="ad"/>
          <w:rFonts w:hint="eastAsia"/>
          <w:spacing w:val="-4"/>
          <w:sz w:val="32"/>
          <w:szCs w:val="32"/>
        </w:rPr>
        <w:t>绩效评价指</w:t>
      </w:r>
      <w:r>
        <w:rPr>
          <w:rStyle w:val="ad"/>
          <w:rFonts w:hint="eastAsia"/>
          <w:spacing w:val="-4"/>
          <w:sz w:val="32"/>
          <w:szCs w:val="32"/>
        </w:rPr>
        <w:t>标分析</w:t>
      </w:r>
      <w:r>
        <w:rPr>
          <w:rStyle w:val="ad"/>
          <w:rFonts w:ascii="黑体" w:eastAsia="黑体" w:hAnsi="黑体" w:hint="eastAsia"/>
          <w:b w:val="0"/>
          <w:spacing w:val="-4"/>
          <w:sz w:val="32"/>
          <w:szCs w:val="32"/>
        </w:rPr>
        <w:t xml:space="preserve"> </w:t>
      </w:r>
    </w:p>
    <w:p w14:paraId="253974FB"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14:paraId="284985BF"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(1)立项依据充分性</w:t>
        <w:br/>
        <w:t>本项目于2021年1月1日由伊宁县住房和城乡建设局填报2021年度城市运行经费申请并报伊宁县委财经委员会由伊宁县委财经委员会会议审批通过。</w:t>
        <w:br/>
        <w:t>本项目为经费类项目，无立项程序，依据上述1条国家政策及项目资金批复，项目资金使用依据充分且合理。</w:t>
        <w:br/>
        <w:t>(2)立项程序规范性</w:t>
        <w:br/>
        <w:t>①项目立项程序：本项目为经费类项目，无项目立项程序，提报经费支出申请等均按照伊宁县财经会议纪要文件要求等相关规定进行；</w:t>
        <w:br/>
        <w:t>②审批文件、材料：本项目审批文件有：《伊宁县住房和城乡建设局关于申请2021年度城市运行经费项目的资金申请报告》，审批文件及材料齐全；</w:t>
        <w:br/>
        <w:t>③项目事前工作：本项目已经过必要的绩效评估、集体决策。</w:t>
        <w:br/>
        <w:t>(3)绩效目标合理性</w:t>
        <w:br/>
        <w:t>2021年度城市运行经费项目设立了项目绩效目标，与确保全县577万平方米面积整体干净整洁，保证市政维护队环卫车辆正常运转；确保县城用水质量得到改善，使水资源得到充分的利用，保障污水处理厂设备正常运行。具有相关性，项目的预期产出效益和效果也均能符合正常的业绩水平，并且与预算确定的项目投资额或资金量相匹配。</w:t>
        <w:br/>
        <w:t>(4)绩效指标明确性</w:t>
        <w:br/>
        <w:t>2021年度城市运行经费项目将项目绩效目标细化分解为具体的绩效指标，一级指标共3条，二级指标共8条，三级指标共22条，其中量化指标条数共19条，所有绩效指标均通过清晰、可衡量的指标值予以体现，并且做到了与项目目标任务数或计划数相对应。</w:t>
        <w:br/>
        <w:t>(5)预算编制科学性</w:t>
        <w:br/>
        <w:t xml:space="preserve">    本项目实施内容为经费支出，资金使用严格按照项目财务管理制度及预算批复内容进行，项目预算编制按照经费类别及往年数据进行计算，预算数经过伊宁县委财经委员会会议确定，预算内容与项目内容无偏差，预算额度测算依据充分，项目投资额与工作任务匹配性100%，不存在偏差性。</w:t>
        <w:br/>
        <w:t>(6)资金分配合理性</w:t>
        <w:br/>
        <w:t xml:space="preserve">   本项目预算资金分配依据《伊宁县住房和城乡建设局关于申请2021年度城市运行经费项目的资金申请报告》，项目资金分配额度无偏低或偏高情况，分配额度合理。项目单位为伊宁县住房和城乡建设局位于伊宁县，经费支出类型为人员经费类型支出、办公类型经费支出等，资金使用方向较为多样，资金分配符合地方实际情况。</w:t>
      </w:r>
    </w:p>
    <w:p w14:paraId="279CAB95"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14:paraId="406F39A3"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(1)资金到位率</w:t>
        <w:br/>
        <w:t>实际到位资金2120.93万元，预算资金2120.93万元，资金到位率100%。</w:t>
        <w:br/>
        <w:t>(2)预算执行率</w:t>
        <w:br/>
        <w:t>年初预算数2120.93万元，全年预算数2120.93万元，全年执行数2120.93万元，预算执行率为100%%。</w:t>
        <w:br/>
        <w:t>(3)资金使用合规性</w:t>
        <w:br/>
        <w:t>3.1 资金使用符合、财务管理制度以及有关专项资金管理办法的规定；</w:t>
        <w:br/>
        <w:t>3.2 资金的拨付严格按照伊宁县住房和城乡建设局资金拨付审批程序进行：由供排水公司、市政维护队提交运行经费支付申请到伊宁县住房和城乡建设局分管领导，经审批后提交到财务室。项目资金拨付手续齐全，资金拨付手续有：运行经费支付申请报告、运行经费支付明细表、运行经费支付审批单。</w:t>
        <w:br/>
        <w:t>3.3 本项目资金规定的用途为：保障城市运行经费支出。符合项目预算批复规定的用途；</w:t>
        <w:br/>
        <w:t>3.4 项目资金截至2021年12月31日已拨付至100%，过程不存在截留、挤占、挪用、虚列支出等情况。</w:t>
        <w:br/>
        <w:t>(4)管理制度健全性</w:t>
        <w:br/>
        <w:t>4.1 本项目已制定《伊宁县住房和城乡建设局项目财务管理制度》、《伊宁县住房和城乡建设局业务管理制度》，管理制度健全；</w:t>
        <w:br/>
        <w:t>4.2 本项目财务及业务管理制度符合《中华人民共和国政府采购法》、《中华人民共和国会计法》等相关法律法规，财务和业务管理制度已经过伊宁县住房和城乡建设局党组会议审批通过，确保了各项制度的合法合规性及完整性。</w:t>
        <w:br/>
        <w:t>(5)制度执行有效性</w:t>
        <w:br/>
        <w:t xml:space="preserve">    5.1 项目的审批、实施过程均遵守相关法律法规和相关管理规定；</w:t>
        <w:br/>
        <w:t>5.2 本项目无调整情况</w:t>
        <w:br/>
        <w:t>5.3 项目预算批复、资金拨付批复等资料齐全并已及时归档，档案编号：伊宁县住房和城乡建设局2021；</w:t>
        <w:br/>
        <w:t>5.4 项目实施的人员条件、信息支撑等均已落实到位。</w:t>
      </w:r>
    </w:p>
    <w:p w14:paraId="0602F923"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14:paraId="3B1C5BC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我单位2021年度城市运行经费项目截止到2021年12月31日，已完成百分之百。</w:t>
        <w:br/>
        <w:t>其中</w:t>
        <w:br/>
        <w:t>(1)项目完成数量</w:t>
        <w:br/>
        <w:t>指标1：环卫车辆维修数量，指标值：大于小于54辆，实际完成值54辆 ，指标完成率100 %，指标偏差率0%；</w:t>
        <w:br/>
        <w:t>指标2：电动保洁车维护数量，指标值：70万株，实际完成值70万株 ，指标完成率100%，指标偏差率0%。</w:t>
        <w:br/>
        <w:t>指标3：采购苗木数量，指标值：32辆，实际完成值32辆 ，指标完成率100%，指标偏差率0%。</w:t>
        <w:br/>
        <w:t>指标4：绿化覆盖面积，指标值：大于等于577万平方米，实际完成值577万平方米 ，指标完成率100%，指标偏差率0%。</w:t>
        <w:br/>
        <w:t>指标5：路灯维护数量，指标值：大于等于2800个，实际完成值2800个 ，指标完成率100%，指标偏差率0%。</w:t>
        <w:br/>
        <w:t>(2)项目完成质量</w:t>
        <w:br/>
        <w:t>指标1：环卫车辆故障返修率，指标值：小于等于75%，实际完成值75% ，指标完成率100%，指标偏差率0%。</w:t>
        <w:br/>
        <w:t>指标2：路灯损坏维修率，指标值：等于100%，实际完成值100% ，指标完成率100%，指标偏差率0%。</w:t>
        <w:br/>
        <w:t>指标3：冬季路面清雪清洁覆盖率，指标值：等于100%，实际完成值100% ，指标完成率100%，指标偏差率0%。</w:t>
        <w:br/>
        <w:t>（3）项目完成时效</w:t>
        <w:br/>
        <w:t>指标1：环卫车辆故障维修时效，指标值：小于等于10日 ，实际完成值10日，指标完成率100%，指标偏差率0%。</w:t>
        <w:br/>
        <w:t>指标2：冬季清雪时效，指标值：小于等于2日 ，实际完成值2日，指标完成率100%，指标偏差率0%。</w:t>
        <w:br/>
        <w:t>指标3：路灯故障维修时效，指标值：小于等于1日 ，实际完成值1日，指标完成率100%，指标偏差率0%。</w:t>
        <w:br/>
        <w:t>（4）项目完成成本</w:t>
        <w:br/>
        <w:t>指标1：环卫车辆维修支出，指标值：小于等于0.5万元每辆 ，实际完成值0.5万元每辆 ，指标完成率100%，指标偏差率0%。</w:t>
        <w:br/>
        <w:t>指标2：绿化用水支出标准，指标值：小于等于2.1元每立方米 ，实际完成值2.1元每立方米，指标完成率100%，指标偏差率0%。</w:t>
        <w:br/>
        <w:t>指标3：路灯电费支出标准，指标值：小于等于0.427元每度 ，实际完成值0.427元每度，指标完成率100%，指标偏差率0%。</w:t>
        <w:br/>
        <w:t>指标4：专用材料费，指标值：小于等于40万元 ，实际完成值40万元，指标完成率100%，指标偏差率0%。</w:t>
        <w:br/>
        <w:t>指标5：专用车辆燃油费，指标值：小于等于140万元 ，实际完成值140万元，指标完成率100%，指标偏差率0%。</w:t>
        <w:br/>
        <w:t>指标6：苗木平均支出，指标值：小于等于0.13元每株 ，实际完成值0.13元每株，指标完成率100%，指标偏差率0%。</w:t>
      </w:r>
    </w:p>
    <w:p w14:paraId="49FAA821"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14:paraId="3010DFF8"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我单位2021年度城市运行经费项目截止到2021年12月31日，已完成大于等于10%城市绿化增长率。项目的实施有效提升我县的整体环境，建立干净整洁的城市形象，有效改善我县居民用水，提升居民用水水质。持续促进市的整体环境形象，促进城市的发展。</w:t>
        <w:br/>
        <w:t>（1）项目实施的社会效益分析</w:t>
        <w:br/>
        <w:t>指标1：提升我县的整体环境，建立干净整洁的城市形象，指标值：有效提升 ，实际完成值有效提升，指标完成率100%，指标偏差率0%。</w:t>
        <w:br/>
        <w:t>指标2：改善我县居民用水，提升居民用水水质，指标值：有效改善 ，实际完成值有效改善，指标完成率100%，指标偏差率0%。</w:t>
        <w:br/>
        <w:t>（2）项目实施的生态效益分析</w:t>
        <w:br/>
        <w:t>指标1：城市绿化增长率，指标值：大于等于10%，实际完成值10%，指标完成率100%，指标偏差率0%。</w:t>
        <w:br/>
        <w:t>（3）项目实施的可持续影响分析</w:t>
        <w:br/>
        <w:t>指标1：城市运行维护项目，可确保城市的整体环境形象，促进城市的发展，指标值：持续促进 ，实际完成值持续促进，指标完成率100%，指标偏差率0%。</w:t>
      </w:r>
    </w:p>
    <w:p w14:paraId="126CE8BD" w14:textId="77777777" w:rsidR="00B30C15" w:rsidRDefault="00DB6A4D">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（五）满意度指标完成情况分析。</w:t>
      </w:r>
    </w:p>
    <w:p w14:paraId="7729649D" w14:textId="77777777" w:rsidR="00B30C15" w:rsidRDefault="00DB6A4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w:r>
    </w:p>
    <w:p w14:paraId="0A05BF98" w14:textId="77777777" w:rsidR="00B30C15" w:rsidRDefault="00DB6A4D">
      <w:pPr>
        <w:spacing w:line="540" w:lineRule="exact"/>
        <w:ind w:firstLine="640"/>
        <w:rPr>
          <w:rStyle w:val="ad"/>
          <w:rFonts w:ascii="黑体" w:eastAsia="黑体" w:hAnsi="黑体"/>
          <w:spacing w:val="-4"/>
          <w:sz w:val="32"/>
          <w:szCs w:val="32"/>
        </w:rPr>
      </w:pPr>
      <w:r>
        <w:rPr>
          <w:rStyle w:val="ad"/>
          <w:rFonts w:ascii="黑体" w:eastAsia="黑体" w:hAnsi="黑体" w:hint="eastAsia"/>
          <w:b w:val="0"/>
          <w:spacing w:val="-4"/>
          <w:sz w:val="32"/>
          <w:szCs w:val="32"/>
        </w:rPr>
        <w:t>五、</w:t>
      </w:r>
      <w:r>
        <w:rPr>
          <w:rStyle w:val="ad"/>
          <w:rFonts w:ascii="黑体" w:eastAsia="黑体" w:hAnsi="黑体"/>
          <w:b w:val="0"/>
          <w:spacing w:val="-4"/>
          <w:sz w:val="32"/>
          <w:szCs w:val="32"/>
        </w:rPr>
        <w:t>主要经验及做法、存在的问题及原因分析</w:t>
      </w:r>
    </w:p>
    <w:p w14:paraId="1993D4B5"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一是积极与人事局、财政局等相关单位对接沟通解决各部门存在的人员与经费不足的问题，为今后的工作打好基础。</w:t>
        <w:br/>
        <w:t>二是一如既往做好日常巡视工作，及时处理巡视中所发现的设施破损，乱放乱倒的行为，巩固城市市容环境大扫除行动成功，突出背街小巷，城乡结合部、城中村、无物业管理小区环境卫生薄弱区域，发动各方力量，继续排查和清理各类死角，依法取缔或规范各类废品收购站（点、场），消除脏乱差现象。</w:t>
        <w:br/>
        <w:t>三是大力推进机械化作业，合理引进新设备、新技术，提高日常作业中的科技含量，确保年终设施完好率达到80%以上。</w:t>
        <w:br/>
        <w:t>四是为确保项目实施符合预期要求，建议今后类似的项目实施中，按照项目总体要求，分解细化各项任务目标，责任落实到人。按照集中攻坚与分类指导相结合、项目质量与工作进度并重的原则，实行人力、物力、财力“三集中”，科学安排、叠加推进，统筹加快工作节奏，确保项目能够及时发挥应有的效益和效果。</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1.绩效监控管理理念有待进一步增强。</w:t>
        <w:br/>
        <w:t>绩效监控政策宣传不到位。绩效监控作为新生事物，单位部门认识不到位，绩效管理专业人员匮乏，对绩效监控重视力度不够。预算单位把大量精力花在跑资金、争项目上，认为只要资金使用合法合规就行，忽视财政资金的使用监控。</w:t>
        <w:br/>
        <w:t>有的部门对预算绩效监控工作重视不够，缺乏主动性，应付的成分多于对管理问题的反思，没有将绩效管理工作作为一项日常性重要工作来抓。</w:t>
        <w:br/>
        <w:t>2.绩效监控质量有待提高。</w:t>
        <w:br/>
        <w:t>监控数据采集是否准确、日常报送资料是否完善、对比结果是否真实体现偏差，都直接导致了绩效监控往往流于形式，难以真正反映出绩效监控的实质性意义。</w:t>
        <w:br/>
        <w:t>改进措施：</w:t>
        <w:br/>
        <w:t>1.加大宣传力度，强化绩效理念。</w:t>
        <w:br/>
        <w:t>通过各种培训的方式，广泛宣传预算绩效监控政策，大力倡导绩效监控理念，使各部门工作人员都能够了解支持预算绩效监控工作。</w:t>
        <w:br/>
        <w:t>2.发挥各部门在预算绩效监控中的主体作用。</w:t>
        <w:br/>
        <w:t>建立部门预算责任制度，强化部门的预算编制和执行主体责任，形成“谁干事谁花钱、谁花钱谁担责”的制度，从预算编制到执行，执行到监控，相关部门都要切实负起责任。</w:t>
        <w:br/>
        <w:t>3.加强业务培训。</w:t>
        <w:br/>
        <w:t>加大预算绩效监控基础理论和实务操作统一培训力度，对各预算资金使用部门进行辅导和培训，加强理论研究，对绩效评价的范围、方法、技术手段进行探索和研究，形成理论和实践互为促进的良好局面。</w:t>
        <w:br/>
        <w:t>对此，预算单位会同财政部门共同梳理项目绩效目标，合理测算项目工作量，科学编制预算。</w:t>
      </w:r>
    </w:p>
    <w:p w14:paraId="5753D6DB" w14:textId="77777777" w:rsidR="00B30C15" w:rsidRDefault="00DB6A4D">
      <w:pPr>
        <w:ind w:firstLine="624" w:firstLineChars="20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Pr>
          <w:rStyle w:val="ad"/>
          <w:rFonts w:ascii="黑体" w:eastAsia="黑体" w:hAnsi="黑体"/>
          <w:b w:val="0"/>
          <w:spacing w:val="-4"/>
          <w:sz w:val="32"/>
          <w:szCs w:val="32"/>
        </w:rPr>
        <w:t>、有关建议</w:t>
      </w:r>
    </w:p>
    <w:p w14:paraId="466664C1"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一是积极与人事局、财政局等相关单位对接沟通解决各部门存在的人员与经费不足的问题，为今后的工作打好基础。</w:t>
        <w:br/>
        <w:t>二是一如既往做好日常巡视工作，及时处理巡视中所发现的设施破损，乱放乱倒的行为，巩固城市市容环境大扫除行动成功，突出背街小巷，城乡结合部、城中村、无物业管理小区环境卫生薄弱区域，发动各方力量，继续排查和清理各类死角，依法取缔或规范各类废品收购站（点、场），消除脏乱差现象。</w:t>
        <w:br/>
        <w:t>三是大力推进机械化作业，合理引进新设备、新技术，提高日常作业中的科技含量，确保年终设施完好率达到80%以上。</w:t>
        <w:br/>
        <w:t>四是为确保项目实施符合预期要求，建议今后类似的项目实施中，按照项目总体要求，分解细化各项任务目标，责任落实到人。按照集中攻坚与分类指导相结合、项目质量与工作进度并重的原则，实行人力、物力、财力“三集中”，科学安排、叠加推进，统筹加快工作节奏，确保项目能够及时发挥应有的效益和效果。</w:t>
        <w:br/>
        <w:t>后续工作计划：</w:t>
        <w:br/>
        <w:t>我们将进一步加强资金管理、项目管理，用制度、用规范来有效提高项目进度，专人负责资金、专人负责项目现场管理，确保该项目在既定时间内完成所有工程量，达到预期效果。</w:t>
        <w:br/>
        <w:t>2.存在的问题及原因分析</w:t>
        <w:br/>
        <w:t>1.绩效监控管理理念有待进一步增强。</w:t>
        <w:br/>
        <w:t>绩效监控政策宣传不到位。绩效监控作为新生事物，单位部门认识不到位，绩效管理专业人员匮乏，对绩效监控重视力度不够。预算单位把大量精力花在跑资金、争项目上，认为只要资金使用合法合规就行，忽视财政资金的使用监控。</w:t>
        <w:br/>
        <w:t>有的部门对预算绩效监控工作重视不够，缺乏主动性，应付的成分多于对管理问题的反思，没有将绩效管理工作作为一项日常性重要工作来抓。</w:t>
        <w:br/>
        <w:t>2.绩效监控质量有待提高。</w:t>
        <w:br/>
        <w:t>监控数据采集是否准确、日常报送资料是否完善、对比结果是否真实体现偏差，都直接导致了绩效监控往往流于形式，难以真正反映出绩效监控的实质性意义。</w:t>
        <w:br/>
        <w:t>改进措施：</w:t>
        <w:br/>
        <w:t>1.加大宣传力度，强化绩效理念。</w:t>
        <w:br/>
        <w:t>通过各种培训的方式，广泛宣传预算绩效监控政策，大力倡导绩效监控理念，使各部门工作人员都能够了解支持预算绩效监控工作。</w:t>
        <w:br/>
        <w:t>2.发挥各部门在预算绩效监控中的主体作用。</w:t>
        <w:br/>
        <w:t>建立部门预算责任制度，强化部门的预算编制和执行主体责任，形成“谁干事谁花钱、谁花钱谁担责”的制度，从预算编制到执行，执行到监控，相关部门都要切实负起责任。</w:t>
        <w:br/>
        <w:t>3.加强业务培训。</w:t>
        <w:br/>
        <w:t>加大预算绩效监控基础理论和实务操作统一培训力度，对各预算资金使用部门进行辅导和培训，加强理论研究，对绩效评价的范围、方法、技术手段进行探索和研究，形成理论和实践互为促进的良好局面。</w:t>
        <w:br/>
        <w:t>对此，预算单位会同财政部门共同梳理项目绩效目标，合理测算项目工作量，科学编制预算。</w:t>
      </w:r>
    </w:p>
    <w:p w14:paraId="613407BE" w14:textId="77777777" w:rsidR="00B30C15" w:rsidRDefault="00DB6A4D">
      <w:pPr>
        <w:spacing w:line="540" w:lineRule="exact"/>
        <w:ind w:firstLine="567"/>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Pr>
          <w:rStyle w:val="ad"/>
          <w:rFonts w:ascii="黑体" w:eastAsia="黑体" w:hAnsi="黑体" w:hint="eastAsia"/>
          <w:b w:val="0"/>
          <w:spacing w:val="-4"/>
          <w:sz w:val="32"/>
          <w:szCs w:val="32"/>
        </w:rPr>
        <w:t>、其他需要说明的问题</w:t>
      </w:r>
    </w:p>
    <w:p w14:paraId="2419F6BE" w14:textId="77777777" w:rsidR="00B30C15" w:rsidRDefault="00DB6A4D">
      <w:pPr>
        <w:spacing w:line="540" w:lineRule="exact"/>
        <w:ind w:firstLine="627" w:firstLineChars="200"/>
        <w:rPr>
          <w:rStyle w:val="ad"/>
          <w:rFonts w:ascii="楷体" w:eastAsia="楷体" w:hAnsi="楷体"/>
          <w:spacing w:val="-4"/>
          <w:sz w:val="32"/>
          <w:szCs w:val="32"/>
        </w:rPr>
      </w:pPr>
      <w:r>
        <w:rPr>
          <w:rStyle w:val="ad"/>
          <w:rFonts w:ascii="楷体" w:eastAsia="楷体" w:hAnsi="楷体" w:hint="eastAsia"/>
          <w:spacing w:val="-4"/>
          <w:sz w:val="32"/>
          <w:szCs w:val="32"/>
        </w:rPr>
        <w:t>无</w:t>
      </w:r>
    </w:p>
    <w:p w14:paraId="131B8E06" w14:textId="77777777" w:rsidR="00B30C15" w:rsidRDefault="00B30C15">
      <w:pPr>
        <w:spacing w:line="540" w:lineRule="exact"/>
        <w:ind w:firstLine="567"/>
        <w:rPr>
          <w:rStyle w:val="ad"/>
          <w:rFonts w:ascii="仿宋" w:eastAsia="仿宋" w:hAnsi="仿宋"/>
          <w:b w:val="0"/>
          <w:spacing w:val="-4"/>
          <w:sz w:val="32"/>
          <w:szCs w:val="32"/>
        </w:rPr>
      </w:pPr>
    </w:p>
    <w:p w14:paraId="23243C18" w14:textId="77777777" w:rsidR="00B30C15" w:rsidRDefault="00B30C15">
      <w:pPr>
        <w:spacing w:line="540" w:lineRule="exact"/>
        <w:ind w:firstLine="567"/>
        <w:rPr>
          <w:rStyle w:val="ad"/>
          <w:rFonts w:ascii="仿宋" w:eastAsia="仿宋" w:hAnsi="仿宋"/>
          <w:b w:val="0"/>
          <w:spacing w:val="-4"/>
          <w:sz w:val="32"/>
          <w:szCs w:val="32"/>
        </w:rPr>
      </w:pPr>
    </w:p>
    <w:p w14:paraId="40223C3C" w14:textId="77777777" w:rsidR="00B30C15" w:rsidRDefault="00B30C15">
      <w:pPr>
        <w:spacing w:line="540" w:lineRule="exact"/>
        <w:ind w:firstLine="567"/>
        <w:rPr>
          <w:rStyle w:val="ad"/>
          <w:rFonts w:ascii="仿宋" w:eastAsia="仿宋" w:hAnsi="仿宋"/>
          <w:b w:val="0"/>
          <w:spacing w:val="-4"/>
          <w:sz w:val="32"/>
          <w:szCs w:val="32"/>
        </w:rPr>
      </w:pPr>
    </w:p>
    <w:p w14:paraId="7C6DA9A0" w14:textId="77777777" w:rsidR="00B30C15" w:rsidRDefault="00B30C15">
      <w:pPr>
        <w:spacing w:line="540" w:lineRule="exact"/>
        <w:ind w:firstLine="567"/>
        <w:rPr>
          <w:rStyle w:val="ad"/>
          <w:rFonts w:ascii="仿宋" w:eastAsia="仿宋" w:hAnsi="仿宋"/>
          <w:b w:val="0"/>
          <w:spacing w:val="-4"/>
          <w:sz w:val="32"/>
          <w:szCs w:val="32"/>
        </w:rPr>
      </w:pPr>
    </w:p>
    <w:p w14:paraId="16116B8B" w14:textId="77777777" w:rsidR="00B30C15" w:rsidRDefault="00B30C15">
      <w:pPr>
        <w:spacing w:line="540" w:lineRule="exact"/>
        <w:ind w:firstLine="567"/>
        <w:rPr>
          <w:rStyle w:val="ad"/>
          <w:rFonts w:ascii="仿宋" w:eastAsia="仿宋" w:hAnsi="仿宋"/>
          <w:b w:val="0"/>
          <w:spacing w:val="-4"/>
          <w:sz w:val="32"/>
          <w:szCs w:val="32"/>
        </w:rPr>
      </w:pPr>
    </w:p>
    <w:p w14:paraId="35577642" w14:textId="77777777" w:rsidR="00B30C15" w:rsidRDefault="00B30C15">
      <w:pPr>
        <w:spacing w:line="540" w:lineRule="exact"/>
        <w:ind w:firstLine="567"/>
        <w:rPr>
          <w:rStyle w:val="ad"/>
          <w:rFonts w:ascii="仿宋" w:eastAsia="仿宋" w:hAnsi="仿宋"/>
          <w:b w:val="0"/>
          <w:spacing w:val="-4"/>
          <w:sz w:val="32"/>
          <w:szCs w:val="32"/>
        </w:rPr>
      </w:pPr>
    </w:p>
    <w:p w14:paraId="776095BE" w14:textId="77777777" w:rsidR="00B30C15" w:rsidRDefault="00B30C15">
      <w:pPr>
        <w:spacing w:line="540" w:lineRule="exact"/>
        <w:ind w:firstLine="567"/>
        <w:rPr>
          <w:rStyle w:val="ad"/>
          <w:rFonts w:ascii="仿宋" w:eastAsia="仿宋" w:hAnsi="仿宋"/>
          <w:b w:val="0"/>
          <w:spacing w:val="-4"/>
          <w:sz w:val="32"/>
          <w:szCs w:val="32"/>
        </w:rPr>
      </w:pPr>
    </w:p>
    <w:p w14:paraId="4F5D9D13" w14:textId="77777777" w:rsidR="00B30C15" w:rsidRDefault="00B30C15">
      <w:pPr>
        <w:spacing w:line="540" w:lineRule="exact"/>
        <w:ind w:firstLine="567"/>
        <w:rPr>
          <w:rStyle w:val="ad"/>
          <w:rFonts w:ascii="仿宋" w:eastAsia="仿宋" w:hAnsi="仿宋"/>
          <w:b w:val="0"/>
          <w:spacing w:val="-4"/>
          <w:sz w:val="32"/>
          <w:szCs w:val="32"/>
        </w:rPr>
      </w:pPr>
    </w:p>
    <w:p w14:paraId="555FAFE7" w14:textId="77777777" w:rsidR="00B30C15" w:rsidRDefault="00B30C15">
      <w:pPr>
        <w:spacing w:line="540" w:lineRule="exact"/>
        <w:ind w:firstLine="567"/>
        <w:rPr>
          <w:rStyle w:val="ad"/>
          <w:rFonts w:ascii="仿宋" w:eastAsia="仿宋" w:hAnsi="仿宋"/>
          <w:b w:val="0"/>
          <w:spacing w:val="-4"/>
          <w:sz w:val="32"/>
          <w:szCs w:val="32"/>
        </w:rPr>
      </w:pPr>
    </w:p>
    <w:p w14:paraId="52EC0E21" w14:textId="77777777" w:rsidR="00B30C15" w:rsidRDefault="00B30C15">
      <w:pPr>
        <w:spacing w:line="540" w:lineRule="exact"/>
        <w:ind w:firstLine="567"/>
        <w:rPr>
          <w:rStyle w:val="ad"/>
          <w:rFonts w:ascii="仿宋" w:eastAsia="仿宋" w:hAnsi="仿宋"/>
          <w:b w:val="0"/>
          <w:spacing w:val="-4"/>
          <w:sz w:val="32"/>
          <w:szCs w:val="32"/>
        </w:rPr>
      </w:pPr>
    </w:p>
    <w:p w14:paraId="44E6E054" w14:textId="77777777" w:rsidR="00B30C15" w:rsidRDefault="00B30C15">
      <w:pPr>
        <w:spacing w:line="540" w:lineRule="exact"/>
        <w:ind w:firstLine="567"/>
        <w:rPr>
          <w:rStyle w:val="ad"/>
          <w:rFonts w:ascii="仿宋" w:eastAsia="仿宋" w:hAnsi="仿宋"/>
          <w:b w:val="0"/>
          <w:spacing w:val="-4"/>
          <w:sz w:val="32"/>
          <w:szCs w:val="32"/>
        </w:rPr>
      </w:pPr>
    </w:p>
    <w:p w14:paraId="6838D646" w14:textId="77777777" w:rsidR="00B30C15" w:rsidRDefault="00B30C15">
      <w:pPr>
        <w:spacing w:line="540" w:lineRule="exact"/>
        <w:ind w:firstLine="567"/>
        <w:rPr>
          <w:rStyle w:val="ad"/>
          <w:rFonts w:ascii="仿宋" w:eastAsia="仿宋" w:hAnsi="仿宋"/>
          <w:b w:val="0"/>
          <w:spacing w:val="-4"/>
          <w:sz w:val="32"/>
          <w:szCs w:val="32"/>
        </w:rPr>
      </w:pPr>
    </w:p>
    <w:sectPr w:rsidR="00B30C15">
      <w:footerReference r:id="rId7" w:type="default"/>
      <w:pgSz w:h="16838" w:w="11906"/>
      <w:pgMar w:bottom="1440" w:footer="992" w:gutter="0" w:header="851" w:left="1800" w:right="1558" w:top="1440"/>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3A29" w14:textId="77777777" w:rsidR="00DB6A4D" w:rsidRDefault="00DB6A4D">
      <w:r>
        <w:separator/>
      </w:r>
    </w:p>
  </w:endnote>
  <w:endnote w:type="continuationSeparator" w:id="0">
    <w:p w14:paraId="3E4BFEE6" w14:textId="77777777" w:rsidR="00DB6A4D" w:rsidRDefault="00D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422003363"/>
    </w:sdtPr>
    <w:sdtEndPr/>
    <w:sdtContent>
      <w:p w14:paraId="598F32AA" w14:textId="77777777" w:rsidR="00B30C15" w:rsidRDefault="00DB6A4D">
        <w:pPr>
          <w:pStyle w:val="a5"/>
          <w:jc w:val="center"/>
        </w:pPr>
        <w:r>
          <w:fldChar w:fldCharType="begin"/>
        </w:r>
        <w:r>
          <w:instrText>PAGE   \* MERGEFORMAT</w:instrText>
        </w:r>
        <w:r>
          <w:fldChar w:fldCharType="separate"/>
        </w:r>
        <w:r>
          <w:rPr>
            <w:lang w:val="zh-CN"/>
          </w:rPr>
          <w:t>1</w:t>
        </w:r>
        <w:r>
          <w:fldChar w:fldCharType="end"/>
        </w:r>
      </w:p>
    </w:sdtContent>
  </w:sdt>
  <w:p w14:paraId="659798A5" w14:textId="77777777" w:rsidR="00B30C15" w:rsidRDefault="00B30C15">
    <w:pPr>
      <w:pStyle w:val="a5"/>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id="-1" w:type="separator">
    <w:p w14:paraId="48181179" w14:textId="77777777" w:rsidR="00DB6A4D" w:rsidRDefault="00DB6A4D">
      <w:r>
        <w:separator/>
      </w:r>
    </w:p>
  </w:footnote>
  <w:footnote w:id="0" w:type="continuationSeparator">
    <w:p w14:paraId="1A9D08C1" w14:textId="77777777" w:rsidR="00DB6A4D" w:rsidRDefault="00DB6A4D">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34FA1BD1"/>
  <w15:docId w15:val="{760815B5-13C2-448F-A3DB-8948AFE4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imes New Roman" w:eastAsiaTheme="minorEastAsia" w:hAnsiTheme="minorHAnsi"/>
        <w:lang w:bidi="ar-SA" w:eastAsia="zh-CN"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0"/>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rPr>
      <w:rFonts w:ascii="Times New Roman" w:eastAsia="宋体" w:hAnsi="Times New Roman"/>
      <w:kern w:val="2"/>
      <w:sz w:val="21"/>
      <w:szCs w:val="24"/>
    </w:rPr>
  </w:style>
  <w:style w:styleId="1" w:type="paragraph">
    <w:name w:val="heading 1"/>
    <w:basedOn w:val="a"/>
    <w:next w:val="a"/>
    <w:link w:val="10"/>
    <w:uiPriority w:val="9"/>
    <w:qFormat/>
    <w:pPr>
      <w:keepNext/>
      <w:widowControl/>
      <w:spacing w:after="60" w:before="240"/>
      <w:jc w:val="left"/>
      <w:outlineLvl w:val="0"/>
    </w:pPr>
    <w:rPr>
      <w:rFonts w:asciiTheme="majorHAnsi" w:eastAsiaTheme="majorEastAsia" w:hAnsiTheme="majorHAnsi"/>
      <w:b/>
      <w:bCs/>
      <w:kern w:val="32"/>
      <w:sz w:val="32"/>
      <w:szCs w:val="32"/>
    </w:rPr>
  </w:style>
  <w:style w:styleId="2" w:type="paragraph">
    <w:name w:val="heading 2"/>
    <w:basedOn w:val="a"/>
    <w:next w:val="a"/>
    <w:link w:val="20"/>
    <w:uiPriority w:val="9"/>
    <w:semiHidden/>
    <w:unhideWhenUsed/>
    <w:qFormat/>
    <w:pPr>
      <w:keepNext/>
      <w:widowControl/>
      <w:spacing w:after="60" w:before="240"/>
      <w:jc w:val="left"/>
      <w:outlineLvl w:val="1"/>
    </w:pPr>
    <w:rPr>
      <w:rFonts w:asciiTheme="majorHAnsi" w:eastAsiaTheme="majorEastAsia" w:hAnsiTheme="majorHAnsi"/>
      <w:b/>
      <w:bCs/>
      <w:i/>
      <w:iCs/>
      <w:kern w:val="0"/>
      <w:sz w:val="28"/>
      <w:szCs w:val="28"/>
    </w:rPr>
  </w:style>
  <w:style w:styleId="3" w:type="paragraph">
    <w:name w:val="heading 3"/>
    <w:basedOn w:val="a"/>
    <w:next w:val="a"/>
    <w:link w:val="30"/>
    <w:uiPriority w:val="9"/>
    <w:semiHidden/>
    <w:unhideWhenUsed/>
    <w:qFormat/>
    <w:pPr>
      <w:keepNext/>
      <w:widowControl/>
      <w:spacing w:after="60" w:before="240"/>
      <w:jc w:val="left"/>
      <w:outlineLvl w:val="2"/>
    </w:pPr>
    <w:rPr>
      <w:rFonts w:asciiTheme="majorHAnsi" w:eastAsiaTheme="majorEastAsia" w:hAnsiTheme="majorHAnsi"/>
      <w:b/>
      <w:bCs/>
      <w:kern w:val="0"/>
      <w:sz w:val="26"/>
      <w:szCs w:val="26"/>
    </w:rPr>
  </w:style>
  <w:style w:styleId="4" w:type="paragraph">
    <w:name w:val="heading 4"/>
    <w:basedOn w:val="a"/>
    <w:next w:val="a"/>
    <w:link w:val="40"/>
    <w:uiPriority w:val="9"/>
    <w:unhideWhenUsed/>
    <w:qFormat/>
    <w:pPr>
      <w:keepNext/>
      <w:widowControl/>
      <w:spacing w:after="60" w:before="240"/>
      <w:jc w:val="left"/>
      <w:outlineLvl w:val="3"/>
    </w:pPr>
    <w:rPr>
      <w:rFonts w:asciiTheme="minorHAnsi" w:eastAsiaTheme="minorEastAsia" w:hAnsiTheme="minorHAnsi"/>
      <w:b/>
      <w:bCs/>
      <w:kern w:val="0"/>
      <w:sz w:val="28"/>
      <w:szCs w:val="28"/>
    </w:rPr>
  </w:style>
  <w:style w:styleId="5" w:type="paragraph">
    <w:name w:val="heading 5"/>
    <w:basedOn w:val="a"/>
    <w:next w:val="a"/>
    <w:link w:val="50"/>
    <w:uiPriority w:val="9"/>
    <w:semiHidden/>
    <w:unhideWhenUsed/>
    <w:qFormat/>
    <w:pPr>
      <w:widowControl/>
      <w:spacing w:after="60" w:before="240"/>
      <w:jc w:val="left"/>
      <w:outlineLvl w:val="4"/>
    </w:pPr>
    <w:rPr>
      <w:rFonts w:asciiTheme="minorHAnsi" w:eastAsiaTheme="minorEastAsia" w:hAnsiTheme="minorHAnsi"/>
      <w:b/>
      <w:bCs/>
      <w:i/>
      <w:iCs/>
      <w:kern w:val="0"/>
      <w:sz w:val="26"/>
      <w:szCs w:val="26"/>
    </w:rPr>
  </w:style>
  <w:style w:styleId="6" w:type="paragraph">
    <w:name w:val="heading 6"/>
    <w:basedOn w:val="a"/>
    <w:next w:val="a"/>
    <w:link w:val="60"/>
    <w:uiPriority w:val="9"/>
    <w:semiHidden/>
    <w:unhideWhenUsed/>
    <w:qFormat/>
    <w:pPr>
      <w:widowControl/>
      <w:spacing w:after="60" w:before="240"/>
      <w:jc w:val="left"/>
      <w:outlineLvl w:val="5"/>
    </w:pPr>
    <w:rPr>
      <w:rFonts w:asciiTheme="minorHAnsi" w:eastAsiaTheme="minorEastAsia" w:hAnsiTheme="minorHAnsi"/>
      <w:b/>
      <w:bCs/>
      <w:kern w:val="0"/>
      <w:sz w:val="22"/>
      <w:szCs w:val="22"/>
    </w:rPr>
  </w:style>
  <w:style w:styleId="7" w:type="paragraph">
    <w:name w:val="heading 7"/>
    <w:basedOn w:val="a"/>
    <w:next w:val="a"/>
    <w:link w:val="70"/>
    <w:uiPriority w:val="9"/>
    <w:semiHidden/>
    <w:unhideWhenUsed/>
    <w:qFormat/>
    <w:pPr>
      <w:widowControl/>
      <w:spacing w:after="60" w:before="240"/>
      <w:jc w:val="left"/>
      <w:outlineLvl w:val="6"/>
    </w:pPr>
    <w:rPr>
      <w:rFonts w:asciiTheme="minorHAnsi" w:eastAsiaTheme="minorEastAsia" w:hAnsiTheme="minorHAnsi"/>
      <w:kern w:val="0"/>
      <w:sz w:val="24"/>
    </w:rPr>
  </w:style>
  <w:style w:styleId="8" w:type="paragraph">
    <w:name w:val="heading 8"/>
    <w:basedOn w:val="a"/>
    <w:next w:val="a"/>
    <w:link w:val="80"/>
    <w:uiPriority w:val="9"/>
    <w:semiHidden/>
    <w:unhideWhenUsed/>
    <w:qFormat/>
    <w:pPr>
      <w:widowControl/>
      <w:spacing w:after="60" w:before="240"/>
      <w:jc w:val="left"/>
      <w:outlineLvl w:val="7"/>
    </w:pPr>
    <w:rPr>
      <w:rFonts w:asciiTheme="minorHAnsi" w:eastAsiaTheme="minorEastAsia" w:hAnsiTheme="minorHAnsi"/>
      <w:i/>
      <w:iCs/>
      <w:kern w:val="0"/>
      <w:sz w:val="24"/>
    </w:rPr>
  </w:style>
  <w:style w:styleId="9" w:type="paragraph">
    <w:name w:val="heading 9"/>
    <w:basedOn w:val="a"/>
    <w:next w:val="a"/>
    <w:link w:val="90"/>
    <w:uiPriority w:val="9"/>
    <w:semiHidden/>
    <w:unhideWhenUsed/>
    <w:qFormat/>
    <w:pPr>
      <w:widowControl/>
      <w:spacing w:after="60" w:before="240"/>
      <w:jc w:val="left"/>
      <w:outlineLvl w:val="8"/>
    </w:pPr>
    <w:rPr>
      <w:rFonts w:asciiTheme="majorHAnsi" w:eastAsiaTheme="majorEastAsia" w:hAnsiTheme="majorHAnsi"/>
      <w:kern w:val="0"/>
      <w:sz w:val="22"/>
      <w:szCs w:val="2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Pr>
      <w:sz w:val="18"/>
      <w:szCs w:val="18"/>
    </w:rPr>
  </w:style>
  <w:style w:styleId="a5" w:type="paragraph">
    <w:name w:val="footer"/>
    <w:basedOn w:val="a"/>
    <w:link w:val="a6"/>
    <w:uiPriority w:val="99"/>
    <w:unhideWhenUsed/>
    <w:pPr>
      <w:tabs>
        <w:tab w:pos="4153" w:val="center"/>
        <w:tab w:pos="8306" w:val="right"/>
      </w:tabs>
      <w:snapToGrid w:val="0"/>
      <w:jc w:val="left"/>
    </w:pPr>
    <w:rPr>
      <w:rFonts w:ascii="Calibri" w:hAnsi="Calibri"/>
      <w:sz w:val="18"/>
      <w:szCs w:val="18"/>
    </w:rPr>
  </w:style>
  <w:style w:styleId="a7" w:type="paragraph">
    <w:name w:val="header"/>
    <w:basedOn w:val="a"/>
    <w:link w:val="a8"/>
    <w:uiPriority w:val="99"/>
    <w:unhideWhenUsed/>
    <w:pPr>
      <w:pBdr>
        <w:bottom w:color="auto" w:space="1" w:sz="6" w:val="single"/>
      </w:pBdr>
      <w:tabs>
        <w:tab w:pos="4153" w:val="center"/>
        <w:tab w:pos="8306" w:val="right"/>
      </w:tabs>
      <w:snapToGrid w:val="0"/>
      <w:jc w:val="center"/>
    </w:pPr>
    <w:rPr>
      <w:rFonts w:ascii="Calibri" w:hAnsi="Calibri"/>
      <w:sz w:val="18"/>
      <w:szCs w:val="18"/>
    </w:rPr>
  </w:style>
  <w:style w:styleId="a9" w:type="paragraph">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styleId="ab" w:type="paragraph">
    <w:name w:val="Title"/>
    <w:basedOn w:val="a"/>
    <w:next w:val="a"/>
    <w:link w:val="ac"/>
    <w:uiPriority w:val="10"/>
    <w:qFormat/>
    <w:pPr>
      <w:widowControl/>
      <w:spacing w:after="60" w:before="240"/>
      <w:jc w:val="center"/>
      <w:outlineLvl w:val="0"/>
    </w:pPr>
    <w:rPr>
      <w:rFonts w:asciiTheme="majorHAnsi" w:eastAsiaTheme="majorEastAsia" w:hAnsiTheme="majorHAnsi"/>
      <w:b/>
      <w:bCs/>
      <w:kern w:val="28"/>
      <w:sz w:val="32"/>
      <w:szCs w:val="32"/>
    </w:rPr>
  </w:style>
  <w:style w:styleId="ad" w:type="character">
    <w:name w:val="Strong"/>
    <w:basedOn w:val="a0"/>
    <w:qFormat/>
    <w:rPr>
      <w:b/>
      <w:bCs/>
    </w:rPr>
  </w:style>
  <w:style w:styleId="ae" w:type="character">
    <w:name w:val="Emphasis"/>
    <w:basedOn w:val="a0"/>
    <w:uiPriority w:val="20"/>
    <w:qFormat/>
    <w:rPr>
      <w:rFonts w:asciiTheme="minorHAnsi" w:hAnsiTheme="minorHAnsi"/>
      <w:b/>
      <w:i/>
      <w:iCs/>
    </w:rPr>
  </w:style>
  <w:style w:customStyle="1" w:styleId="10" w:type="character">
    <w:name w:val="标题 1 字符"/>
    <w:basedOn w:val="a0"/>
    <w:link w:val="1"/>
    <w:uiPriority w:val="9"/>
    <w:qFormat/>
    <w:rPr>
      <w:rFonts w:asciiTheme="majorHAnsi" w:eastAsiaTheme="majorEastAsia" w:hAnsiTheme="majorHAnsi"/>
      <w:b/>
      <w:bCs/>
      <w:kern w:val="32"/>
      <w:sz w:val="32"/>
      <w:szCs w:val="32"/>
    </w:rPr>
  </w:style>
  <w:style w:customStyle="1" w:styleId="20" w:type="character">
    <w:name w:val="标题 2 字符"/>
    <w:basedOn w:val="a0"/>
    <w:link w:val="2"/>
    <w:uiPriority w:val="9"/>
    <w:semiHidden/>
    <w:qFormat/>
    <w:rPr>
      <w:rFonts w:asciiTheme="majorHAnsi" w:eastAsiaTheme="majorEastAsia" w:hAnsiTheme="majorHAnsi"/>
      <w:b/>
      <w:bCs/>
      <w:i/>
      <w:iCs/>
      <w:sz w:val="28"/>
      <w:szCs w:val="28"/>
    </w:rPr>
  </w:style>
  <w:style w:customStyle="1" w:styleId="30" w:type="character">
    <w:name w:val="标题 3 字符"/>
    <w:basedOn w:val="a0"/>
    <w:link w:val="3"/>
    <w:uiPriority w:val="9"/>
    <w:semiHidden/>
    <w:qFormat/>
    <w:rPr>
      <w:rFonts w:asciiTheme="majorHAnsi" w:eastAsiaTheme="majorEastAsia" w:hAnsiTheme="majorHAnsi"/>
      <w:b/>
      <w:bCs/>
      <w:sz w:val="26"/>
      <w:szCs w:val="26"/>
    </w:rPr>
  </w:style>
  <w:style w:customStyle="1" w:styleId="40" w:type="character">
    <w:name w:val="标题 4 字符"/>
    <w:basedOn w:val="a0"/>
    <w:link w:val="4"/>
    <w:uiPriority w:val="9"/>
    <w:qFormat/>
    <w:rPr>
      <w:b/>
      <w:bCs/>
      <w:sz w:val="28"/>
      <w:szCs w:val="28"/>
    </w:rPr>
  </w:style>
  <w:style w:customStyle="1" w:styleId="50" w:type="character">
    <w:name w:val="标题 5 字符"/>
    <w:basedOn w:val="a0"/>
    <w:link w:val="5"/>
    <w:uiPriority w:val="9"/>
    <w:semiHidden/>
    <w:qFormat/>
    <w:rPr>
      <w:b/>
      <w:bCs/>
      <w:i/>
      <w:iCs/>
      <w:sz w:val="26"/>
      <w:szCs w:val="26"/>
    </w:rPr>
  </w:style>
  <w:style w:customStyle="1" w:styleId="60" w:type="character">
    <w:name w:val="标题 6 字符"/>
    <w:basedOn w:val="a0"/>
    <w:link w:val="6"/>
    <w:uiPriority w:val="9"/>
    <w:semiHidden/>
    <w:qFormat/>
    <w:rPr>
      <w:b/>
      <w:bCs/>
    </w:rPr>
  </w:style>
  <w:style w:customStyle="1" w:styleId="70" w:type="character">
    <w:name w:val="标题 7 字符"/>
    <w:basedOn w:val="a0"/>
    <w:link w:val="7"/>
    <w:uiPriority w:val="9"/>
    <w:semiHidden/>
    <w:qFormat/>
    <w:rPr>
      <w:sz w:val="24"/>
      <w:szCs w:val="24"/>
    </w:rPr>
  </w:style>
  <w:style w:customStyle="1" w:styleId="80" w:type="character">
    <w:name w:val="标题 8 字符"/>
    <w:basedOn w:val="a0"/>
    <w:link w:val="8"/>
    <w:uiPriority w:val="9"/>
    <w:semiHidden/>
    <w:qFormat/>
    <w:rPr>
      <w:i/>
      <w:iCs/>
      <w:sz w:val="24"/>
      <w:szCs w:val="24"/>
    </w:rPr>
  </w:style>
  <w:style w:customStyle="1" w:styleId="90" w:type="character">
    <w:name w:val="标题 9 字符"/>
    <w:basedOn w:val="a0"/>
    <w:link w:val="9"/>
    <w:uiPriority w:val="9"/>
    <w:semiHidden/>
    <w:qFormat/>
    <w:rPr>
      <w:rFonts w:asciiTheme="majorHAnsi" w:eastAsiaTheme="majorEastAsia" w:hAnsiTheme="majorHAnsi"/>
    </w:rPr>
  </w:style>
  <w:style w:customStyle="1" w:styleId="ac" w:type="character">
    <w:name w:val="标题 字符"/>
    <w:basedOn w:val="a0"/>
    <w:link w:val="ab"/>
    <w:uiPriority w:val="10"/>
    <w:rPr>
      <w:rFonts w:asciiTheme="majorHAnsi" w:eastAsiaTheme="majorEastAsia" w:hAnsiTheme="majorHAnsi"/>
      <w:b/>
      <w:bCs/>
      <w:kern w:val="28"/>
      <w:sz w:val="32"/>
      <w:szCs w:val="32"/>
    </w:rPr>
  </w:style>
  <w:style w:customStyle="1" w:styleId="aa" w:type="character">
    <w:name w:val="副标题 字符"/>
    <w:basedOn w:val="a0"/>
    <w:link w:val="a9"/>
    <w:uiPriority w:val="11"/>
    <w:qFormat/>
    <w:rPr>
      <w:rFonts w:asciiTheme="majorHAnsi" w:eastAsiaTheme="majorEastAsia" w:hAnsiTheme="majorHAnsi"/>
      <w:sz w:val="24"/>
      <w:szCs w:val="24"/>
    </w:rPr>
  </w:style>
  <w:style w:styleId="af" w:type="paragraph">
    <w:name w:val="No Spacing"/>
    <w:basedOn w:val="a"/>
    <w:uiPriority w:val="1"/>
    <w:qFormat/>
    <w:pPr>
      <w:widowControl/>
      <w:jc w:val="left"/>
    </w:pPr>
    <w:rPr>
      <w:rFonts w:asciiTheme="minorHAnsi" w:eastAsiaTheme="minorEastAsia" w:hAnsiTheme="minorHAnsi"/>
      <w:kern w:val="0"/>
      <w:sz w:val="24"/>
      <w:szCs w:val="32"/>
      <w:lang w:bidi="en-US" w:eastAsia="en-US"/>
    </w:rPr>
  </w:style>
  <w:style w:styleId="af0" w:type="paragraph">
    <w:name w:val="List Paragraph"/>
    <w:basedOn w:val="a"/>
    <w:uiPriority w:val="34"/>
    <w:qFormat/>
    <w:pPr>
      <w:widowControl/>
      <w:ind w:left="720"/>
      <w:contextualSpacing/>
      <w:jc w:val="left"/>
    </w:pPr>
    <w:rPr>
      <w:rFonts w:asciiTheme="minorHAnsi" w:eastAsiaTheme="minorEastAsia" w:hAnsiTheme="minorHAnsi"/>
      <w:kern w:val="0"/>
      <w:sz w:val="24"/>
      <w:lang w:bidi="en-US" w:eastAsia="en-US"/>
    </w:rPr>
  </w:style>
  <w:style w:styleId="af1" w:type="paragraph">
    <w:name w:val="Quote"/>
    <w:basedOn w:val="a"/>
    <w:next w:val="a"/>
    <w:link w:val="af2"/>
    <w:uiPriority w:val="29"/>
    <w:qFormat/>
    <w:pPr>
      <w:widowControl/>
      <w:jc w:val="left"/>
    </w:pPr>
    <w:rPr>
      <w:rFonts w:asciiTheme="minorHAnsi" w:eastAsiaTheme="minorEastAsia" w:hAnsiTheme="minorHAnsi"/>
      <w:i/>
      <w:kern w:val="0"/>
      <w:sz w:val="24"/>
    </w:rPr>
  </w:style>
  <w:style w:customStyle="1" w:styleId="af2" w:type="character">
    <w:name w:val="引用 字符"/>
    <w:basedOn w:val="a0"/>
    <w:link w:val="af1"/>
    <w:uiPriority w:val="29"/>
    <w:rPr>
      <w:i/>
      <w:sz w:val="24"/>
      <w:szCs w:val="24"/>
    </w:rPr>
  </w:style>
  <w:style w:styleId="af3" w:type="paragraph">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customStyle="1" w:styleId="af4" w:type="character">
    <w:name w:val="明显引用 字符"/>
    <w:basedOn w:val="a0"/>
    <w:link w:val="af3"/>
    <w:uiPriority w:val="30"/>
    <w:qFormat/>
    <w:rPr>
      <w:b/>
      <w:i/>
      <w:sz w:val="24"/>
    </w:rPr>
  </w:style>
  <w:style w:customStyle="1" w:styleId="11" w:type="character">
    <w:name w:val="不明显强调1"/>
    <w:uiPriority w:val="19"/>
    <w:qFormat/>
    <w:rPr>
      <w:i/>
      <w:color w:themeColor="text1" w:themeTint="A6" w:val="595959"/>
    </w:rPr>
  </w:style>
  <w:style w:customStyle="1" w:styleId="12" w:type="character">
    <w:name w:val="明显强调1"/>
    <w:basedOn w:val="a0"/>
    <w:uiPriority w:val="21"/>
    <w:qFormat/>
    <w:rPr>
      <w:b/>
      <w:i/>
      <w:sz w:val="24"/>
      <w:szCs w:val="24"/>
      <w:u w:val="single"/>
    </w:rPr>
  </w:style>
  <w:style w:customStyle="1" w:styleId="13" w:type="character">
    <w:name w:val="不明显参考1"/>
    <w:basedOn w:val="a0"/>
    <w:uiPriority w:val="31"/>
    <w:qFormat/>
    <w:rPr>
      <w:sz w:val="24"/>
      <w:szCs w:val="24"/>
      <w:u w:val="single"/>
    </w:rPr>
  </w:style>
  <w:style w:customStyle="1" w:styleId="14" w:type="character">
    <w:name w:val="明显参考1"/>
    <w:basedOn w:val="a0"/>
    <w:uiPriority w:val="32"/>
    <w:qFormat/>
    <w:rPr>
      <w:b/>
      <w:sz w:val="24"/>
      <w:u w:val="single"/>
    </w:rPr>
  </w:style>
  <w:style w:customStyle="1" w:styleId="15" w:type="character">
    <w:name w:val="书籍标题1"/>
    <w:basedOn w:val="a0"/>
    <w:uiPriority w:val="33"/>
    <w:qFormat/>
    <w:rPr>
      <w:rFonts w:asciiTheme="majorHAnsi" w:eastAsiaTheme="majorEastAsia" w:hAnsiTheme="majorHAnsi"/>
      <w:b/>
      <w:i/>
      <w:sz w:val="24"/>
      <w:szCs w:val="24"/>
    </w:rPr>
  </w:style>
  <w:style w:customStyle="1" w:styleId="TOC1" w:type="paragraph">
    <w:name w:val="TOC 标题1"/>
    <w:basedOn w:val="1"/>
    <w:next w:val="a"/>
    <w:uiPriority w:val="39"/>
    <w:semiHidden/>
    <w:unhideWhenUsed/>
    <w:qFormat/>
    <w:pPr>
      <w:outlineLvl w:val="9"/>
    </w:pPr>
    <w:rPr>
      <w:lang w:bidi="en-US" w:eastAsia="en-US"/>
    </w:rPr>
  </w:style>
  <w:style w:customStyle="1" w:styleId="a8" w:type="character">
    <w:name w:val="页眉 字符"/>
    <w:basedOn w:val="a0"/>
    <w:link w:val="a7"/>
    <w:uiPriority w:val="99"/>
    <w:rPr>
      <w:rFonts w:ascii="Calibri" w:eastAsia="宋体" w:hAnsi="Calibri"/>
      <w:kern w:val="2"/>
      <w:sz w:val="18"/>
      <w:szCs w:val="18"/>
    </w:rPr>
  </w:style>
  <w:style w:customStyle="1" w:styleId="a6" w:type="character">
    <w:name w:val="页脚 字符"/>
    <w:basedOn w:val="a0"/>
    <w:link w:val="a5"/>
    <w:uiPriority w:val="99"/>
    <w:rPr>
      <w:rFonts w:ascii="Calibri" w:eastAsia="宋体" w:hAnsi="Calibri"/>
      <w:kern w:val="2"/>
      <w:sz w:val="18"/>
      <w:szCs w:val="18"/>
    </w:rPr>
  </w:style>
  <w:style w:customStyle="1" w:styleId="a4" w:type="character">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微软中国</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Administrator</cp:lastModifiedBy>
  <cp:lastPrinted>2018-12-31T10:56:00Z</cp:lastPrinted>
  <dcterms:modified xsi:type="dcterms:W3CDTF">2022-03-31T02:51:00Z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2052-11.1.0.11365</vt:lpwstr>
  </property>
  <property fmtid="{D5CDD505-2E9C-101B-9397-08002B2CF9AE}" name="ICV" pid="3">
    <vt:lpwstr>21EF0CDCB73D4B8D8FAC715995DB8275</vt:lpwstr>
  </property>
</Properties>
</file>