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方正小标宋简体" w:eastAsia="方正小标宋简体" w:cs="方正小标宋简体"/>
          <w:b w:val="0"/>
          <w:bCs/>
          <w:sz w:val="44"/>
          <w:szCs w:val="44"/>
          <w:lang w:val="en-US" w:eastAsia="zh-CN"/>
        </w:rPr>
      </w:pPr>
    </w:p>
    <w:p>
      <w:pPr>
        <w:spacing w:line="500" w:lineRule="exact"/>
        <w:jc w:val="center"/>
        <w:rPr>
          <w:rFonts w:hint="eastAsia" w:ascii="方正小标宋简体" w:hAnsi="方正小标宋简体" w:eastAsia="方正小标宋简体" w:cs="方正小标宋简体"/>
          <w:b w:val="0"/>
          <w:bCs/>
          <w:sz w:val="44"/>
          <w:szCs w:val="44"/>
          <w:lang w:val="en-US" w:eastAsia="zh-CN"/>
        </w:rPr>
      </w:pPr>
    </w:p>
    <w:p>
      <w:pPr>
        <w:spacing w:line="500" w:lineRule="exact"/>
        <w:jc w:val="center"/>
        <w:rPr>
          <w:rFonts w:hint="eastAsia" w:ascii="方正小标宋简体" w:hAnsi="方正小标宋简体" w:eastAsia="方正小标宋简体" w:cs="方正小标宋简体"/>
          <w:bCs/>
          <w:sz w:val="44"/>
          <w:szCs w:val="44"/>
        </w:rPr>
      </w:pPr>
      <w:bookmarkStart w:id="3" w:name="_GoBack"/>
      <w:bookmarkEnd w:id="3"/>
      <w:r>
        <w:rPr>
          <w:rFonts w:hint="eastAsia" w:ascii="方正小标宋简体" w:hAnsi="方正小标宋简体" w:eastAsia="方正小标宋简体" w:cs="方正小标宋简体"/>
          <w:b w:val="0"/>
          <w:bCs/>
          <w:sz w:val="44"/>
          <w:szCs w:val="44"/>
          <w:lang w:val="en-US" w:eastAsia="zh-CN"/>
        </w:rPr>
        <w:t>伊宁</w:t>
      </w:r>
      <w:r>
        <w:rPr>
          <w:rFonts w:hint="eastAsia" w:ascii="方正小标宋简体" w:hAnsi="方正小标宋简体" w:eastAsia="方正小标宋简体" w:cs="方正小标宋简体"/>
          <w:bCs/>
          <w:sz w:val="44"/>
          <w:szCs w:val="44"/>
          <w:lang w:val="en-US" w:eastAsia="zh-CN"/>
        </w:rPr>
        <w:t>县开</w:t>
      </w:r>
      <w:r>
        <w:rPr>
          <w:rFonts w:hint="eastAsia" w:ascii="方正小标宋简体" w:hAnsi="方正小标宋简体" w:eastAsia="方正小标宋简体" w:cs="方正小标宋简体"/>
          <w:bCs/>
          <w:sz w:val="44"/>
          <w:szCs w:val="44"/>
        </w:rPr>
        <w:t>展202</w:t>
      </w:r>
      <w:r>
        <w:rPr>
          <w:rFonts w:hint="eastAsia" w:ascii="方正小标宋简体" w:hAnsi="方正小标宋简体" w:eastAsia="方正小标宋简体" w:cs="方正小标宋简体"/>
          <w:bCs/>
          <w:sz w:val="44"/>
          <w:szCs w:val="44"/>
          <w:lang w:val="en-US" w:eastAsia="zh-CN"/>
        </w:rPr>
        <w:t>4</w:t>
      </w:r>
      <w:r>
        <w:rPr>
          <w:rFonts w:hint="eastAsia" w:ascii="方正小标宋简体" w:hAnsi="方正小标宋简体" w:eastAsia="方正小标宋简体" w:cs="方正小标宋简体"/>
          <w:bCs/>
          <w:sz w:val="44"/>
          <w:szCs w:val="44"/>
        </w:rPr>
        <w:t>年重点项目预算绩效评价</w:t>
      </w:r>
    </w:p>
    <w:p>
      <w:pPr>
        <w:spacing w:line="50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工作小结</w:t>
      </w:r>
    </w:p>
    <w:p>
      <w:pPr>
        <w:spacing w:line="500" w:lineRule="exact"/>
        <w:jc w:val="center"/>
        <w:rPr>
          <w:rFonts w:ascii="黑体" w:hAnsi="黑体" w:eastAsia="黑体" w:cs="黑体"/>
          <w:b/>
          <w:bCs/>
          <w:sz w:val="44"/>
          <w:szCs w:val="44"/>
        </w:rPr>
      </w:pP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根据年度财政绩效评价工作的安排，</w:t>
      </w:r>
      <w:r>
        <w:rPr>
          <w:rFonts w:hint="eastAsia" w:ascii="仿宋" w:hAnsi="仿宋" w:eastAsia="仿宋" w:cs="仿宋"/>
          <w:sz w:val="32"/>
          <w:szCs w:val="32"/>
          <w:lang w:eastAsia="zh-CN"/>
        </w:rPr>
        <w:t>伊宁县</w:t>
      </w:r>
      <w:r>
        <w:rPr>
          <w:rFonts w:hint="eastAsia" w:ascii="仿宋" w:hAnsi="仿宋" w:eastAsia="仿宋" w:cs="仿宋"/>
          <w:sz w:val="32"/>
          <w:szCs w:val="32"/>
        </w:rPr>
        <w:t>财政局紧紧围绕财政工作中心任务，扎实推进全面绩效管理工作，通过运用科学、规范、合理的评价方法、评价指标和评分标准，对</w:t>
      </w:r>
      <w:r>
        <w:rPr>
          <w:rFonts w:hint="eastAsia" w:ascii="仿宋" w:hAnsi="仿宋" w:eastAsia="仿宋" w:cs="仿宋"/>
          <w:sz w:val="32"/>
          <w:szCs w:val="32"/>
          <w:lang w:eastAsia="zh-CN"/>
        </w:rPr>
        <w:t>伊宁县</w:t>
      </w:r>
      <w:r>
        <w:rPr>
          <w:rFonts w:hint="eastAsia" w:ascii="仿宋" w:hAnsi="仿宋" w:eastAsia="仿宋" w:cs="仿宋"/>
          <w:sz w:val="32"/>
          <w:szCs w:val="32"/>
        </w:rPr>
        <w:t>部分项目开展财政支出重点绩效评价工作，通过对重点项目的资金决策、过程、产出、效益等方面进行绩效评价，提高财政资源配置效率和使用效益。</w:t>
      </w:r>
    </w:p>
    <w:p>
      <w:pPr>
        <w:spacing w:line="5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一、工作开展情况</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2024年，</w:t>
      </w:r>
      <w:r>
        <w:rPr>
          <w:rFonts w:hint="eastAsia" w:ascii="仿宋" w:hAnsi="仿宋" w:eastAsia="仿宋" w:cs="仿宋"/>
          <w:sz w:val="32"/>
          <w:szCs w:val="32"/>
          <w:lang w:eastAsia="zh-CN"/>
        </w:rPr>
        <w:t>伊宁县</w:t>
      </w:r>
      <w:r>
        <w:rPr>
          <w:rFonts w:hint="eastAsia" w:ascii="仿宋" w:hAnsi="仿宋" w:eastAsia="仿宋" w:cs="仿宋"/>
          <w:sz w:val="32"/>
          <w:szCs w:val="32"/>
        </w:rPr>
        <w:t>财政局结合202</w:t>
      </w:r>
      <w:r>
        <w:rPr>
          <w:rFonts w:hint="eastAsia" w:ascii="仿宋" w:hAnsi="仿宋" w:eastAsia="仿宋" w:cs="仿宋"/>
          <w:sz w:val="32"/>
          <w:szCs w:val="32"/>
          <w:lang w:val="en-US" w:eastAsia="zh-CN"/>
        </w:rPr>
        <w:t>4</w:t>
      </w:r>
      <w:r>
        <w:rPr>
          <w:rFonts w:hint="eastAsia" w:ascii="仿宋" w:hAnsi="仿宋" w:eastAsia="仿宋" w:cs="仿宋"/>
          <w:sz w:val="32"/>
          <w:szCs w:val="32"/>
        </w:rPr>
        <w:t>年项目支出的实际情况，按照“代表性较强、社会关注度高”的原则，最终筛选出4个项目支出和1个部门整体支出开展重点项目支出绩效评价，评价财政资金共计</w:t>
      </w:r>
      <w:r>
        <w:rPr>
          <w:rFonts w:hint="eastAsia" w:ascii="仿宋" w:hAnsi="仿宋" w:eastAsia="仿宋" w:cs="仿宋"/>
          <w:sz w:val="32"/>
          <w:szCs w:val="32"/>
          <w:lang w:val="en-US" w:eastAsia="zh-CN"/>
        </w:rPr>
        <w:t>2065.95</w:t>
      </w:r>
      <w:r>
        <w:rPr>
          <w:rFonts w:hint="eastAsia" w:ascii="仿宋" w:hAnsi="仿宋" w:eastAsia="仿宋" w:cs="仿宋"/>
          <w:sz w:val="32"/>
          <w:szCs w:val="32"/>
        </w:rPr>
        <w:t>万元，资金涵盖了一般公共预算、政府性基金预算及部门整体等多个行业领域的资金使用绩效情况。</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督促被评价单位落实专人负责、提供资料、反馈意见，提前整理、准备重点绩效评价项目的相关资料，严格按照评价工作程序、时间和要求提供评价相关资料，确保资料真实客观。聘请第三方专业机构对4个项目支出和1个部门整体支出进行客观公正的评价、确保数据真实有据、保证报告质量。</w:t>
      </w:r>
    </w:p>
    <w:p>
      <w:pPr>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二、重点项目绩效评价分析</w:t>
      </w:r>
    </w:p>
    <w:p>
      <w:pPr>
        <w:spacing w:line="500" w:lineRule="exact"/>
        <w:ind w:firstLine="643" w:firstLineChars="200"/>
        <w:rPr>
          <w:rFonts w:ascii="楷体" w:hAnsi="楷体" w:eastAsia="楷体" w:cs="仿宋"/>
          <w:b/>
          <w:bCs/>
          <w:sz w:val="32"/>
          <w:szCs w:val="32"/>
        </w:rPr>
      </w:pPr>
      <w:r>
        <w:rPr>
          <w:rFonts w:hint="eastAsia" w:ascii="仿宋" w:hAnsi="仿宋" w:eastAsia="仿宋" w:cs="仿宋"/>
          <w:b/>
          <w:bCs/>
          <w:sz w:val="32"/>
          <w:szCs w:val="32"/>
        </w:rPr>
        <w:t>（</w:t>
      </w:r>
      <w:r>
        <w:rPr>
          <w:rFonts w:hint="eastAsia" w:ascii="楷体" w:hAnsi="楷体" w:eastAsia="楷体" w:cs="仿宋"/>
          <w:b/>
          <w:bCs/>
          <w:sz w:val="32"/>
          <w:szCs w:val="32"/>
        </w:rPr>
        <w:t>一）全部重点项目绩效总体评价分析</w:t>
      </w:r>
    </w:p>
    <w:p>
      <w:pPr>
        <w:spacing w:line="500" w:lineRule="exact"/>
        <w:ind w:firstLine="645"/>
        <w:jc w:val="left"/>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eastAsia="zh-CN"/>
        </w:rPr>
        <w:t>伊宁县</w:t>
      </w:r>
      <w:r>
        <w:rPr>
          <w:rFonts w:hint="eastAsia" w:ascii="仿宋" w:hAnsi="仿宋" w:eastAsia="仿宋" w:cs="仿宋"/>
          <w:sz w:val="32"/>
          <w:szCs w:val="32"/>
        </w:rPr>
        <w:t>按照《中华人民共和国预算法》《中共中央国务院关于全面实施预算绩效管理的意见》（中发〔2018〕34号）、《自治区党委自治区人民政府关于全面实施预算绩效管理的实施意见》（新党发〔2018〕30号）、《项目支出绩效评价管理办法》（财预〔2020〕10号）、自治区财政厅下发</w:t>
      </w:r>
      <w:r>
        <w:rPr>
          <w:rFonts w:hint="eastAsia" w:ascii="仿宋" w:hAnsi="仿宋" w:eastAsia="仿宋" w:cs="仿宋"/>
          <w:sz w:val="32"/>
          <w:szCs w:val="32"/>
          <w:lang w:val="zh-TW"/>
        </w:rPr>
        <w:t>《</w:t>
      </w:r>
      <w:r>
        <w:rPr>
          <w:rFonts w:hint="eastAsia" w:ascii="仿宋" w:hAnsi="仿宋" w:eastAsia="仿宋" w:cs="仿宋"/>
          <w:sz w:val="32"/>
          <w:szCs w:val="32"/>
        </w:rPr>
        <w:t>预算绩效评价指标体系1.0——新疆政府采购项目预算绩效评价指标体系</w:t>
      </w:r>
      <w:r>
        <w:rPr>
          <w:rFonts w:hint="eastAsia" w:ascii="仿宋" w:hAnsi="仿宋" w:eastAsia="仿宋" w:cs="仿宋"/>
          <w:sz w:val="32"/>
          <w:szCs w:val="32"/>
          <w:lang w:val="zh-TW"/>
        </w:rPr>
        <w:t>》</w:t>
      </w:r>
      <w:r>
        <w:rPr>
          <w:rFonts w:hint="eastAsia" w:ascii="仿宋" w:hAnsi="仿宋" w:eastAsia="仿宋" w:cs="仿宋"/>
          <w:sz w:val="32"/>
          <w:szCs w:val="32"/>
        </w:rPr>
        <w:t>等文件要求结合项目支出实际情况，对各项目进行评价。根据项目评价结果，督促预算单位做好整改，同时将本次绩效评价结果作为预算单位次年预算编制的重要依据，并优化支出结构、完善相关办法、改进预算管理。</w:t>
      </w:r>
    </w:p>
    <w:p>
      <w:pPr>
        <w:spacing w:line="500" w:lineRule="exact"/>
        <w:ind w:firstLine="645"/>
        <w:jc w:val="left"/>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eastAsia="zh-CN"/>
        </w:rPr>
        <w:t>伊宁县</w:t>
      </w:r>
      <w:r>
        <w:rPr>
          <w:rFonts w:hint="eastAsia" w:ascii="仿宋" w:hAnsi="仿宋" w:eastAsia="仿宋" w:cs="仿宋"/>
          <w:sz w:val="32"/>
          <w:szCs w:val="32"/>
        </w:rPr>
        <w:t>重点项目绩效评价共计5个，其中：4个项目支出和1个部门整体支出，共涉及财政资金</w:t>
      </w:r>
      <w:r>
        <w:rPr>
          <w:rFonts w:hint="eastAsia" w:ascii="仿宋" w:hAnsi="仿宋" w:eastAsia="仿宋" w:cs="仿宋"/>
          <w:sz w:val="32"/>
          <w:szCs w:val="32"/>
          <w:lang w:val="en-US" w:eastAsia="zh-CN"/>
        </w:rPr>
        <w:t>2065.95</w:t>
      </w:r>
      <w:r>
        <w:rPr>
          <w:rFonts w:hint="eastAsia" w:ascii="仿宋" w:hAnsi="仿宋" w:eastAsia="仿宋" w:cs="仿宋"/>
          <w:sz w:val="32"/>
          <w:szCs w:val="32"/>
        </w:rPr>
        <w:t>万元，项目支出绩效评价平均得分</w:t>
      </w:r>
      <w:r>
        <w:rPr>
          <w:rFonts w:hint="eastAsia" w:ascii="仿宋" w:hAnsi="仿宋" w:eastAsia="仿宋" w:cs="仿宋"/>
          <w:sz w:val="32"/>
          <w:szCs w:val="32"/>
          <w:lang w:val="en-US" w:eastAsia="zh-CN"/>
        </w:rPr>
        <w:t>88.14</w:t>
      </w:r>
      <w:r>
        <w:rPr>
          <w:rFonts w:hint="eastAsia" w:ascii="仿宋" w:hAnsi="仿宋" w:eastAsia="仿宋" w:cs="仿宋"/>
          <w:sz w:val="32"/>
          <w:szCs w:val="32"/>
        </w:rPr>
        <w:t>分，最高得分</w:t>
      </w:r>
      <w:r>
        <w:rPr>
          <w:rFonts w:hint="eastAsia" w:ascii="仿宋" w:hAnsi="仿宋" w:eastAsia="仿宋" w:cs="仿宋"/>
          <w:sz w:val="32"/>
          <w:szCs w:val="32"/>
          <w:lang w:val="en-US" w:eastAsia="zh-CN"/>
        </w:rPr>
        <w:t>89.50</w:t>
      </w:r>
      <w:r>
        <w:rPr>
          <w:rFonts w:hint="eastAsia" w:ascii="仿宋" w:hAnsi="仿宋" w:eastAsia="仿宋" w:cs="仿宋"/>
          <w:sz w:val="32"/>
          <w:szCs w:val="32"/>
        </w:rPr>
        <w:t>分，最低得分</w:t>
      </w:r>
      <w:r>
        <w:rPr>
          <w:rFonts w:hint="eastAsia" w:ascii="仿宋" w:hAnsi="仿宋" w:eastAsia="仿宋" w:cs="仿宋"/>
          <w:sz w:val="32"/>
          <w:szCs w:val="32"/>
          <w:lang w:val="en-US" w:eastAsia="zh-CN"/>
        </w:rPr>
        <w:t>86.70</w:t>
      </w:r>
      <w:r>
        <w:rPr>
          <w:rFonts w:hint="eastAsia" w:ascii="仿宋" w:hAnsi="仿宋" w:eastAsia="仿宋" w:cs="仿宋"/>
          <w:sz w:val="32"/>
          <w:szCs w:val="32"/>
        </w:rPr>
        <w:t>分；部门整体支出绩效评价得分</w:t>
      </w:r>
      <w:r>
        <w:rPr>
          <w:rFonts w:hint="eastAsia" w:ascii="仿宋" w:hAnsi="仿宋" w:eastAsia="仿宋" w:cs="仿宋"/>
          <w:sz w:val="32"/>
          <w:szCs w:val="32"/>
          <w:lang w:val="en-US" w:eastAsia="zh-CN"/>
        </w:rPr>
        <w:t>88.20</w:t>
      </w:r>
      <w:r>
        <w:rPr>
          <w:rFonts w:hint="eastAsia" w:ascii="仿宋" w:hAnsi="仿宋" w:eastAsia="仿宋" w:cs="仿宋"/>
          <w:sz w:val="32"/>
          <w:szCs w:val="32"/>
        </w:rPr>
        <w:t>分。</w:t>
      </w:r>
    </w:p>
    <w:p>
      <w:pPr>
        <w:spacing w:line="500" w:lineRule="exact"/>
        <w:ind w:firstLine="643" w:firstLineChars="200"/>
        <w:rPr>
          <w:rFonts w:ascii="仿宋" w:hAnsi="仿宋" w:eastAsia="仿宋" w:cs="仿宋"/>
          <w:b/>
          <w:sz w:val="32"/>
          <w:szCs w:val="32"/>
        </w:rPr>
      </w:pPr>
      <w:r>
        <w:rPr>
          <w:rFonts w:hint="eastAsia" w:ascii="仿宋" w:hAnsi="仿宋" w:eastAsia="仿宋" w:cs="仿宋"/>
          <w:b/>
          <w:sz w:val="32"/>
          <w:szCs w:val="32"/>
        </w:rPr>
        <w:t>1、项目支出权重与得分分析。按照项目实施的特点及产出与效益的占比，项目组对项目支绩效评价指标体系权重进行调整。</w:t>
      </w:r>
    </w:p>
    <w:p>
      <w:pPr>
        <w:spacing w:line="500" w:lineRule="exact"/>
        <w:ind w:firstLine="645" w:firstLineChars="0"/>
        <w:jc w:val="left"/>
        <w:rPr>
          <w:rFonts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1）决策权重占比</w:t>
      </w:r>
      <w:r>
        <w:rPr>
          <w:rFonts w:hint="eastAsia" w:ascii="仿宋" w:hAnsi="仿宋" w:eastAsia="仿宋" w:cs="仿宋"/>
          <w:sz w:val="32"/>
          <w:szCs w:val="32"/>
          <w:lang w:val="en-US" w:eastAsia="zh-CN"/>
        </w:rPr>
        <w:t>11.25</w:t>
      </w:r>
      <w:r>
        <w:rPr>
          <w:rFonts w:ascii="仿宋" w:hAnsi="仿宋" w:eastAsia="仿宋" w:cs="仿宋"/>
          <w:sz w:val="32"/>
          <w:szCs w:val="32"/>
        </w:rPr>
        <w:t>%，得分</w:t>
      </w:r>
      <w:r>
        <w:rPr>
          <w:rFonts w:hint="eastAsia" w:ascii="仿宋" w:hAnsi="仿宋" w:eastAsia="仿宋" w:cs="仿宋"/>
          <w:sz w:val="32"/>
          <w:szCs w:val="32"/>
          <w:lang w:val="en-US" w:eastAsia="zh-CN"/>
        </w:rPr>
        <w:t>10.50</w:t>
      </w:r>
      <w:r>
        <w:rPr>
          <w:rFonts w:ascii="仿宋" w:hAnsi="仿宋" w:eastAsia="仿宋" w:cs="仿宋"/>
          <w:sz w:val="32"/>
          <w:szCs w:val="32"/>
        </w:rPr>
        <w:t>分。其中：项目立项权重占比</w:t>
      </w:r>
      <w:r>
        <w:rPr>
          <w:rFonts w:hint="eastAsia" w:ascii="仿宋" w:hAnsi="仿宋" w:eastAsia="仿宋" w:cs="仿宋"/>
          <w:sz w:val="32"/>
          <w:szCs w:val="32"/>
          <w:lang w:val="en-US" w:eastAsia="zh-CN"/>
        </w:rPr>
        <w:t>3.00</w:t>
      </w:r>
      <w:r>
        <w:rPr>
          <w:rFonts w:ascii="仿宋" w:hAnsi="仿宋" w:eastAsia="仿宋" w:cs="仿宋"/>
          <w:sz w:val="32"/>
          <w:szCs w:val="32"/>
        </w:rPr>
        <w:t>%，得分</w:t>
      </w:r>
      <w:r>
        <w:rPr>
          <w:rFonts w:hint="eastAsia" w:ascii="仿宋" w:hAnsi="仿宋" w:eastAsia="仿宋" w:cs="仿宋"/>
          <w:sz w:val="32"/>
          <w:szCs w:val="32"/>
          <w:lang w:val="en-US" w:eastAsia="zh-CN"/>
        </w:rPr>
        <w:t>3.00</w:t>
      </w:r>
      <w:r>
        <w:rPr>
          <w:rFonts w:ascii="仿宋" w:hAnsi="仿宋" w:eastAsia="仿宋" w:cs="仿宋"/>
          <w:sz w:val="32"/>
          <w:szCs w:val="32"/>
        </w:rPr>
        <w:t>分；绩效目标权重占比</w:t>
      </w:r>
      <w:r>
        <w:rPr>
          <w:rFonts w:hint="eastAsia" w:ascii="仿宋" w:hAnsi="仿宋" w:eastAsia="仿宋" w:cs="仿宋"/>
          <w:sz w:val="32"/>
          <w:szCs w:val="32"/>
        </w:rPr>
        <w:t>4</w:t>
      </w:r>
      <w:r>
        <w:rPr>
          <w:rFonts w:hint="eastAsia" w:ascii="仿宋" w:hAnsi="仿宋" w:eastAsia="仿宋" w:cs="仿宋"/>
          <w:sz w:val="32"/>
          <w:szCs w:val="32"/>
          <w:lang w:val="en-US" w:eastAsia="zh-CN"/>
        </w:rPr>
        <w:t>.25</w:t>
      </w:r>
      <w:r>
        <w:rPr>
          <w:rFonts w:ascii="仿宋" w:hAnsi="仿宋" w:eastAsia="仿宋" w:cs="仿宋"/>
          <w:sz w:val="32"/>
          <w:szCs w:val="32"/>
        </w:rPr>
        <w:t>%，得分</w:t>
      </w:r>
      <w:r>
        <w:rPr>
          <w:rFonts w:hint="eastAsia" w:ascii="仿宋" w:hAnsi="仿宋" w:eastAsia="仿宋" w:cs="仿宋"/>
          <w:sz w:val="32"/>
          <w:szCs w:val="32"/>
        </w:rPr>
        <w:t>4</w:t>
      </w:r>
      <w:r>
        <w:rPr>
          <w:rFonts w:hint="eastAsia" w:ascii="仿宋" w:hAnsi="仿宋" w:eastAsia="仿宋" w:cs="仿宋"/>
          <w:sz w:val="32"/>
          <w:szCs w:val="32"/>
          <w:lang w:val="en-US" w:eastAsia="zh-CN"/>
        </w:rPr>
        <w:t>.25</w:t>
      </w:r>
      <w:r>
        <w:rPr>
          <w:rFonts w:ascii="仿宋" w:hAnsi="仿宋" w:eastAsia="仿宋" w:cs="仿宋"/>
          <w:sz w:val="32"/>
          <w:szCs w:val="32"/>
        </w:rPr>
        <w:t>分；资金投入权重占比</w:t>
      </w:r>
      <w:r>
        <w:rPr>
          <w:rFonts w:hint="eastAsia" w:ascii="仿宋" w:hAnsi="仿宋" w:eastAsia="仿宋" w:cs="仿宋"/>
          <w:sz w:val="32"/>
          <w:szCs w:val="32"/>
        </w:rPr>
        <w:t>4.</w:t>
      </w:r>
      <w:r>
        <w:rPr>
          <w:rFonts w:hint="eastAsia" w:ascii="仿宋" w:hAnsi="仿宋" w:eastAsia="仿宋" w:cs="仿宋"/>
          <w:sz w:val="32"/>
          <w:szCs w:val="32"/>
          <w:lang w:val="en-US" w:eastAsia="zh-CN"/>
        </w:rPr>
        <w:t>00</w:t>
      </w:r>
      <w:r>
        <w:rPr>
          <w:rFonts w:ascii="仿宋" w:hAnsi="仿宋" w:eastAsia="仿宋" w:cs="仿宋"/>
          <w:sz w:val="32"/>
          <w:szCs w:val="32"/>
        </w:rPr>
        <w:t>%，平均得分</w:t>
      </w:r>
      <w:r>
        <w:rPr>
          <w:rFonts w:hint="eastAsia" w:ascii="仿宋" w:hAnsi="仿宋" w:eastAsia="仿宋" w:cs="仿宋"/>
          <w:sz w:val="32"/>
          <w:szCs w:val="32"/>
        </w:rPr>
        <w:t>3.</w:t>
      </w:r>
      <w:r>
        <w:rPr>
          <w:rFonts w:hint="eastAsia" w:ascii="仿宋" w:hAnsi="仿宋" w:eastAsia="仿宋" w:cs="仿宋"/>
          <w:sz w:val="32"/>
          <w:szCs w:val="32"/>
          <w:lang w:val="en-US" w:eastAsia="zh-CN"/>
        </w:rPr>
        <w:t>25</w:t>
      </w:r>
      <w:r>
        <w:rPr>
          <w:rFonts w:ascii="仿宋" w:hAnsi="仿宋" w:eastAsia="仿宋" w:cs="仿宋"/>
          <w:sz w:val="32"/>
          <w:szCs w:val="32"/>
        </w:rPr>
        <w:t>分。</w:t>
      </w:r>
    </w:p>
    <w:p>
      <w:pPr>
        <w:spacing w:line="5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2）过程权重占比</w:t>
      </w:r>
      <w:r>
        <w:rPr>
          <w:rFonts w:hint="eastAsia" w:ascii="仿宋" w:hAnsi="仿宋" w:eastAsia="仿宋" w:cs="仿宋"/>
          <w:sz w:val="32"/>
          <w:szCs w:val="32"/>
          <w:lang w:val="en-US" w:eastAsia="zh-CN"/>
        </w:rPr>
        <w:t>26.25</w:t>
      </w:r>
      <w:r>
        <w:rPr>
          <w:rFonts w:ascii="仿宋" w:hAnsi="仿宋" w:eastAsia="仿宋" w:cs="仿宋"/>
          <w:sz w:val="32"/>
          <w:szCs w:val="32"/>
        </w:rPr>
        <w:t>%，得分</w:t>
      </w:r>
      <w:r>
        <w:rPr>
          <w:rFonts w:hint="eastAsia" w:ascii="仿宋" w:hAnsi="仿宋" w:eastAsia="仿宋" w:cs="仿宋"/>
          <w:sz w:val="32"/>
          <w:szCs w:val="32"/>
          <w:lang w:val="en-US" w:eastAsia="zh-CN"/>
        </w:rPr>
        <w:t>18.75</w:t>
      </w:r>
      <w:r>
        <w:rPr>
          <w:rFonts w:ascii="仿宋" w:hAnsi="仿宋" w:eastAsia="仿宋" w:cs="仿宋"/>
          <w:sz w:val="32"/>
          <w:szCs w:val="32"/>
        </w:rPr>
        <w:t>分。其中：资金管理权重占比</w:t>
      </w:r>
      <w:r>
        <w:rPr>
          <w:rFonts w:hint="eastAsia" w:ascii="仿宋" w:hAnsi="仿宋" w:eastAsia="仿宋" w:cs="仿宋"/>
          <w:sz w:val="32"/>
          <w:szCs w:val="32"/>
          <w:lang w:val="en-US" w:eastAsia="zh-CN"/>
        </w:rPr>
        <w:t>13.25</w:t>
      </w:r>
      <w:r>
        <w:rPr>
          <w:rFonts w:ascii="仿宋" w:hAnsi="仿宋" w:eastAsia="仿宋" w:cs="仿宋"/>
          <w:sz w:val="32"/>
          <w:szCs w:val="32"/>
        </w:rPr>
        <w:t>%，得分</w:t>
      </w:r>
      <w:r>
        <w:rPr>
          <w:rFonts w:hint="eastAsia" w:ascii="仿宋" w:hAnsi="仿宋" w:eastAsia="仿宋" w:cs="仿宋"/>
          <w:sz w:val="32"/>
          <w:szCs w:val="32"/>
          <w:lang w:val="en-US" w:eastAsia="zh-CN"/>
        </w:rPr>
        <w:t>11.50</w:t>
      </w:r>
      <w:r>
        <w:rPr>
          <w:rFonts w:ascii="仿宋" w:hAnsi="仿宋" w:eastAsia="仿宋" w:cs="仿宋"/>
          <w:sz w:val="32"/>
          <w:szCs w:val="32"/>
        </w:rPr>
        <w:t>分；组织实施权重占比</w:t>
      </w:r>
      <w:r>
        <w:rPr>
          <w:rFonts w:hint="eastAsia" w:ascii="仿宋" w:hAnsi="仿宋" w:eastAsia="仿宋" w:cs="仿宋"/>
          <w:sz w:val="32"/>
          <w:szCs w:val="32"/>
          <w:lang w:val="en-US" w:eastAsia="zh-CN"/>
        </w:rPr>
        <w:t>13.00</w:t>
      </w:r>
      <w:r>
        <w:rPr>
          <w:rFonts w:ascii="仿宋" w:hAnsi="仿宋" w:eastAsia="仿宋" w:cs="仿宋"/>
          <w:sz w:val="32"/>
          <w:szCs w:val="32"/>
        </w:rPr>
        <w:t>%，平均得分</w:t>
      </w:r>
      <w:r>
        <w:rPr>
          <w:rFonts w:hint="eastAsia" w:ascii="仿宋" w:hAnsi="仿宋" w:eastAsia="仿宋" w:cs="仿宋"/>
          <w:sz w:val="32"/>
          <w:szCs w:val="32"/>
          <w:lang w:val="en-US" w:eastAsia="zh-CN"/>
        </w:rPr>
        <w:t>7.25</w:t>
      </w:r>
      <w:r>
        <w:rPr>
          <w:rFonts w:ascii="仿宋" w:hAnsi="仿宋" w:eastAsia="仿宋" w:cs="仿宋"/>
          <w:sz w:val="32"/>
          <w:szCs w:val="32"/>
        </w:rPr>
        <w:t>分。</w:t>
      </w:r>
    </w:p>
    <w:p>
      <w:pPr>
        <w:spacing w:line="51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3）产出权重占比</w:t>
      </w:r>
      <w:r>
        <w:rPr>
          <w:rFonts w:hint="eastAsia" w:ascii="仿宋" w:hAnsi="仿宋" w:eastAsia="仿宋" w:cs="仿宋"/>
          <w:sz w:val="32"/>
          <w:szCs w:val="32"/>
          <w:lang w:val="en-US" w:eastAsia="zh-CN"/>
        </w:rPr>
        <w:t>30.00</w:t>
      </w:r>
      <w:r>
        <w:rPr>
          <w:rFonts w:ascii="仿宋" w:hAnsi="仿宋" w:eastAsia="仿宋" w:cs="仿宋"/>
          <w:sz w:val="32"/>
          <w:szCs w:val="32"/>
        </w:rPr>
        <w:t>%，结合各项目实际情况评价，平均得分</w:t>
      </w:r>
      <w:r>
        <w:rPr>
          <w:rFonts w:hint="eastAsia" w:ascii="仿宋" w:hAnsi="仿宋" w:eastAsia="仿宋" w:cs="仿宋"/>
          <w:sz w:val="32"/>
          <w:szCs w:val="32"/>
          <w:lang w:val="en-US" w:eastAsia="zh-CN"/>
        </w:rPr>
        <w:t>26.60</w:t>
      </w:r>
      <w:r>
        <w:rPr>
          <w:rFonts w:ascii="仿宋" w:hAnsi="仿宋" w:eastAsia="仿宋" w:cs="仿宋"/>
          <w:sz w:val="32"/>
          <w:szCs w:val="32"/>
        </w:rPr>
        <w:t>分。</w:t>
      </w:r>
    </w:p>
    <w:p>
      <w:pPr>
        <w:spacing w:line="51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w:t>
      </w:r>
      <w:r>
        <w:rPr>
          <w:rFonts w:ascii="仿宋" w:hAnsi="仿宋" w:eastAsia="仿宋" w:cs="仿宋"/>
          <w:sz w:val="32"/>
          <w:szCs w:val="32"/>
        </w:rPr>
        <w:t>4）效益权重占比</w:t>
      </w:r>
      <w:r>
        <w:rPr>
          <w:rFonts w:hint="eastAsia" w:ascii="仿宋" w:hAnsi="仿宋" w:eastAsia="仿宋" w:cs="仿宋"/>
          <w:sz w:val="32"/>
          <w:szCs w:val="32"/>
          <w:lang w:val="en-US" w:eastAsia="zh-CN"/>
        </w:rPr>
        <w:t>32.50</w:t>
      </w:r>
      <w:r>
        <w:rPr>
          <w:rFonts w:ascii="仿宋" w:hAnsi="仿宋" w:eastAsia="仿宋" w:cs="仿宋"/>
          <w:sz w:val="32"/>
          <w:szCs w:val="32"/>
        </w:rPr>
        <w:t>%，结合各项目实际情况评价，平均得分</w:t>
      </w:r>
      <w:r>
        <w:rPr>
          <w:rFonts w:hint="eastAsia" w:ascii="仿宋" w:hAnsi="仿宋" w:eastAsia="仿宋" w:cs="仿宋"/>
          <w:sz w:val="32"/>
          <w:szCs w:val="32"/>
          <w:lang w:val="en-US" w:eastAsia="zh-CN"/>
        </w:rPr>
        <w:t>32.29</w:t>
      </w:r>
      <w:r>
        <w:rPr>
          <w:rFonts w:ascii="仿宋" w:hAnsi="仿宋" w:eastAsia="仿宋" w:cs="仿宋"/>
          <w:sz w:val="32"/>
          <w:szCs w:val="32"/>
        </w:rPr>
        <w:t>分。</w:t>
      </w:r>
    </w:p>
    <w:p>
      <w:pPr>
        <w:spacing w:line="510" w:lineRule="exact"/>
        <w:ind w:firstLine="643" w:firstLineChars="200"/>
        <w:rPr>
          <w:rFonts w:ascii="仿宋" w:hAnsi="仿宋" w:eastAsia="仿宋" w:cs="仿宋"/>
          <w:b/>
          <w:sz w:val="32"/>
          <w:szCs w:val="32"/>
        </w:rPr>
      </w:pPr>
      <w:r>
        <w:rPr>
          <w:rFonts w:hint="eastAsia" w:ascii="仿宋" w:hAnsi="仿宋" w:eastAsia="仿宋" w:cs="仿宋"/>
          <w:b/>
          <w:sz w:val="32"/>
          <w:szCs w:val="32"/>
        </w:rPr>
        <w:t>2、部门整体支出绩效评价项目权重分配如下：</w:t>
      </w:r>
    </w:p>
    <w:p>
      <w:pPr>
        <w:spacing w:line="510" w:lineRule="exact"/>
        <w:ind w:firstLine="640" w:firstLineChars="200"/>
        <w:jc w:val="left"/>
        <w:outlineLvl w:val="9"/>
        <w:rPr>
          <w:rFonts w:hint="eastAsia" w:ascii="仿宋" w:hAnsi="仿宋" w:eastAsia="仿宋" w:cs="仿宋"/>
          <w:sz w:val="32"/>
          <w:szCs w:val="32"/>
        </w:rPr>
      </w:pPr>
      <w:r>
        <w:rPr>
          <w:rFonts w:hint="eastAsia" w:ascii="仿宋" w:hAnsi="仿宋" w:eastAsia="仿宋" w:cs="仿宋"/>
          <w:sz w:val="32"/>
          <w:szCs w:val="32"/>
        </w:rPr>
        <w:t>部门整体支出绩效评价指标体系中，其中：决策权重占比15.00%，得分</w:t>
      </w:r>
      <w:r>
        <w:rPr>
          <w:rFonts w:hint="eastAsia" w:ascii="仿宋" w:hAnsi="仿宋" w:eastAsia="仿宋" w:cs="仿宋"/>
          <w:sz w:val="32"/>
          <w:szCs w:val="32"/>
          <w:lang w:val="en-US" w:eastAsia="zh-CN"/>
        </w:rPr>
        <w:t>15.00</w:t>
      </w:r>
      <w:r>
        <w:rPr>
          <w:rFonts w:hint="eastAsia" w:ascii="仿宋" w:hAnsi="仿宋" w:eastAsia="仿宋" w:cs="仿宋"/>
          <w:sz w:val="32"/>
          <w:szCs w:val="32"/>
        </w:rPr>
        <w:t>分，得分率</w:t>
      </w:r>
      <w:r>
        <w:rPr>
          <w:rFonts w:hint="eastAsia" w:ascii="仿宋" w:hAnsi="仿宋" w:eastAsia="仿宋" w:cs="仿宋"/>
          <w:bCs w:val="0"/>
          <w:color w:val="auto"/>
          <w:sz w:val="32"/>
          <w:szCs w:val="32"/>
          <w:lang w:val="en-US" w:eastAsia="zh-CN"/>
        </w:rPr>
        <w:t>100.00%</w:t>
      </w:r>
      <w:r>
        <w:rPr>
          <w:rFonts w:hint="eastAsia" w:ascii="仿宋" w:hAnsi="仿宋" w:eastAsia="仿宋" w:cs="仿宋"/>
          <w:sz w:val="32"/>
          <w:szCs w:val="32"/>
        </w:rPr>
        <w:t>；管理权重占比</w:t>
      </w:r>
      <w:r>
        <w:rPr>
          <w:rFonts w:hint="eastAsia" w:ascii="仿宋" w:hAnsi="仿宋" w:eastAsia="仿宋" w:cs="仿宋"/>
          <w:sz w:val="32"/>
          <w:szCs w:val="32"/>
          <w:lang w:val="en-US" w:eastAsia="zh-CN"/>
        </w:rPr>
        <w:t>2</w:t>
      </w:r>
      <w:r>
        <w:rPr>
          <w:rFonts w:hint="eastAsia" w:ascii="仿宋" w:hAnsi="仿宋" w:eastAsia="仿宋" w:cs="仿宋"/>
          <w:sz w:val="32"/>
          <w:szCs w:val="32"/>
        </w:rPr>
        <w:t>5.00%，得分</w:t>
      </w:r>
      <w:r>
        <w:rPr>
          <w:rFonts w:hint="eastAsia" w:ascii="仿宋" w:hAnsi="仿宋" w:eastAsia="仿宋" w:cs="仿宋"/>
          <w:bCs w:val="0"/>
          <w:color w:val="auto"/>
          <w:sz w:val="32"/>
          <w:szCs w:val="32"/>
          <w:lang w:val="en-US" w:eastAsia="zh-CN"/>
        </w:rPr>
        <w:t>21.00</w:t>
      </w:r>
      <w:r>
        <w:rPr>
          <w:rFonts w:hint="eastAsia" w:ascii="仿宋" w:hAnsi="仿宋" w:eastAsia="仿宋" w:cs="仿宋"/>
          <w:sz w:val="32"/>
          <w:szCs w:val="32"/>
        </w:rPr>
        <w:t>分，得分率</w:t>
      </w:r>
      <w:r>
        <w:rPr>
          <w:rFonts w:hint="eastAsia" w:ascii="仿宋" w:hAnsi="仿宋" w:eastAsia="仿宋" w:cs="仿宋"/>
          <w:bCs w:val="0"/>
          <w:color w:val="auto"/>
          <w:sz w:val="32"/>
          <w:szCs w:val="32"/>
          <w:lang w:val="en-US" w:eastAsia="zh-CN"/>
        </w:rPr>
        <w:t>84.00%</w:t>
      </w:r>
      <w:r>
        <w:rPr>
          <w:rFonts w:hint="eastAsia" w:ascii="仿宋" w:hAnsi="仿宋" w:eastAsia="仿宋" w:cs="仿宋"/>
          <w:sz w:val="32"/>
          <w:szCs w:val="32"/>
        </w:rPr>
        <w:t>；绩效权重占比</w:t>
      </w:r>
      <w:r>
        <w:rPr>
          <w:rFonts w:hint="eastAsia" w:ascii="仿宋" w:hAnsi="仿宋" w:eastAsia="仿宋" w:cs="仿宋"/>
          <w:sz w:val="32"/>
          <w:szCs w:val="32"/>
          <w:lang w:val="en-US" w:eastAsia="zh-CN"/>
        </w:rPr>
        <w:t>6</w:t>
      </w:r>
      <w:r>
        <w:rPr>
          <w:rFonts w:hint="eastAsia" w:ascii="仿宋" w:hAnsi="仿宋" w:eastAsia="仿宋" w:cs="仿宋"/>
          <w:sz w:val="32"/>
          <w:szCs w:val="32"/>
        </w:rPr>
        <w:t>0.00%，得分</w:t>
      </w:r>
      <w:r>
        <w:rPr>
          <w:rFonts w:hint="eastAsia" w:ascii="仿宋" w:hAnsi="仿宋" w:eastAsia="仿宋" w:cs="仿宋"/>
          <w:bCs w:val="0"/>
          <w:color w:val="auto"/>
          <w:sz w:val="32"/>
          <w:szCs w:val="32"/>
          <w:lang w:val="en-US" w:eastAsia="zh-CN"/>
        </w:rPr>
        <w:t>52.20</w:t>
      </w:r>
      <w:r>
        <w:rPr>
          <w:rFonts w:hint="eastAsia" w:ascii="仿宋" w:hAnsi="仿宋" w:eastAsia="仿宋" w:cs="仿宋"/>
          <w:sz w:val="32"/>
          <w:szCs w:val="32"/>
        </w:rPr>
        <w:t>分，得分率</w:t>
      </w:r>
      <w:r>
        <w:rPr>
          <w:rFonts w:hint="eastAsia" w:ascii="仿宋" w:hAnsi="仿宋" w:eastAsia="仿宋" w:cs="仿宋"/>
          <w:bCs w:val="0"/>
          <w:color w:val="auto"/>
          <w:sz w:val="32"/>
          <w:szCs w:val="32"/>
          <w:lang w:val="en-US" w:eastAsia="zh-CN"/>
        </w:rPr>
        <w:t>87.00</w:t>
      </w:r>
      <w:r>
        <w:rPr>
          <w:rFonts w:hint="eastAsia" w:ascii="仿宋" w:hAnsi="仿宋" w:eastAsia="仿宋" w:cs="仿宋"/>
          <w:sz w:val="32"/>
          <w:szCs w:val="32"/>
        </w:rPr>
        <w:t>%。</w:t>
      </w:r>
    </w:p>
    <w:p>
      <w:pPr>
        <w:spacing w:line="510" w:lineRule="exact"/>
        <w:ind w:firstLine="640" w:firstLineChars="200"/>
        <w:jc w:val="left"/>
        <w:outlineLvl w:val="9"/>
        <w:rPr>
          <w:rFonts w:hint="eastAsia" w:ascii="仿宋" w:hAnsi="仿宋" w:eastAsia="仿宋" w:cs="仿宋"/>
          <w:sz w:val="32"/>
          <w:szCs w:val="32"/>
        </w:rPr>
      </w:pPr>
      <w:r>
        <w:rPr>
          <w:rFonts w:hint="eastAsia" w:ascii="仿宋" w:hAnsi="仿宋" w:eastAsia="仿宋" w:cs="仿宋"/>
          <w:sz w:val="32"/>
          <w:szCs w:val="32"/>
        </w:rPr>
        <w:t>（1）决策权重占比15.00%，得分</w:t>
      </w:r>
      <w:r>
        <w:rPr>
          <w:rFonts w:hint="eastAsia" w:ascii="仿宋" w:hAnsi="仿宋" w:eastAsia="仿宋" w:cs="仿宋"/>
          <w:sz w:val="32"/>
          <w:szCs w:val="32"/>
          <w:lang w:val="en-US" w:eastAsia="zh-CN"/>
        </w:rPr>
        <w:t>15.00</w:t>
      </w:r>
      <w:r>
        <w:rPr>
          <w:rFonts w:hint="eastAsia" w:ascii="仿宋" w:hAnsi="仿宋" w:eastAsia="仿宋" w:cs="仿宋"/>
          <w:sz w:val="32"/>
          <w:szCs w:val="32"/>
        </w:rPr>
        <w:t>分。其中：项目立项权重占比6.00%，得分</w:t>
      </w:r>
      <w:r>
        <w:rPr>
          <w:rFonts w:hint="eastAsia" w:ascii="仿宋" w:hAnsi="仿宋" w:eastAsia="仿宋" w:cs="仿宋"/>
          <w:sz w:val="32"/>
          <w:szCs w:val="32"/>
          <w:lang w:val="en-US" w:eastAsia="zh-CN"/>
        </w:rPr>
        <w:t>6</w:t>
      </w:r>
      <w:r>
        <w:rPr>
          <w:rFonts w:hint="eastAsia" w:ascii="仿宋" w:hAnsi="仿宋" w:eastAsia="仿宋" w:cs="仿宋"/>
          <w:sz w:val="32"/>
          <w:szCs w:val="32"/>
        </w:rPr>
        <w:t>.00分；绩效目标权重占比4.00%，得分4.00分；资金投入权重占比5.00%，得分</w:t>
      </w:r>
      <w:r>
        <w:rPr>
          <w:rFonts w:hint="eastAsia" w:ascii="仿宋" w:hAnsi="仿宋" w:eastAsia="仿宋" w:cs="仿宋"/>
          <w:sz w:val="32"/>
          <w:szCs w:val="32"/>
          <w:lang w:val="en-US" w:eastAsia="zh-CN"/>
        </w:rPr>
        <w:t>5.00</w:t>
      </w:r>
      <w:r>
        <w:rPr>
          <w:rFonts w:hint="eastAsia" w:ascii="仿宋" w:hAnsi="仿宋" w:eastAsia="仿宋" w:cs="仿宋"/>
          <w:sz w:val="32"/>
          <w:szCs w:val="32"/>
        </w:rPr>
        <w:t>分。</w:t>
      </w:r>
    </w:p>
    <w:p>
      <w:pPr>
        <w:spacing w:line="510" w:lineRule="exact"/>
        <w:ind w:firstLine="640" w:firstLineChars="200"/>
        <w:jc w:val="left"/>
        <w:outlineLvl w:val="9"/>
        <w:rPr>
          <w:rFonts w:hint="eastAsia" w:ascii="仿宋" w:hAnsi="仿宋" w:eastAsia="仿宋" w:cs="仿宋"/>
          <w:sz w:val="32"/>
          <w:szCs w:val="32"/>
        </w:rPr>
      </w:pPr>
      <w:r>
        <w:rPr>
          <w:rFonts w:hint="eastAsia" w:ascii="仿宋" w:hAnsi="仿宋" w:eastAsia="仿宋" w:cs="仿宋"/>
          <w:sz w:val="32"/>
          <w:szCs w:val="32"/>
        </w:rPr>
        <w:t>（2）管理权重占比</w:t>
      </w:r>
      <w:r>
        <w:rPr>
          <w:rFonts w:hint="eastAsia" w:ascii="仿宋" w:hAnsi="仿宋" w:eastAsia="仿宋" w:cs="仿宋"/>
          <w:sz w:val="32"/>
          <w:szCs w:val="32"/>
          <w:lang w:val="en-US" w:eastAsia="zh-CN"/>
        </w:rPr>
        <w:t>2</w:t>
      </w:r>
      <w:r>
        <w:rPr>
          <w:rFonts w:hint="eastAsia" w:ascii="仿宋" w:hAnsi="仿宋" w:eastAsia="仿宋" w:cs="仿宋"/>
          <w:sz w:val="32"/>
          <w:szCs w:val="32"/>
        </w:rPr>
        <w:t>5.00%，得分</w:t>
      </w:r>
      <w:r>
        <w:rPr>
          <w:rFonts w:hint="eastAsia" w:ascii="仿宋" w:hAnsi="仿宋" w:eastAsia="仿宋" w:cs="仿宋"/>
          <w:bCs w:val="0"/>
          <w:sz w:val="32"/>
          <w:szCs w:val="32"/>
          <w:lang w:val="en-US" w:eastAsia="zh-CN"/>
        </w:rPr>
        <w:t>21.00</w:t>
      </w:r>
      <w:r>
        <w:rPr>
          <w:rFonts w:hint="eastAsia" w:ascii="仿宋" w:hAnsi="仿宋" w:eastAsia="仿宋" w:cs="仿宋"/>
          <w:sz w:val="32"/>
          <w:szCs w:val="32"/>
        </w:rPr>
        <w:t>分。其中：制度建设权重占比</w:t>
      </w:r>
      <w:r>
        <w:rPr>
          <w:rFonts w:hint="eastAsia" w:ascii="仿宋" w:hAnsi="仿宋" w:eastAsia="仿宋" w:cs="仿宋"/>
          <w:sz w:val="32"/>
          <w:szCs w:val="32"/>
          <w:lang w:val="en-US" w:eastAsia="zh-CN"/>
        </w:rPr>
        <w:t>4</w:t>
      </w:r>
      <w:r>
        <w:rPr>
          <w:rFonts w:hint="eastAsia" w:ascii="仿宋" w:hAnsi="仿宋" w:eastAsia="仿宋" w:cs="仿宋"/>
          <w:sz w:val="32"/>
          <w:szCs w:val="32"/>
        </w:rPr>
        <w:t>.00%，得分</w:t>
      </w:r>
      <w:r>
        <w:rPr>
          <w:rFonts w:hint="eastAsia" w:ascii="仿宋" w:hAnsi="仿宋" w:eastAsia="仿宋" w:cs="仿宋"/>
          <w:sz w:val="32"/>
          <w:szCs w:val="32"/>
          <w:lang w:val="en-US" w:eastAsia="zh-CN"/>
        </w:rPr>
        <w:t>4.00</w:t>
      </w:r>
      <w:r>
        <w:rPr>
          <w:rFonts w:hint="eastAsia" w:ascii="仿宋" w:hAnsi="仿宋" w:eastAsia="仿宋" w:cs="仿宋"/>
          <w:sz w:val="32"/>
          <w:szCs w:val="32"/>
        </w:rPr>
        <w:t>分；预算管理权重占比</w:t>
      </w:r>
      <w:r>
        <w:rPr>
          <w:rFonts w:hint="eastAsia" w:ascii="仿宋" w:hAnsi="仿宋" w:eastAsia="仿宋" w:cs="仿宋"/>
          <w:sz w:val="32"/>
          <w:szCs w:val="32"/>
          <w:lang w:val="en-US" w:eastAsia="zh-CN"/>
        </w:rPr>
        <w:t>4</w:t>
      </w:r>
      <w:r>
        <w:rPr>
          <w:rFonts w:hint="eastAsia" w:ascii="仿宋" w:hAnsi="仿宋" w:eastAsia="仿宋" w:cs="仿宋"/>
          <w:sz w:val="32"/>
          <w:szCs w:val="32"/>
        </w:rPr>
        <w:t>.00%，得分</w:t>
      </w:r>
      <w:r>
        <w:rPr>
          <w:rFonts w:hint="eastAsia" w:ascii="仿宋" w:hAnsi="仿宋" w:eastAsia="仿宋" w:cs="仿宋"/>
          <w:sz w:val="32"/>
          <w:szCs w:val="32"/>
          <w:lang w:val="en-US" w:eastAsia="zh-CN"/>
        </w:rPr>
        <w:t>4</w:t>
      </w:r>
      <w:r>
        <w:rPr>
          <w:rFonts w:hint="eastAsia" w:ascii="仿宋" w:hAnsi="仿宋" w:eastAsia="仿宋" w:cs="仿宋"/>
          <w:sz w:val="32"/>
          <w:szCs w:val="32"/>
        </w:rPr>
        <w:t>.00分；资金管理权重占比</w:t>
      </w:r>
      <w:r>
        <w:rPr>
          <w:rFonts w:hint="eastAsia" w:ascii="仿宋" w:hAnsi="仿宋" w:eastAsia="仿宋" w:cs="仿宋"/>
          <w:sz w:val="32"/>
          <w:szCs w:val="32"/>
          <w:lang w:val="en-US" w:eastAsia="zh-CN"/>
        </w:rPr>
        <w:t>6</w:t>
      </w:r>
      <w:r>
        <w:rPr>
          <w:rFonts w:hint="eastAsia" w:ascii="仿宋" w:hAnsi="仿宋" w:eastAsia="仿宋" w:cs="仿宋"/>
          <w:sz w:val="32"/>
          <w:szCs w:val="32"/>
        </w:rPr>
        <w:t>.00%，得分</w:t>
      </w:r>
      <w:r>
        <w:rPr>
          <w:rFonts w:hint="eastAsia" w:ascii="仿宋" w:hAnsi="仿宋" w:eastAsia="仿宋" w:cs="仿宋"/>
          <w:sz w:val="32"/>
          <w:szCs w:val="32"/>
          <w:lang w:val="en-US" w:eastAsia="zh-CN"/>
        </w:rPr>
        <w:t>5.00</w:t>
      </w:r>
      <w:r>
        <w:rPr>
          <w:rFonts w:hint="eastAsia" w:ascii="仿宋" w:hAnsi="仿宋" w:eastAsia="仿宋" w:cs="仿宋"/>
          <w:sz w:val="32"/>
          <w:szCs w:val="32"/>
        </w:rPr>
        <w:t>分；资产管理权重占比</w:t>
      </w:r>
      <w:r>
        <w:rPr>
          <w:rFonts w:hint="eastAsia" w:ascii="仿宋" w:hAnsi="仿宋" w:eastAsia="仿宋" w:cs="仿宋"/>
          <w:sz w:val="32"/>
          <w:szCs w:val="32"/>
          <w:lang w:val="en-US" w:eastAsia="zh-CN"/>
        </w:rPr>
        <w:t>6</w:t>
      </w:r>
      <w:r>
        <w:rPr>
          <w:rFonts w:hint="eastAsia" w:ascii="仿宋" w:hAnsi="仿宋" w:eastAsia="仿宋" w:cs="仿宋"/>
          <w:sz w:val="32"/>
          <w:szCs w:val="32"/>
        </w:rPr>
        <w:t>.00%，得分</w:t>
      </w:r>
      <w:r>
        <w:rPr>
          <w:rFonts w:hint="eastAsia" w:ascii="仿宋" w:hAnsi="仿宋" w:eastAsia="仿宋" w:cs="仿宋"/>
          <w:sz w:val="32"/>
          <w:szCs w:val="32"/>
          <w:lang w:val="en-US" w:eastAsia="zh-CN"/>
        </w:rPr>
        <w:t>6</w:t>
      </w:r>
      <w:r>
        <w:rPr>
          <w:rFonts w:hint="eastAsia" w:ascii="仿宋" w:hAnsi="仿宋" w:eastAsia="仿宋" w:cs="仿宋"/>
          <w:sz w:val="32"/>
          <w:szCs w:val="32"/>
        </w:rPr>
        <w:t>.00分；项目管理权重占比</w:t>
      </w:r>
      <w:r>
        <w:rPr>
          <w:rFonts w:hint="eastAsia" w:ascii="仿宋" w:hAnsi="仿宋" w:eastAsia="仿宋" w:cs="仿宋"/>
          <w:sz w:val="32"/>
          <w:szCs w:val="32"/>
          <w:lang w:val="en-US" w:eastAsia="zh-CN"/>
        </w:rPr>
        <w:t>5</w:t>
      </w:r>
      <w:r>
        <w:rPr>
          <w:rFonts w:hint="eastAsia" w:ascii="仿宋" w:hAnsi="仿宋" w:eastAsia="仿宋" w:cs="仿宋"/>
          <w:sz w:val="32"/>
          <w:szCs w:val="32"/>
        </w:rPr>
        <w:t>.00%，得分</w:t>
      </w:r>
      <w:r>
        <w:rPr>
          <w:rFonts w:hint="eastAsia" w:ascii="仿宋" w:hAnsi="仿宋" w:eastAsia="仿宋" w:cs="仿宋"/>
          <w:sz w:val="32"/>
          <w:szCs w:val="32"/>
          <w:lang w:val="en-US" w:eastAsia="zh-CN"/>
        </w:rPr>
        <w:t>2.</w:t>
      </w:r>
      <w:r>
        <w:rPr>
          <w:rFonts w:hint="eastAsia" w:ascii="仿宋" w:hAnsi="仿宋" w:eastAsia="仿宋" w:cs="仿宋"/>
          <w:sz w:val="32"/>
          <w:szCs w:val="32"/>
        </w:rPr>
        <w:t>00分。</w:t>
      </w:r>
    </w:p>
    <w:p>
      <w:pPr>
        <w:spacing w:line="510" w:lineRule="exact"/>
        <w:ind w:firstLine="640" w:firstLineChars="200"/>
        <w:jc w:val="left"/>
        <w:outlineLvl w:val="9"/>
        <w:rPr>
          <w:rFonts w:hint="eastAsia" w:ascii="仿宋" w:hAnsi="仿宋" w:eastAsia="仿宋" w:cs="仿宋"/>
          <w:sz w:val="32"/>
          <w:szCs w:val="32"/>
        </w:rPr>
      </w:pPr>
      <w:r>
        <w:rPr>
          <w:rFonts w:hint="eastAsia" w:ascii="仿宋" w:hAnsi="仿宋" w:eastAsia="仿宋" w:cs="仿宋"/>
          <w:sz w:val="32"/>
          <w:szCs w:val="32"/>
        </w:rPr>
        <w:t>（3）绩效权重占比</w:t>
      </w:r>
      <w:r>
        <w:rPr>
          <w:rFonts w:hint="eastAsia" w:ascii="仿宋" w:hAnsi="仿宋" w:eastAsia="仿宋" w:cs="仿宋"/>
          <w:sz w:val="32"/>
          <w:szCs w:val="32"/>
          <w:lang w:val="en-US" w:eastAsia="zh-CN"/>
        </w:rPr>
        <w:t>6</w:t>
      </w:r>
      <w:r>
        <w:rPr>
          <w:rFonts w:hint="eastAsia" w:ascii="仿宋" w:hAnsi="仿宋" w:eastAsia="仿宋" w:cs="仿宋"/>
          <w:sz w:val="32"/>
          <w:szCs w:val="32"/>
        </w:rPr>
        <w:t>0.00%，得分</w:t>
      </w:r>
      <w:r>
        <w:rPr>
          <w:rFonts w:hint="eastAsia" w:ascii="仿宋" w:hAnsi="仿宋" w:eastAsia="仿宋" w:cs="仿宋"/>
          <w:bCs w:val="0"/>
          <w:color w:val="auto"/>
          <w:sz w:val="32"/>
          <w:szCs w:val="32"/>
          <w:lang w:val="en-US" w:eastAsia="zh-CN"/>
        </w:rPr>
        <w:t>52.20</w:t>
      </w:r>
      <w:r>
        <w:rPr>
          <w:rFonts w:hint="eastAsia" w:ascii="仿宋" w:hAnsi="仿宋" w:eastAsia="仿宋" w:cs="仿宋"/>
          <w:sz w:val="32"/>
          <w:szCs w:val="32"/>
        </w:rPr>
        <w:t>分。</w:t>
      </w:r>
    </w:p>
    <w:p>
      <w:pPr>
        <w:spacing w:line="510" w:lineRule="exact"/>
        <w:ind w:firstLine="643" w:firstLineChars="200"/>
        <w:rPr>
          <w:rFonts w:ascii="楷体" w:hAnsi="楷体" w:eastAsia="楷体" w:cs="仿宋"/>
          <w:b/>
          <w:bCs/>
          <w:sz w:val="32"/>
          <w:szCs w:val="32"/>
        </w:rPr>
      </w:pPr>
      <w:r>
        <w:rPr>
          <w:rFonts w:hint="eastAsia" w:ascii="楷体" w:hAnsi="楷体" w:eastAsia="楷体" w:cs="仿宋"/>
          <w:b/>
          <w:bCs/>
          <w:sz w:val="32"/>
          <w:szCs w:val="32"/>
        </w:rPr>
        <w:t>（二）项目支出的产出及取得的效益</w:t>
      </w:r>
    </w:p>
    <w:p>
      <w:pPr>
        <w:spacing w:line="51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伊宁县</w:t>
      </w:r>
      <w:r>
        <w:rPr>
          <w:rFonts w:hint="eastAsia" w:ascii="仿宋" w:hAnsi="仿宋" w:eastAsia="仿宋" w:cs="仿宋"/>
          <w:b/>
          <w:bCs/>
          <w:sz w:val="32"/>
          <w:szCs w:val="32"/>
        </w:rPr>
        <w:t>“福彩圆梦</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孤儿助学工程”项目</w:t>
      </w:r>
    </w:p>
    <w:p>
      <w:pPr>
        <w:pageBreakBefore w:val="0"/>
        <w:kinsoku/>
        <w:wordWrap/>
        <w:overflowPunct/>
        <w:topLinePunct w:val="0"/>
        <w:autoSpaceDE/>
        <w:autoSpaceDN/>
        <w:bidi w:val="0"/>
        <w:snapToGrid/>
        <w:spacing w:before="0" w:after="0" w:line="510" w:lineRule="exact"/>
        <w:ind w:firstLine="640" w:firstLineChars="200"/>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该项目在实施过程中，伊宁县民政局通过多途径精准识别保障对象，对受助孤儿学生信息进行动态管理，及时更新和调整资助对象，确保补助政策实施有效性；建立申请、审核、审批的规范流程，确保助学金的发放过程公开透明，资金管理使用安全有效；按学年标准发放助学金，确保孤儿学生得到稳定的经济支持。</w:t>
      </w:r>
    </w:p>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评价得分</w:t>
      </w:r>
      <w:r>
        <w:rPr>
          <w:rFonts w:hint="eastAsia" w:ascii="仿宋" w:hAnsi="仿宋" w:eastAsia="仿宋" w:cs="仿宋"/>
          <w:sz w:val="32"/>
          <w:szCs w:val="32"/>
          <w:lang w:val="en-US" w:eastAsia="zh-CN"/>
        </w:rPr>
        <w:t>87.87</w:t>
      </w:r>
      <w:r>
        <w:rPr>
          <w:rFonts w:hint="eastAsia" w:ascii="仿宋" w:hAnsi="仿宋" w:eastAsia="仿宋" w:cs="仿宋"/>
          <w:sz w:val="32"/>
          <w:szCs w:val="32"/>
        </w:rPr>
        <w:t>分，评价等级为“</w:t>
      </w:r>
      <w:r>
        <w:rPr>
          <w:rFonts w:hint="eastAsia" w:ascii="仿宋" w:hAnsi="仿宋" w:eastAsia="仿宋" w:cs="仿宋"/>
          <w:sz w:val="32"/>
          <w:szCs w:val="32"/>
          <w:lang w:val="en-US" w:eastAsia="zh-CN"/>
        </w:rPr>
        <w:t>良</w:t>
      </w:r>
      <w:r>
        <w:rPr>
          <w:rFonts w:hint="eastAsia" w:ascii="仿宋" w:hAnsi="仿宋" w:eastAsia="仿宋" w:cs="仿宋"/>
          <w:sz w:val="32"/>
          <w:szCs w:val="32"/>
        </w:rPr>
        <w:t>”。</w:t>
      </w:r>
    </w:p>
    <w:p>
      <w:pPr>
        <w:spacing w:line="51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w:t>
      </w:r>
      <w:r>
        <w:rPr>
          <w:rFonts w:hint="eastAsia" w:ascii="仿宋" w:hAnsi="仿宋" w:eastAsia="仿宋" w:cs="仿宋"/>
          <w:b/>
          <w:bCs/>
          <w:sz w:val="32"/>
          <w:szCs w:val="32"/>
          <w:lang w:eastAsia="zh-CN"/>
        </w:rPr>
        <w:t>伊宁县冬小麦商品种子补贴资金项目</w:t>
      </w:r>
    </w:p>
    <w:p>
      <w:pPr>
        <w:pageBreakBefore w:val="0"/>
        <w:kinsoku/>
        <w:wordWrap/>
        <w:overflowPunct/>
        <w:topLinePunct w:val="0"/>
        <w:autoSpaceDE/>
        <w:autoSpaceDN/>
        <w:bidi w:val="0"/>
        <w:snapToGrid/>
        <w:spacing w:before="0" w:after="0" w:line="510" w:lineRule="exact"/>
        <w:ind w:firstLine="640" w:firstLineChars="200"/>
        <w:rPr>
          <w:rFonts w:hint="eastAsia" w:ascii="仿宋" w:hAnsi="仿宋" w:eastAsia="仿宋" w:cs="仿宋"/>
          <w:color w:val="auto"/>
          <w:sz w:val="32"/>
          <w:szCs w:val="32"/>
          <w:highlight w:val="none"/>
          <w:lang w:val="en-US" w:eastAsia="zh-CN"/>
        </w:rPr>
      </w:pPr>
      <w:bookmarkStart w:id="0" w:name="_Toc24268"/>
      <w:r>
        <w:rPr>
          <w:rFonts w:hint="eastAsia" w:ascii="仿宋" w:hAnsi="仿宋" w:eastAsia="仿宋" w:cs="仿宋"/>
          <w:color w:val="auto"/>
          <w:sz w:val="32"/>
          <w:szCs w:val="32"/>
          <w:highlight w:val="none"/>
          <w:lang w:val="en-US" w:eastAsia="zh-CN"/>
        </w:rPr>
        <w:t>项目实施单位根据伊犁哈萨克自治州人民政府办公厅下发的《自治州粮食作物商品种子补贴实施方案》（伊州政办发〔2023〕24号）要求推进冬小麦商品种子补贴项目，及时组织各乡镇开展2023年冬小麦实际补贴面积的申报审核工作，并在补贴发放后由农业农村局组织人员开展实地核查工作，确保了补贴发放的准确性，为粮食生产和重要农产品稳定安全供给提供保障。</w:t>
      </w:r>
    </w:p>
    <w:bookmarkEnd w:id="0"/>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评价得分</w:t>
      </w:r>
      <w:r>
        <w:rPr>
          <w:rFonts w:hint="eastAsia" w:ascii="仿宋" w:hAnsi="仿宋" w:eastAsia="仿宋" w:cs="仿宋"/>
          <w:sz w:val="32"/>
          <w:szCs w:val="32"/>
          <w:lang w:val="en-US" w:eastAsia="zh-CN"/>
        </w:rPr>
        <w:t>86.70</w:t>
      </w:r>
      <w:r>
        <w:rPr>
          <w:rFonts w:hint="eastAsia" w:ascii="仿宋" w:hAnsi="仿宋" w:eastAsia="仿宋" w:cs="仿宋"/>
          <w:sz w:val="32"/>
          <w:szCs w:val="32"/>
        </w:rPr>
        <w:t>分，评价等级为“</w:t>
      </w:r>
      <w:r>
        <w:rPr>
          <w:rFonts w:hint="eastAsia" w:ascii="仿宋" w:hAnsi="仿宋" w:eastAsia="仿宋" w:cs="仿宋"/>
          <w:sz w:val="32"/>
          <w:szCs w:val="32"/>
          <w:lang w:val="en-US" w:eastAsia="zh-CN"/>
        </w:rPr>
        <w:t>良</w:t>
      </w:r>
      <w:r>
        <w:rPr>
          <w:rFonts w:hint="eastAsia" w:ascii="仿宋" w:hAnsi="仿宋" w:eastAsia="仿宋" w:cs="仿宋"/>
          <w:sz w:val="32"/>
          <w:szCs w:val="32"/>
        </w:rPr>
        <w:t>”。</w:t>
      </w:r>
    </w:p>
    <w:p>
      <w:pPr>
        <w:spacing w:line="51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3.伊宁县成品油税费农村公路日常养护项目</w:t>
      </w:r>
    </w:p>
    <w:p>
      <w:pPr>
        <w:pageBreakBefore w:val="0"/>
        <w:kinsoku/>
        <w:wordWrap/>
        <w:overflowPunct/>
        <w:topLinePunct w:val="0"/>
        <w:autoSpaceDE/>
        <w:autoSpaceDN/>
        <w:bidi w:val="0"/>
        <w:snapToGrid/>
        <w:spacing w:before="0" w:after="0" w:line="51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伊宁县交通运输局根据农村公路管理要求，制定了《2024年伊宁县农村公路日常养护实施方案》《伊宁县2024年农村公路日常养护项目可行性研究报告》，具体明确各组织的责任，与发改部门对接，及时办理前期手续，推进项目工作；加强与设计单位对接，细化建设方案设计和施工图设计等施工准备工作，确保项目建设程序规范，保障公路养护任务落实到位，持续加快构建农村公路养护管理长效机制。</w:t>
      </w:r>
    </w:p>
    <w:p>
      <w:pPr>
        <w:spacing w:line="51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评价得分</w:t>
      </w:r>
      <w:r>
        <w:rPr>
          <w:rFonts w:hint="eastAsia" w:ascii="仿宋" w:hAnsi="仿宋" w:eastAsia="仿宋" w:cs="仿宋"/>
          <w:sz w:val="32"/>
          <w:szCs w:val="32"/>
          <w:lang w:val="en-US" w:eastAsia="zh-CN"/>
        </w:rPr>
        <w:t>88.50</w:t>
      </w:r>
      <w:r>
        <w:rPr>
          <w:rFonts w:hint="eastAsia" w:ascii="仿宋" w:hAnsi="仿宋" w:eastAsia="仿宋" w:cs="仿宋"/>
          <w:sz w:val="32"/>
          <w:szCs w:val="32"/>
        </w:rPr>
        <w:t>分，评价等级为“</w:t>
      </w:r>
      <w:r>
        <w:rPr>
          <w:rFonts w:hint="eastAsia" w:ascii="仿宋" w:hAnsi="仿宋" w:eastAsia="仿宋" w:cs="仿宋"/>
          <w:sz w:val="32"/>
          <w:szCs w:val="32"/>
          <w:lang w:val="en-US" w:eastAsia="zh-CN"/>
        </w:rPr>
        <w:t>良</w:t>
      </w:r>
      <w:r>
        <w:rPr>
          <w:rFonts w:hint="eastAsia" w:ascii="仿宋" w:hAnsi="仿宋" w:eastAsia="仿宋" w:cs="仿宋"/>
          <w:sz w:val="32"/>
          <w:szCs w:val="32"/>
        </w:rPr>
        <w:t>”。</w:t>
      </w:r>
    </w:p>
    <w:p>
      <w:pPr>
        <w:spacing w:line="51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4.</w:t>
      </w:r>
      <w:r>
        <w:rPr>
          <w:rFonts w:hint="eastAsia" w:ascii="仿宋" w:hAnsi="仿宋" w:eastAsia="仿宋" w:cs="仿宋"/>
          <w:b/>
          <w:bCs/>
          <w:sz w:val="32"/>
          <w:szCs w:val="32"/>
          <w:lang w:eastAsia="zh-CN"/>
        </w:rPr>
        <w:t>伊宁县全民健身场地设施项目</w:t>
      </w:r>
    </w:p>
    <w:p>
      <w:pPr>
        <w:spacing w:line="510" w:lineRule="exact"/>
        <w:ind w:firstLine="640" w:firstLineChars="200"/>
        <w:rPr>
          <w:rFonts w:hint="eastAsia" w:ascii="仿宋" w:hAnsi="仿宋" w:eastAsia="仿宋" w:cs="仿宋"/>
          <w:sz w:val="32"/>
          <w:szCs w:val="32"/>
        </w:rPr>
      </w:pPr>
      <w:bookmarkStart w:id="1" w:name="_Toc29587"/>
      <w:bookmarkStart w:id="2" w:name="_Toc18691"/>
      <w:r>
        <w:rPr>
          <w:rFonts w:hint="eastAsia" w:ascii="仿宋" w:hAnsi="仿宋" w:eastAsia="仿宋" w:cs="仿宋"/>
          <w:sz w:val="32"/>
          <w:szCs w:val="32"/>
          <w:lang w:val="en-US" w:eastAsia="zh-CN"/>
        </w:rPr>
        <w:t>在该项目实施过程中，项目主管单位积极落实《关于提前下达2024年中央集中彩票公益金支持体育事业专项资金预算的通知》（伊州财教〔2023〕52号）文件要求，组织实施伊宁县吉里于孜镇上肉孜买提于孜村、阿热吾斯塘镇托万克村全民健身场地设施的建设，确保中央集中彩票公益金支持体育事业专项资金用到体育公益事业，满足人民群众日益增长的健身需求，改善人民生活品质，推进体育强国建设。</w:t>
      </w:r>
      <w:bookmarkEnd w:id="1"/>
      <w:bookmarkEnd w:id="2"/>
    </w:p>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评价得分</w:t>
      </w:r>
      <w:r>
        <w:rPr>
          <w:rFonts w:hint="eastAsia" w:ascii="仿宋" w:hAnsi="仿宋" w:eastAsia="仿宋" w:cs="仿宋"/>
          <w:sz w:val="32"/>
          <w:szCs w:val="32"/>
          <w:lang w:val="en-US" w:eastAsia="zh-CN"/>
        </w:rPr>
        <w:t>89.50</w:t>
      </w:r>
      <w:r>
        <w:rPr>
          <w:rFonts w:hint="eastAsia" w:ascii="仿宋" w:hAnsi="仿宋" w:eastAsia="仿宋" w:cs="仿宋"/>
          <w:sz w:val="32"/>
          <w:szCs w:val="32"/>
        </w:rPr>
        <w:t>分，评价等级为“</w:t>
      </w:r>
      <w:r>
        <w:rPr>
          <w:rFonts w:hint="eastAsia" w:ascii="仿宋" w:hAnsi="仿宋" w:eastAsia="仿宋" w:cs="仿宋"/>
          <w:sz w:val="32"/>
          <w:szCs w:val="32"/>
          <w:lang w:val="en-US" w:eastAsia="zh-CN"/>
        </w:rPr>
        <w:t>良</w:t>
      </w:r>
      <w:r>
        <w:rPr>
          <w:rFonts w:hint="eastAsia" w:ascii="仿宋" w:hAnsi="仿宋" w:eastAsia="仿宋" w:cs="仿宋"/>
          <w:sz w:val="32"/>
          <w:szCs w:val="32"/>
        </w:rPr>
        <w:t>”。</w:t>
      </w:r>
    </w:p>
    <w:p>
      <w:pPr>
        <w:spacing w:line="51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5.伊宁县农技推广中心部门整体绩效评价</w:t>
      </w:r>
    </w:p>
    <w:p>
      <w:pPr>
        <w:spacing w:line="510" w:lineRule="exact"/>
        <w:ind w:firstLine="640" w:firstLineChars="200"/>
        <w:rPr>
          <w:rFonts w:hint="eastAsia" w:ascii="仿宋" w:hAnsi="仿宋" w:eastAsia="仿宋" w:cs="仿宋"/>
          <w:bCs w:val="0"/>
          <w:color w:val="auto"/>
          <w:sz w:val="32"/>
          <w:szCs w:val="32"/>
          <w:u w:val="none"/>
          <w:lang w:val="zh-TW" w:eastAsia="zh-TW"/>
        </w:rPr>
      </w:pPr>
      <w:r>
        <w:rPr>
          <w:rFonts w:hint="eastAsia" w:ascii="仿宋" w:hAnsi="仿宋" w:eastAsia="仿宋" w:cs="仿宋"/>
          <w:bCs w:val="0"/>
          <w:color w:val="auto"/>
          <w:sz w:val="32"/>
          <w:szCs w:val="32"/>
          <w:u w:val="none"/>
          <w:lang w:val="zh-TW" w:eastAsia="zh-TW"/>
        </w:rPr>
        <w:t>1.粮油作物病虫害预警防治能力建设开展工作扎实，强化农民种植户的科学种田、病虫害绿色防控、先进种植技术推介等培训和田间种植管理的技术指导、帮扶。</w:t>
      </w:r>
    </w:p>
    <w:p>
      <w:pPr>
        <w:spacing w:line="510" w:lineRule="exact"/>
        <w:ind w:firstLine="640" w:firstLineChars="200"/>
        <w:rPr>
          <w:rFonts w:hint="eastAsia" w:ascii="仿宋" w:hAnsi="仿宋" w:eastAsia="仿宋" w:cs="仿宋"/>
          <w:bCs w:val="0"/>
          <w:color w:val="auto"/>
          <w:sz w:val="32"/>
          <w:szCs w:val="32"/>
          <w:u w:val="none"/>
          <w:lang w:val="zh-TW" w:eastAsia="zh-TW"/>
        </w:rPr>
      </w:pPr>
      <w:r>
        <w:rPr>
          <w:rFonts w:hint="eastAsia" w:ascii="仿宋" w:hAnsi="仿宋" w:eastAsia="仿宋" w:cs="仿宋"/>
          <w:bCs w:val="0"/>
          <w:color w:val="auto"/>
          <w:sz w:val="32"/>
          <w:szCs w:val="32"/>
          <w:u w:val="none"/>
          <w:lang w:val="zh-TW" w:eastAsia="zh-TW"/>
        </w:rPr>
        <w:t>一是伊宁县农业技术推广中心对伊宁县域主要粮油作物病虫害进行系统调查和监测，其中，2024年伊宁县小麦粮食作物统防统治覆盖面积为12.60万亩，小麦粮食作物统防统治覆盖率54.05%。玉米粮食作物统防统治覆盖面积为65.50万亩，玉米粮食作物统防统治覆盖率54.11%。</w:t>
      </w:r>
    </w:p>
    <w:p>
      <w:pPr>
        <w:spacing w:line="510" w:lineRule="exact"/>
        <w:ind w:firstLine="640" w:firstLineChars="200"/>
        <w:rPr>
          <w:rFonts w:hint="eastAsia" w:ascii="仿宋" w:hAnsi="仿宋" w:eastAsia="仿宋" w:cs="仿宋"/>
          <w:bCs w:val="0"/>
          <w:color w:val="auto"/>
          <w:sz w:val="32"/>
          <w:szCs w:val="32"/>
          <w:u w:val="none"/>
          <w:lang w:val="zh-TW" w:eastAsia="zh-TW"/>
        </w:rPr>
      </w:pPr>
      <w:r>
        <w:rPr>
          <w:rFonts w:hint="eastAsia" w:ascii="仿宋" w:hAnsi="仿宋" w:eastAsia="仿宋" w:cs="仿宋"/>
          <w:bCs w:val="0"/>
          <w:color w:val="auto"/>
          <w:sz w:val="32"/>
          <w:szCs w:val="32"/>
          <w:u w:val="none"/>
          <w:lang w:val="zh-TW" w:eastAsia="zh-TW"/>
        </w:rPr>
        <w:t>二是结合县域内气候趋势预测及上年病虫害发生情况，形成中长期病虫害预测预报，目前已经发布农作物病虫预测预报15期，农作物病虫发生动态12期。</w:t>
      </w:r>
    </w:p>
    <w:p>
      <w:pPr>
        <w:spacing w:line="510" w:lineRule="exact"/>
        <w:ind w:firstLine="640" w:firstLineChars="200"/>
        <w:rPr>
          <w:rFonts w:hint="eastAsia" w:ascii="仿宋" w:hAnsi="仿宋" w:eastAsia="仿宋" w:cs="仿宋"/>
          <w:bCs w:val="0"/>
          <w:color w:val="auto"/>
          <w:sz w:val="32"/>
          <w:szCs w:val="32"/>
          <w:u w:val="none"/>
          <w:lang w:val="zh-TW" w:eastAsia="zh-TW"/>
        </w:rPr>
      </w:pPr>
      <w:r>
        <w:rPr>
          <w:rFonts w:hint="eastAsia" w:ascii="仿宋" w:hAnsi="仿宋" w:eastAsia="仿宋" w:cs="仿宋"/>
          <w:bCs w:val="0"/>
          <w:color w:val="auto"/>
          <w:sz w:val="32"/>
          <w:szCs w:val="32"/>
          <w:u w:val="none"/>
          <w:lang w:val="zh-TW" w:eastAsia="zh-TW"/>
        </w:rPr>
        <w:t>三是2024年建立农作物绿色防控示范区共20个，绿色防控覆盖率55.84%以上，确保优质小麦生产基地、各类高产创建示范片、绿色防控示范区实现统防统治全覆盖。</w:t>
      </w:r>
    </w:p>
    <w:p>
      <w:pPr>
        <w:spacing w:line="510" w:lineRule="exact"/>
        <w:ind w:firstLine="640" w:firstLineChars="200"/>
        <w:rPr>
          <w:rFonts w:hint="eastAsia" w:ascii="仿宋" w:hAnsi="仿宋" w:eastAsia="仿宋" w:cs="仿宋"/>
          <w:bCs w:val="0"/>
          <w:color w:val="auto"/>
          <w:sz w:val="32"/>
          <w:szCs w:val="32"/>
          <w:u w:val="none"/>
          <w:lang w:val="zh-TW" w:eastAsia="zh-TW"/>
        </w:rPr>
      </w:pPr>
      <w:r>
        <w:rPr>
          <w:rFonts w:hint="eastAsia" w:ascii="仿宋" w:hAnsi="仿宋" w:eastAsia="仿宋" w:cs="仿宋"/>
          <w:bCs w:val="0"/>
          <w:color w:val="auto"/>
          <w:sz w:val="32"/>
          <w:szCs w:val="32"/>
          <w:u w:val="none"/>
          <w:lang w:val="zh-TW" w:eastAsia="zh-TW"/>
        </w:rPr>
        <w:t>2.农业技术宣传与技术指导服务到位</w:t>
      </w:r>
    </w:p>
    <w:p>
      <w:pPr>
        <w:spacing w:line="510" w:lineRule="exact"/>
        <w:ind w:firstLine="640" w:firstLineChars="200"/>
        <w:rPr>
          <w:rFonts w:hint="eastAsia" w:ascii="仿宋" w:hAnsi="仿宋" w:eastAsia="仿宋" w:cs="仿宋"/>
          <w:bCs w:val="0"/>
          <w:color w:val="auto"/>
          <w:sz w:val="32"/>
          <w:szCs w:val="32"/>
          <w:u w:val="none"/>
          <w:lang w:val="zh-TW" w:eastAsia="zh-TW"/>
        </w:rPr>
      </w:pPr>
      <w:r>
        <w:rPr>
          <w:rFonts w:hint="eastAsia" w:ascii="仿宋" w:hAnsi="仿宋" w:eastAsia="仿宋" w:cs="仿宋"/>
          <w:bCs w:val="0"/>
          <w:color w:val="auto"/>
          <w:sz w:val="32"/>
          <w:szCs w:val="32"/>
          <w:u w:val="none"/>
          <w:lang w:val="zh-TW" w:eastAsia="zh-TW"/>
        </w:rPr>
        <w:t>一是依托自治区农科院土肥研究所，根据土壤分析化验结果制定测土配方施肥建议卡，通过乡村微信平台及测土配方宣传栏及纸质配方卡广泛宣传发放，让农民群众简单直观地掌握配方施肥。</w:t>
      </w:r>
    </w:p>
    <w:p>
      <w:pPr>
        <w:spacing w:line="510" w:lineRule="exact"/>
        <w:ind w:firstLine="640" w:firstLineChars="200"/>
        <w:rPr>
          <w:rFonts w:hint="eastAsia" w:ascii="仿宋" w:hAnsi="仿宋" w:eastAsia="仿宋" w:cs="仿宋"/>
          <w:bCs w:val="0"/>
          <w:color w:val="auto"/>
          <w:sz w:val="32"/>
          <w:szCs w:val="32"/>
          <w:u w:val="none"/>
          <w:lang w:val="zh-TW" w:eastAsia="zh-TW"/>
        </w:rPr>
      </w:pPr>
      <w:r>
        <w:rPr>
          <w:rFonts w:hint="eastAsia" w:ascii="仿宋" w:hAnsi="仿宋" w:eastAsia="仿宋" w:cs="仿宋"/>
          <w:bCs w:val="0"/>
          <w:color w:val="auto"/>
          <w:sz w:val="32"/>
          <w:szCs w:val="32"/>
          <w:u w:val="none"/>
          <w:lang w:val="zh-TW" w:eastAsia="zh-TW"/>
        </w:rPr>
        <w:t>二是开展冬季大培训及各类培训117期，通过培训与技术指导，推动先进种植技术的推广应用，加大粮食精准密植、水肥一体化、病虫害防治等关键技术推广应用力度，不断提高粮食单产、增总产。</w:t>
      </w:r>
    </w:p>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评价得分</w:t>
      </w:r>
      <w:r>
        <w:rPr>
          <w:rFonts w:hint="eastAsia" w:ascii="仿宋" w:hAnsi="仿宋" w:eastAsia="仿宋" w:cs="仿宋"/>
          <w:sz w:val="32"/>
          <w:szCs w:val="32"/>
          <w:lang w:val="en-US" w:eastAsia="zh-CN"/>
        </w:rPr>
        <w:t>88.20</w:t>
      </w:r>
      <w:r>
        <w:rPr>
          <w:rFonts w:hint="eastAsia" w:ascii="仿宋" w:hAnsi="仿宋" w:eastAsia="仿宋" w:cs="仿宋"/>
          <w:sz w:val="32"/>
          <w:szCs w:val="32"/>
        </w:rPr>
        <w:t>分，评价等级为“</w:t>
      </w:r>
      <w:r>
        <w:rPr>
          <w:rFonts w:hint="eastAsia" w:ascii="仿宋" w:hAnsi="仿宋" w:eastAsia="仿宋" w:cs="仿宋"/>
          <w:sz w:val="32"/>
          <w:szCs w:val="32"/>
          <w:lang w:val="en-US" w:eastAsia="zh-CN"/>
        </w:rPr>
        <w:t>良</w:t>
      </w:r>
      <w:r>
        <w:rPr>
          <w:rFonts w:hint="eastAsia" w:ascii="仿宋" w:hAnsi="仿宋" w:eastAsia="仿宋" w:cs="仿宋"/>
          <w:sz w:val="32"/>
          <w:szCs w:val="32"/>
        </w:rPr>
        <w:t>”。</w:t>
      </w:r>
    </w:p>
    <w:p>
      <w:pPr>
        <w:spacing w:line="51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三、绩效管理存在的问题</w:t>
      </w:r>
    </w:p>
    <w:p>
      <w:pPr>
        <w:spacing w:line="510" w:lineRule="exact"/>
        <w:ind w:firstLine="643" w:firstLineChars="200"/>
        <w:rPr>
          <w:rFonts w:ascii="楷体" w:hAnsi="楷体" w:eastAsia="楷体" w:cs="仿宋"/>
          <w:b/>
          <w:bCs/>
          <w:sz w:val="32"/>
          <w:szCs w:val="32"/>
        </w:rPr>
      </w:pPr>
      <w:r>
        <w:rPr>
          <w:rFonts w:hint="eastAsia" w:ascii="楷体" w:hAnsi="楷体" w:eastAsia="楷体" w:cs="仿宋"/>
          <w:b/>
          <w:bCs/>
          <w:sz w:val="32"/>
          <w:szCs w:val="32"/>
        </w:rPr>
        <w:t>（一）绩效管理理念有待进一步增强</w:t>
      </w:r>
    </w:p>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经过几年的绩效管理工作的开展，各单位对绩效理念有了一定了解，但长期以来形成的“重分配，轻管理”的观念还没有彻底根除，部门（单位）预算绩效管理缺乏内部联动和深度，更多仍停留在财务层面；绩效目标管理、评价指标体系和重点绩效评价存在科学化精准性程度不够、质量还不高等问题。</w:t>
      </w:r>
    </w:p>
    <w:p>
      <w:pPr>
        <w:spacing w:line="510" w:lineRule="exact"/>
        <w:ind w:firstLine="643" w:firstLineChars="200"/>
        <w:rPr>
          <w:rFonts w:ascii="楷体" w:hAnsi="楷体" w:eastAsia="楷体" w:cs="仿宋"/>
          <w:b/>
          <w:bCs/>
          <w:sz w:val="32"/>
          <w:szCs w:val="32"/>
        </w:rPr>
      </w:pPr>
      <w:r>
        <w:rPr>
          <w:rFonts w:hint="eastAsia" w:ascii="楷体" w:hAnsi="楷体" w:eastAsia="楷体" w:cs="仿宋"/>
          <w:b/>
          <w:bCs/>
          <w:sz w:val="32"/>
          <w:szCs w:val="32"/>
        </w:rPr>
        <w:t>（二）项目实施方案不完整，需进一步优化完善</w:t>
      </w:r>
    </w:p>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对于经常性、延续性的专项资金项目，单位编制项目具体方案计划过于简单，未能体现项目实施措施的实操性。项目实施方案未明确项目实施目的、项目实施内容、预算编制依据、具体实施流程、责任与分工、项目实施的保障措施、项目监督机制、公开公示等内容。</w:t>
      </w:r>
    </w:p>
    <w:p>
      <w:pPr>
        <w:spacing w:line="510" w:lineRule="exact"/>
        <w:ind w:firstLine="643" w:firstLineChars="200"/>
        <w:rPr>
          <w:rFonts w:ascii="楷体" w:hAnsi="楷体" w:eastAsia="楷体" w:cs="仿宋"/>
          <w:b/>
          <w:bCs/>
          <w:sz w:val="32"/>
          <w:szCs w:val="32"/>
        </w:rPr>
      </w:pPr>
      <w:r>
        <w:rPr>
          <w:rFonts w:hint="eastAsia" w:ascii="楷体" w:hAnsi="楷体" w:eastAsia="楷体" w:cs="仿宋"/>
          <w:b/>
          <w:bCs/>
          <w:sz w:val="32"/>
          <w:szCs w:val="32"/>
        </w:rPr>
        <w:t>（三）需进一步加强项目实施过程的进度与资金监管</w:t>
      </w:r>
    </w:p>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部分项目实施单位在实施项目时，存在项目实施进度与计划不匹配的现象，项目实施进度较缓慢，导致专项资金执行率较低。需加强项目实施过程的监督机制压实责任，对项目实施过程中的进度管理、资金管理按照计划进行有效监管。</w:t>
      </w:r>
    </w:p>
    <w:p>
      <w:pPr>
        <w:spacing w:line="510" w:lineRule="exact"/>
        <w:ind w:firstLine="640" w:firstLineChars="200"/>
        <w:rPr>
          <w:rFonts w:ascii="黑体" w:hAnsi="黑体" w:eastAsia="黑体" w:cs="黑体"/>
          <w:sz w:val="32"/>
          <w:szCs w:val="32"/>
        </w:rPr>
      </w:pPr>
      <w:r>
        <w:rPr>
          <w:rFonts w:hint="eastAsia" w:ascii="黑体" w:hAnsi="黑体" w:eastAsia="黑体" w:cs="黑体"/>
          <w:sz w:val="32"/>
          <w:szCs w:val="32"/>
        </w:rPr>
        <w:t>四、下一步工作措施</w:t>
      </w:r>
    </w:p>
    <w:p>
      <w:pPr>
        <w:spacing w:line="510" w:lineRule="exact"/>
        <w:ind w:firstLine="643" w:firstLineChars="200"/>
        <w:rPr>
          <w:rFonts w:ascii="楷体" w:hAnsi="楷体" w:eastAsia="楷体" w:cs="仿宋"/>
          <w:b/>
          <w:bCs/>
          <w:sz w:val="32"/>
          <w:szCs w:val="32"/>
        </w:rPr>
      </w:pPr>
      <w:r>
        <w:rPr>
          <w:rFonts w:hint="eastAsia" w:ascii="楷体" w:hAnsi="楷体" w:eastAsia="楷体" w:cs="仿宋"/>
          <w:b/>
          <w:bCs/>
          <w:sz w:val="32"/>
          <w:szCs w:val="32"/>
        </w:rPr>
        <w:t>（一）积极运用绩效评价结果</w:t>
      </w:r>
    </w:p>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通过开展财政重点项目支出绩效评价，逐步建立健全绩效评价常态化机制，提高评价质量，强化绩效评价结果运用。建立绩效评价结果的反馈与整改、激励与问责制度，进一步完善绩效评价结果的反馈和运用机制，将绩效结果向社会公布，进一步增强单位的责任感和紧迫感。将评价结果作为安排以后年度预算的重要依据，将一些绩效评价结果不好的项目取消，对执行不力的单位的预算进行相应削减。把单位财政资金使用绩效纳入机关建设和效能建设的考核范围，提高单位对项目资金使用绩效的重视和开展绩效管理的自觉性，切实发挥绩效评价工作的应有作用。</w:t>
      </w:r>
    </w:p>
    <w:p>
      <w:pPr>
        <w:spacing w:line="510" w:lineRule="exact"/>
        <w:ind w:firstLine="643" w:firstLineChars="200"/>
        <w:rPr>
          <w:rFonts w:ascii="楷体" w:hAnsi="楷体" w:eastAsia="楷体" w:cs="仿宋"/>
          <w:b/>
          <w:bCs/>
          <w:sz w:val="32"/>
          <w:szCs w:val="32"/>
        </w:rPr>
      </w:pPr>
      <w:r>
        <w:rPr>
          <w:rFonts w:hint="eastAsia" w:ascii="楷体" w:hAnsi="楷体" w:eastAsia="楷体" w:cs="仿宋"/>
          <w:b/>
          <w:bCs/>
          <w:sz w:val="32"/>
          <w:szCs w:val="32"/>
        </w:rPr>
        <w:t>（二）加强培训和指导</w:t>
      </w:r>
    </w:p>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采取集中学习、发放制度汇编等方式，加大对财政部门和中介机构参及预算单位绩效评价的人员培训力度，进一步统一认识，充实业务知识，将绩效理念和方法深度融入预算管理全过程，加强绩效管理政策理论和专业操作技术指导，提高预算单位自评能力，明确各方职责，统筹各方力量，加强和改进财政预算绩效管理。</w:t>
      </w:r>
    </w:p>
    <w:p>
      <w:pPr>
        <w:spacing w:line="510" w:lineRule="exact"/>
        <w:ind w:firstLine="643" w:firstLineChars="200"/>
        <w:rPr>
          <w:rFonts w:ascii="楷体" w:hAnsi="楷体" w:eastAsia="楷体" w:cs="仿宋"/>
          <w:b/>
          <w:bCs/>
          <w:sz w:val="32"/>
          <w:szCs w:val="32"/>
        </w:rPr>
      </w:pPr>
      <w:r>
        <w:rPr>
          <w:rFonts w:hint="eastAsia" w:ascii="楷体" w:hAnsi="楷体" w:eastAsia="楷体" w:cs="仿宋"/>
          <w:b/>
          <w:bCs/>
          <w:sz w:val="32"/>
          <w:szCs w:val="32"/>
        </w:rPr>
        <w:t>（三）持续完善预算绩效评价机制</w:t>
      </w:r>
    </w:p>
    <w:p>
      <w:pPr>
        <w:spacing w:line="510" w:lineRule="exact"/>
        <w:ind w:firstLine="640" w:firstLineChars="200"/>
        <w:rPr>
          <w:rFonts w:ascii="仿宋" w:hAnsi="仿宋" w:eastAsia="仿宋" w:cs="仿宋"/>
          <w:sz w:val="32"/>
          <w:szCs w:val="32"/>
        </w:rPr>
      </w:pPr>
      <w:r>
        <w:rPr>
          <w:rFonts w:hint="eastAsia" w:ascii="仿宋" w:hAnsi="仿宋" w:eastAsia="仿宋" w:cs="仿宋"/>
          <w:sz w:val="32"/>
          <w:szCs w:val="32"/>
        </w:rPr>
        <w:t>不断完善绩效自评和外部评价相结合的绩效评价工作机制。及时发现预算执行中存在的问题，采取相应的措施纠正项目实施过程中的偏差，确保项目绩效目标的实现。</w:t>
      </w:r>
    </w:p>
    <w:p>
      <w:pPr>
        <w:spacing w:line="510" w:lineRule="exact"/>
        <w:rPr>
          <w:rFonts w:ascii="仿宋" w:hAnsi="仿宋" w:eastAsia="仿宋" w:cs="仿宋"/>
          <w:sz w:val="32"/>
          <w:szCs w:val="32"/>
        </w:rPr>
      </w:pPr>
      <w:r>
        <w:rPr>
          <w:rFonts w:hint="eastAsia" w:ascii="仿宋" w:hAnsi="仿宋" w:eastAsia="仿宋" w:cs="仿宋"/>
          <w:sz w:val="32"/>
          <w:szCs w:val="32"/>
        </w:rPr>
        <w:t>推进绩效评价结果反馈和应用针对项目支出和部门支出绩效评价中发现的问题，县财政局一一提出整改措施，要求相关单位高度重视绩效评价发现的问题，全面核查，举一反三，完善制度，确保整改到位。真正建立预算编制有目标、预算执行有监控、预算完成有评价、评价结果有反馈、反馈结果有应用的全过程预算绩效管理机制。</w:t>
      </w:r>
    </w:p>
    <w:p>
      <w:pPr>
        <w:pStyle w:val="2"/>
        <w:spacing w:line="510" w:lineRule="exact"/>
        <w:rPr>
          <w:rFonts w:ascii="仿宋" w:hAnsi="仿宋" w:eastAsia="仿宋" w:cs="仿宋"/>
          <w:sz w:val="32"/>
          <w:szCs w:val="32"/>
        </w:rPr>
      </w:pPr>
      <w:r>
        <w:rPr>
          <w:rFonts w:hint="eastAsia"/>
        </w:rPr>
        <w:t xml:space="preserve">  </w:t>
      </w:r>
      <w:r>
        <w:rPr>
          <w:rFonts w:hint="eastAsia" w:ascii="仿宋" w:hAnsi="仿宋" w:eastAsia="仿宋" w:cs="仿宋"/>
          <w:sz w:val="32"/>
          <w:szCs w:val="32"/>
        </w:rPr>
        <w:t xml:space="preserve">  附：重点项目绩效评价报告</w:t>
      </w:r>
    </w:p>
    <w:p>
      <w:pPr>
        <w:spacing w:line="510" w:lineRule="exact"/>
        <w:ind w:firstLine="4480" w:firstLineChars="1400"/>
        <w:rPr>
          <w:rFonts w:ascii="仿宋" w:hAnsi="仿宋" w:eastAsia="仿宋" w:cs="仿宋"/>
          <w:sz w:val="32"/>
          <w:szCs w:val="32"/>
        </w:rPr>
      </w:pPr>
    </w:p>
    <w:p>
      <w:pPr>
        <w:pStyle w:val="2"/>
      </w:pPr>
    </w:p>
    <w:p>
      <w:pPr>
        <w:spacing w:line="510" w:lineRule="exact"/>
        <w:ind w:firstLine="4480" w:firstLineChars="1400"/>
        <w:rPr>
          <w:rFonts w:ascii="仿宋" w:hAnsi="仿宋" w:eastAsia="仿宋" w:cs="仿宋"/>
          <w:sz w:val="32"/>
          <w:szCs w:val="32"/>
        </w:rPr>
      </w:pPr>
    </w:p>
    <w:p>
      <w:pPr>
        <w:spacing w:line="510" w:lineRule="exact"/>
        <w:ind w:firstLine="5760" w:firstLineChars="1800"/>
        <w:rPr>
          <w:rFonts w:ascii="仿宋" w:hAnsi="仿宋" w:eastAsia="仿宋" w:cs="仿宋"/>
          <w:sz w:val="32"/>
          <w:szCs w:val="32"/>
        </w:rPr>
      </w:pPr>
      <w:r>
        <w:rPr>
          <w:rFonts w:hint="eastAsia" w:ascii="仿宋" w:hAnsi="仿宋" w:eastAsia="仿宋" w:cs="仿宋"/>
          <w:sz w:val="32"/>
          <w:szCs w:val="32"/>
          <w:lang w:eastAsia="zh-CN"/>
        </w:rPr>
        <w:t>伊宁县</w:t>
      </w:r>
      <w:r>
        <w:rPr>
          <w:rFonts w:hint="eastAsia" w:ascii="仿宋" w:hAnsi="仿宋" w:eastAsia="仿宋" w:cs="仿宋"/>
          <w:sz w:val="32"/>
          <w:szCs w:val="32"/>
        </w:rPr>
        <w:t>财政局</w:t>
      </w:r>
    </w:p>
    <w:p>
      <w:pPr>
        <w:pStyle w:val="2"/>
        <w:spacing w:line="510" w:lineRule="exact"/>
      </w:pPr>
      <w:r>
        <w:rPr>
          <w:rFonts w:hint="eastAsia" w:ascii="仿宋" w:hAnsi="仿宋" w:eastAsia="仿宋" w:cs="仿宋"/>
          <w:sz w:val="32"/>
          <w:szCs w:val="32"/>
        </w:rPr>
        <w:t xml:space="preserve">                                    20</w:t>
      </w:r>
      <w:r>
        <w:rPr>
          <w:rFonts w:hint="eastAsia" w:ascii="仿宋" w:hAnsi="仿宋" w:eastAsia="仿宋" w:cs="仿宋"/>
          <w:sz w:val="32"/>
          <w:szCs w:val="32"/>
          <w:lang w:val="en-US" w:eastAsia="zh-CN"/>
        </w:rPr>
        <w:t>25</w:t>
      </w:r>
      <w:r>
        <w:rPr>
          <w:rFonts w:hint="eastAsia" w:ascii="仿宋" w:hAnsi="仿宋" w:eastAsia="仿宋" w:cs="仿宋"/>
          <w:sz w:val="32"/>
          <w:szCs w:val="32"/>
        </w:rPr>
        <w:t>年9月</w:t>
      </w:r>
      <w:r>
        <w:rPr>
          <w:rFonts w:hint="eastAsia" w:ascii="仿宋" w:hAnsi="仿宋" w:eastAsia="仿宋" w:cs="仿宋"/>
          <w:sz w:val="32"/>
          <w:szCs w:val="32"/>
          <w:lang w:val="en-US" w:eastAsia="zh-CN"/>
        </w:rPr>
        <w:t>8</w:t>
      </w:r>
      <w:r>
        <w:rPr>
          <w:rFonts w:hint="eastAsia" w:ascii="仿宋" w:hAnsi="仿宋" w:eastAsia="仿宋" w:cs="仿宋"/>
          <w:sz w:val="32"/>
          <w:szCs w:val="32"/>
        </w:rPr>
        <w:t>日</w:t>
      </w:r>
    </w:p>
    <w:sectPr>
      <w:footerReference r:id="rId3" w:type="default"/>
      <w:pgSz w:w="11906" w:h="16838"/>
      <w:pgMar w:top="2098" w:right="1531" w:bottom="1985" w:left="1531" w:header="851"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D6D331-1BE2-41F4-92BC-3EBCB3EA14A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embedRegular r:id="rId2" w:fontKey="{FDC788E8-581A-4E64-81D6-D6819FB40BEC}"/>
  </w:font>
  <w:font w:name="仿宋">
    <w:panose1 w:val="02010609060101010101"/>
    <w:charset w:val="86"/>
    <w:family w:val="modern"/>
    <w:pitch w:val="default"/>
    <w:sig w:usb0="800002BF" w:usb1="38CF7CFA" w:usb2="00000016" w:usb3="00000000" w:csb0="00040001" w:csb1="00000000"/>
    <w:embedRegular r:id="rId3" w:fontKey="{07538118-8B8A-4971-B981-38A4CAAB7315}"/>
  </w:font>
  <w:font w:name="楷体">
    <w:panose1 w:val="02010609060101010101"/>
    <w:charset w:val="86"/>
    <w:family w:val="modern"/>
    <w:pitch w:val="default"/>
    <w:sig w:usb0="800002BF" w:usb1="38CF7CFA" w:usb2="00000016" w:usb3="00000000" w:csb0="00040001" w:csb1="00000000"/>
    <w:embedRegular r:id="rId4" w:fontKey="{6C6A801D-B5E6-4210-8747-6B2B0E4509C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center"/>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jc w:val="center"/>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hMWUxYTJiMmM5NzhhMDg5NWU0Y2Y4MTU0YmNlYmEifQ=="/>
  </w:docVars>
  <w:rsids>
    <w:rsidRoot w:val="00C90AF1"/>
    <w:rsid w:val="000073F0"/>
    <w:rsid w:val="00027E91"/>
    <w:rsid w:val="000F400D"/>
    <w:rsid w:val="001375D3"/>
    <w:rsid w:val="001909D2"/>
    <w:rsid w:val="002615BB"/>
    <w:rsid w:val="00296287"/>
    <w:rsid w:val="002A5B2B"/>
    <w:rsid w:val="00434EDA"/>
    <w:rsid w:val="00460054"/>
    <w:rsid w:val="00476F71"/>
    <w:rsid w:val="004C290D"/>
    <w:rsid w:val="004F50B1"/>
    <w:rsid w:val="00612466"/>
    <w:rsid w:val="00643115"/>
    <w:rsid w:val="00661994"/>
    <w:rsid w:val="00697ACA"/>
    <w:rsid w:val="007257C8"/>
    <w:rsid w:val="0079749A"/>
    <w:rsid w:val="007D4B4B"/>
    <w:rsid w:val="00803939"/>
    <w:rsid w:val="00807483"/>
    <w:rsid w:val="00857749"/>
    <w:rsid w:val="009069D8"/>
    <w:rsid w:val="0096388E"/>
    <w:rsid w:val="00A15B93"/>
    <w:rsid w:val="00C90AF1"/>
    <w:rsid w:val="00CD0C97"/>
    <w:rsid w:val="00DC1204"/>
    <w:rsid w:val="00DD5484"/>
    <w:rsid w:val="00DF64A8"/>
    <w:rsid w:val="00E2302A"/>
    <w:rsid w:val="00E85495"/>
    <w:rsid w:val="00E86592"/>
    <w:rsid w:val="00F0683C"/>
    <w:rsid w:val="16EF4BCA"/>
    <w:rsid w:val="1BB71C45"/>
    <w:rsid w:val="1F297508"/>
    <w:rsid w:val="25614D28"/>
    <w:rsid w:val="2C175D75"/>
    <w:rsid w:val="2D8B2E0A"/>
    <w:rsid w:val="45682346"/>
    <w:rsid w:val="51796356"/>
    <w:rsid w:val="553628D0"/>
    <w:rsid w:val="55BE0872"/>
    <w:rsid w:val="56821394"/>
    <w:rsid w:val="6F41338B"/>
    <w:rsid w:val="71B97B47"/>
    <w:rsid w:val="78E63295"/>
    <w:rsid w:val="7B0807AA"/>
    <w:rsid w:val="7D0E7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5">
    <w:name w:val="heading 3"/>
    <w:basedOn w:val="1"/>
    <w:next w:val="1"/>
    <w:unhideWhenUsed/>
    <w:qFormat/>
    <w:uiPriority w:val="0"/>
    <w:pPr>
      <w:keepNext/>
      <w:keepLines/>
      <w:spacing w:line="560" w:lineRule="exact"/>
      <w:outlineLvl w:val="2"/>
    </w:pPr>
    <w:rPr>
      <w:b/>
      <w:sz w:val="28"/>
    </w:rPr>
  </w:style>
  <w:style w:type="character" w:default="1" w:styleId="10">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99"/>
  </w:style>
  <w:style w:type="paragraph" w:styleId="3">
    <w:name w:val="Body Text 2"/>
    <w:basedOn w:val="1"/>
    <w:qFormat/>
    <w:uiPriority w:val="0"/>
    <w:pPr>
      <w:spacing w:after="120" w:line="480" w:lineRule="auto"/>
    </w:pPr>
    <w:rPr>
      <w:rFonts w:eastAsia="宋体"/>
    </w:rPr>
  </w:style>
  <w:style w:type="paragraph" w:styleId="6">
    <w:name w:val="Body Text First Indent"/>
    <w:basedOn w:val="2"/>
    <w:next w:val="2"/>
    <w:qFormat/>
    <w:uiPriority w:val="0"/>
  </w:style>
  <w:style w:type="paragraph" w:styleId="7">
    <w:name w:val="Balloon Text"/>
    <w:basedOn w:val="1"/>
    <w:link w:val="17"/>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13">
    <w:name w:val="font81"/>
    <w:basedOn w:val="10"/>
    <w:qFormat/>
    <w:uiPriority w:val="0"/>
    <w:rPr>
      <w:rFonts w:ascii="Calibri" w:hAnsi="Calibri" w:cs="Calibri"/>
      <w:b/>
      <w:bCs/>
      <w:color w:val="000000"/>
      <w:sz w:val="36"/>
      <w:szCs w:val="36"/>
      <w:u w:val="none"/>
    </w:rPr>
  </w:style>
  <w:style w:type="character" w:customStyle="1" w:styleId="14">
    <w:name w:val="font11"/>
    <w:basedOn w:val="10"/>
    <w:qFormat/>
    <w:uiPriority w:val="0"/>
    <w:rPr>
      <w:rFonts w:hint="eastAsia" w:ascii="宋体" w:hAnsi="宋体" w:eastAsia="宋体" w:cs="宋体"/>
      <w:b/>
      <w:bCs/>
      <w:color w:val="000000"/>
      <w:sz w:val="36"/>
      <w:szCs w:val="36"/>
      <w:u w:val="none"/>
    </w:rPr>
  </w:style>
  <w:style w:type="character" w:customStyle="1" w:styleId="15">
    <w:name w:val="页眉 Char"/>
    <w:basedOn w:val="10"/>
    <w:link w:val="9"/>
    <w:qFormat/>
    <w:uiPriority w:val="0"/>
    <w:rPr>
      <w:rFonts w:asciiTheme="minorHAnsi" w:hAnsiTheme="minorHAnsi" w:eastAsiaTheme="minorEastAsia" w:cstheme="minorBidi"/>
      <w:kern w:val="2"/>
      <w:sz w:val="18"/>
      <w:szCs w:val="18"/>
    </w:rPr>
  </w:style>
  <w:style w:type="paragraph" w:styleId="16">
    <w:name w:val="List Paragraph"/>
    <w:basedOn w:val="1"/>
    <w:unhideWhenUsed/>
    <w:qFormat/>
    <w:uiPriority w:val="99"/>
    <w:pPr>
      <w:ind w:firstLine="420" w:firstLineChars="200"/>
    </w:pPr>
  </w:style>
  <w:style w:type="character" w:customStyle="1" w:styleId="17">
    <w:name w:val="批注框文本 Char"/>
    <w:basedOn w:val="10"/>
    <w:link w:val="7"/>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CFB147-A9A0-4F06-B165-846BE7C79800}">
  <ds:schemaRefs/>
</ds:datastoreItem>
</file>

<file path=docProps/app.xml><?xml version="1.0" encoding="utf-8"?>
<Properties xmlns="http://schemas.openxmlformats.org/officeDocument/2006/extended-properties" xmlns:vt="http://schemas.openxmlformats.org/officeDocument/2006/docPropsVTypes">
  <Template>Normal</Template>
  <Pages>7</Pages>
  <Words>3756</Words>
  <Characters>4097</Characters>
  <Lines>28</Lines>
  <Paragraphs>7</Paragraphs>
  <TotalTime>72</TotalTime>
  <ScaleCrop>false</ScaleCrop>
  <LinksUpToDate>false</LinksUpToDate>
  <CharactersWithSpaces>4138</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2024-09-03T09:38:00Z</dcterms:created>
  <dc:creator>Administrator</dc:creator>
  <cp:lastModifiedBy>Administrator</cp:lastModifiedBy>
  <cp:lastPrinted>2024-09-04T11:19:00Z</cp:lastPrinted>
  <dcterms:modified xsi:type="dcterms:W3CDTF">2025-09-08T10:42:28Z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y fmtid="{D5CDD505-2E9C-101B-9397-08002B2CF9AE}" pid="3" name="ICV">
    <vt:lpwstr>6ABED61061044E7082B04635330DE3D4_13</vt:lpwstr>
  </property>
  <property fmtid="{D5CDD505-2E9C-101B-9397-08002B2CF9AE}" pid="4" name="KSOTemplateDocerSaveRecord">
    <vt:lpwstr>eyJoZGlkIjoiZjNiYTgwNzYyZDQ4ZTA3ZGVkYjdkY2Y3ODg5MTgwZGYiLCJ1c2VySWQiOiI0MzE2MTM5MTcifQ==</vt:lpwstr>
  </property>
</Properties>
</file>