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03A75E">
      <w:pPr>
        <w:keepNext w:val="0"/>
        <w:keepLines w:val="0"/>
        <w:pageBreakBefore w:val="0"/>
        <w:widowControl w:val="0"/>
        <w:pBdr>
          <w:bottom w:val="dotDotDash" w:color="auto" w:sz="24" w:space="10"/>
        </w:pBdr>
        <w:kinsoku/>
        <w:wordWrap/>
        <w:overflowPunct/>
        <w:topLinePunct w:val="0"/>
        <w:autoSpaceDE/>
        <w:autoSpaceDN/>
        <w:bidi w:val="0"/>
        <w:adjustRightInd w:val="0"/>
        <w:snapToGrid w:val="0"/>
        <w:spacing w:before="312" w:beforeLines="100" w:after="312" w:afterLines="100" w:line="240" w:lineRule="auto"/>
        <w:ind w:firstLine="0" w:firstLineChars="0"/>
        <w:jc w:val="center"/>
        <w:textAlignment w:val="auto"/>
        <w:rPr>
          <w:rFonts w:hint="default" w:ascii="Times New Roman" w:hAnsi="Times New Roman" w:eastAsia="黑体" w:cs="Times New Roman"/>
          <w:b/>
          <w:color w:val="auto"/>
          <w:sz w:val="30"/>
          <w:szCs w:val="30"/>
          <w:highlight w:val="none"/>
        </w:rPr>
      </w:pPr>
    </w:p>
    <w:p w14:paraId="7E4BC093">
      <w:pPr>
        <w:keepNext w:val="0"/>
        <w:keepLines w:val="0"/>
        <w:pageBreakBefore w:val="0"/>
        <w:widowControl w:val="0"/>
        <w:pBdr>
          <w:bottom w:val="dotDotDash" w:color="auto" w:sz="24" w:space="10"/>
        </w:pBdr>
        <w:kinsoku/>
        <w:wordWrap/>
        <w:overflowPunct/>
        <w:topLinePunct w:val="0"/>
        <w:autoSpaceDE/>
        <w:autoSpaceDN/>
        <w:bidi w:val="0"/>
        <w:adjustRightInd w:val="0"/>
        <w:snapToGrid w:val="0"/>
        <w:spacing w:before="312" w:beforeLines="100" w:after="312" w:afterLines="100" w:line="240" w:lineRule="auto"/>
        <w:ind w:firstLine="0" w:firstLineChars="0"/>
        <w:jc w:val="center"/>
        <w:textAlignment w:val="auto"/>
        <w:rPr>
          <w:rFonts w:hint="default" w:ascii="Times New Roman" w:hAnsi="Times New Roman" w:eastAsia="黑体" w:cs="Times New Roman"/>
          <w:b/>
          <w:color w:val="auto"/>
          <w:sz w:val="30"/>
          <w:szCs w:val="30"/>
          <w:highlight w:val="none"/>
        </w:rPr>
      </w:pPr>
    </w:p>
    <w:p w14:paraId="39557178">
      <w:pPr>
        <w:keepNext w:val="0"/>
        <w:keepLines w:val="0"/>
        <w:pageBreakBefore w:val="0"/>
        <w:widowControl w:val="0"/>
        <w:pBdr>
          <w:bottom w:val="dotDotDash" w:color="auto" w:sz="24" w:space="10"/>
        </w:pBdr>
        <w:kinsoku/>
        <w:wordWrap/>
        <w:overflowPunct/>
        <w:topLinePunct w:val="0"/>
        <w:autoSpaceDE/>
        <w:autoSpaceDN/>
        <w:bidi w:val="0"/>
        <w:adjustRightInd w:val="0"/>
        <w:snapToGrid w:val="0"/>
        <w:spacing w:before="312" w:beforeLines="100" w:after="312" w:afterLines="100" w:line="240" w:lineRule="auto"/>
        <w:ind w:firstLine="0" w:firstLineChars="0"/>
        <w:jc w:val="center"/>
        <w:textAlignment w:val="auto"/>
        <w:rPr>
          <w:rFonts w:hint="default" w:ascii="Times New Roman" w:hAnsi="Times New Roman" w:eastAsia="黑体" w:cs="Times New Roman"/>
          <w:b/>
          <w:color w:val="auto"/>
          <w:sz w:val="30"/>
          <w:szCs w:val="30"/>
          <w:highlight w:val="none"/>
        </w:rPr>
      </w:pPr>
    </w:p>
    <w:p w14:paraId="34FC6CA8">
      <w:pPr>
        <w:widowControl/>
        <w:pBdr>
          <w:bottom w:val="dotDotDash" w:color="auto" w:sz="24" w:space="10"/>
        </w:pBdr>
        <w:adjustRightInd/>
        <w:snapToGrid/>
        <w:spacing w:before="156" w:beforeLines="50" w:after="312" w:afterLines="100" w:line="360" w:lineRule="auto"/>
        <w:ind w:firstLine="0" w:firstLineChars="0"/>
        <w:jc w:val="center"/>
        <w:textAlignment w:val="center"/>
        <w:rPr>
          <w:rFonts w:hint="default" w:ascii="Times New Roman" w:hAnsi="Times New Roman" w:eastAsia="黑体" w:cs="Times New Roman"/>
          <w:b/>
          <w:color w:val="auto"/>
          <w:kern w:val="2"/>
          <w:sz w:val="44"/>
          <w:szCs w:val="22"/>
          <w:lang w:val="en-US" w:eastAsia="zh-CN"/>
        </w:rPr>
      </w:pPr>
      <w:r>
        <w:rPr>
          <w:rFonts w:hint="default" w:ascii="Times New Roman" w:hAnsi="Times New Roman" w:eastAsia="黑体" w:cs="Times New Roman"/>
          <w:b/>
          <w:color w:val="auto"/>
          <w:kern w:val="2"/>
          <w:sz w:val="44"/>
          <w:szCs w:val="22"/>
          <w:lang w:val="en-US" w:eastAsia="zh-CN"/>
        </w:rPr>
        <w:t>伊宁县农技推广中心</w:t>
      </w:r>
    </w:p>
    <w:p w14:paraId="27F646F0">
      <w:pPr>
        <w:widowControl/>
        <w:pBdr>
          <w:bottom w:val="dotDotDash" w:color="auto" w:sz="24" w:space="10"/>
        </w:pBdr>
        <w:adjustRightInd/>
        <w:snapToGrid/>
        <w:spacing w:before="156" w:beforeLines="50" w:after="312" w:afterLines="100" w:line="360" w:lineRule="auto"/>
        <w:ind w:firstLine="0" w:firstLineChars="0"/>
        <w:jc w:val="center"/>
        <w:textAlignment w:val="center"/>
        <w:rPr>
          <w:rFonts w:hint="default" w:eastAsia="黑体" w:cs="Times New Roman"/>
          <w:b/>
          <w:color w:val="auto"/>
          <w:sz w:val="44"/>
          <w:szCs w:val="22"/>
          <w:highlight w:val="none"/>
          <w:lang w:val="en-US" w:eastAsia="zh-CN"/>
        </w:rPr>
      </w:pPr>
      <w:r>
        <w:rPr>
          <w:rFonts w:hint="default" w:ascii="Times New Roman" w:hAnsi="Times New Roman" w:eastAsia="黑体" w:cs="Times New Roman"/>
          <w:b/>
          <w:color w:val="auto"/>
          <w:kern w:val="2"/>
          <w:sz w:val="44"/>
          <w:szCs w:val="22"/>
          <w:lang w:val="en-US" w:eastAsia="zh-CN"/>
        </w:rPr>
        <w:t>部门整体支出</w:t>
      </w:r>
    </w:p>
    <w:p w14:paraId="2E807009">
      <w:pPr>
        <w:keepNext w:val="0"/>
        <w:keepLines w:val="0"/>
        <w:pageBreakBefore w:val="0"/>
        <w:widowControl w:val="0"/>
        <w:kinsoku/>
        <w:wordWrap/>
        <w:overflowPunct/>
        <w:topLinePunct w:val="0"/>
        <w:autoSpaceDE/>
        <w:autoSpaceDN/>
        <w:bidi w:val="0"/>
        <w:adjustRightInd/>
        <w:spacing w:line="360" w:lineRule="auto"/>
        <w:ind w:firstLine="0" w:firstLineChars="0"/>
        <w:jc w:val="center"/>
        <w:rPr>
          <w:rFonts w:hint="default" w:ascii="Times New Roman" w:hAnsi="Times New Roman" w:eastAsia="黑体" w:cs="Times New Roman"/>
          <w:color w:val="auto"/>
          <w:sz w:val="44"/>
          <w:szCs w:val="44"/>
          <w:highlight w:val="none"/>
        </w:rPr>
      </w:pPr>
      <w:r>
        <w:rPr>
          <w:rFonts w:hint="default" w:ascii="Times New Roman" w:hAnsi="Times New Roman" w:eastAsia="黑体" w:cs="Times New Roman"/>
          <w:color w:val="auto"/>
          <w:spacing w:val="23"/>
          <w:w w:val="100"/>
          <w:kern w:val="0"/>
          <w:sz w:val="44"/>
          <w:szCs w:val="44"/>
          <w:highlight w:val="none"/>
          <w:fitText w:val="2872" w:id="135871378"/>
          <w:lang w:val="en-US" w:eastAsia="zh-CN"/>
        </w:rPr>
        <w:t>绩效评价</w:t>
      </w:r>
      <w:r>
        <w:rPr>
          <w:rFonts w:hint="default" w:ascii="Times New Roman" w:hAnsi="Times New Roman" w:eastAsia="黑体" w:cs="Times New Roman"/>
          <w:color w:val="auto"/>
          <w:spacing w:val="23"/>
          <w:w w:val="100"/>
          <w:kern w:val="0"/>
          <w:sz w:val="44"/>
          <w:szCs w:val="44"/>
          <w:highlight w:val="none"/>
          <w:fitText w:val="2872" w:id="135871378"/>
        </w:rPr>
        <w:t>报</w:t>
      </w:r>
      <w:r>
        <w:rPr>
          <w:rFonts w:hint="default" w:ascii="Times New Roman" w:hAnsi="Times New Roman" w:eastAsia="黑体" w:cs="Times New Roman"/>
          <w:color w:val="auto"/>
          <w:spacing w:val="1"/>
          <w:w w:val="100"/>
          <w:kern w:val="0"/>
          <w:sz w:val="44"/>
          <w:szCs w:val="44"/>
          <w:highlight w:val="none"/>
          <w:fitText w:val="2872" w:id="135871378"/>
        </w:rPr>
        <w:t>告</w:t>
      </w:r>
    </w:p>
    <w:p w14:paraId="2C6D3EDE">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eastAsia" w:ascii="黑体" w:hAnsi="黑体" w:eastAsia="黑体" w:cs="黑体"/>
          <w:color w:val="auto"/>
          <w:kern w:val="2"/>
          <w:szCs w:val="21"/>
        </w:rPr>
      </w:pPr>
      <w:r>
        <w:rPr>
          <w:rFonts w:hint="eastAsia" w:ascii="黑体" w:hAnsi="黑体" w:eastAsia="黑体" w:cs="黑体"/>
          <w:color w:val="auto"/>
          <w:kern w:val="2"/>
          <w:szCs w:val="21"/>
        </w:rPr>
        <w:t>驰天会咨字[2025]1-0138号</w:t>
      </w:r>
    </w:p>
    <w:p w14:paraId="219873FD">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rPr>
          <w:rFonts w:hint="default" w:ascii="Times New Roman" w:hAnsi="Times New Roman" w:cs="Times New Roman"/>
          <w:b/>
          <w:color w:val="auto"/>
          <w:sz w:val="32"/>
          <w:szCs w:val="22"/>
          <w:highlight w:val="none"/>
        </w:rPr>
      </w:pPr>
    </w:p>
    <w:p w14:paraId="7FE4CE35">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rPr>
          <w:rFonts w:hint="default" w:ascii="Times New Roman" w:hAnsi="Times New Roman" w:cs="Times New Roman"/>
          <w:b/>
          <w:color w:val="auto"/>
          <w:sz w:val="32"/>
          <w:szCs w:val="22"/>
          <w:highlight w:val="none"/>
        </w:rPr>
      </w:pPr>
    </w:p>
    <w:p w14:paraId="07911CC6">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rPr>
          <w:rFonts w:hint="default" w:ascii="Times New Roman" w:hAnsi="Times New Roman" w:cs="Times New Roman"/>
          <w:b/>
          <w:color w:val="auto"/>
          <w:sz w:val="32"/>
          <w:szCs w:val="22"/>
          <w:highlight w:val="none"/>
        </w:rPr>
      </w:pPr>
    </w:p>
    <w:p w14:paraId="4B607B25">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rPr>
          <w:rFonts w:hint="default" w:ascii="Times New Roman" w:hAnsi="Times New Roman" w:cs="Times New Roman"/>
          <w:b/>
          <w:color w:val="auto"/>
          <w:sz w:val="32"/>
          <w:szCs w:val="22"/>
          <w:highlight w:val="none"/>
        </w:rPr>
      </w:pPr>
    </w:p>
    <w:p w14:paraId="1A6C21FB">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rPr>
          <w:rFonts w:hint="default" w:ascii="Times New Roman" w:hAnsi="Times New Roman" w:cs="Times New Roman"/>
          <w:b/>
          <w:color w:val="auto"/>
          <w:sz w:val="32"/>
          <w:szCs w:val="22"/>
          <w:highlight w:val="none"/>
        </w:rPr>
      </w:pPr>
    </w:p>
    <w:p w14:paraId="5C06F689">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rPr>
          <w:rFonts w:hint="default" w:ascii="Times New Roman" w:hAnsi="Times New Roman" w:cs="Times New Roman"/>
          <w:b/>
          <w:color w:val="auto"/>
          <w:sz w:val="32"/>
          <w:szCs w:val="22"/>
          <w:highlight w:val="none"/>
        </w:rPr>
      </w:pPr>
    </w:p>
    <w:p w14:paraId="5DFC7A12">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rPr>
          <w:rFonts w:hint="default" w:ascii="Times New Roman" w:hAnsi="Times New Roman" w:cs="Times New Roman"/>
          <w:b/>
          <w:color w:val="auto"/>
          <w:sz w:val="32"/>
          <w:szCs w:val="22"/>
          <w:highlight w:val="none"/>
        </w:rPr>
      </w:pPr>
    </w:p>
    <w:p w14:paraId="05D89461">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rPr>
          <w:rFonts w:hint="default" w:ascii="Times New Roman" w:hAnsi="Times New Roman" w:cs="Times New Roman"/>
          <w:b/>
          <w:color w:val="auto"/>
          <w:sz w:val="32"/>
          <w:szCs w:val="22"/>
          <w:highlight w:val="none"/>
        </w:rPr>
      </w:pPr>
    </w:p>
    <w:p w14:paraId="770B2C70">
      <w:pPr>
        <w:keepNext w:val="0"/>
        <w:keepLines w:val="0"/>
        <w:pageBreakBefore w:val="0"/>
        <w:widowControl w:val="0"/>
        <w:kinsoku/>
        <w:wordWrap/>
        <w:overflowPunct/>
        <w:topLinePunct w:val="0"/>
        <w:autoSpaceDE/>
        <w:autoSpaceDN/>
        <w:bidi w:val="0"/>
        <w:adjustRightInd/>
        <w:snapToGrid w:val="0"/>
        <w:spacing w:line="360" w:lineRule="auto"/>
        <w:ind w:firstLine="0" w:firstLineChars="0"/>
        <w:rPr>
          <w:rFonts w:hint="default" w:ascii="Times New Roman" w:hAnsi="Times New Roman" w:cs="Times New Roman"/>
          <w:b/>
          <w:color w:val="auto"/>
          <w:sz w:val="32"/>
          <w:szCs w:val="22"/>
          <w:highlight w:val="none"/>
        </w:rPr>
      </w:pPr>
    </w:p>
    <w:p w14:paraId="738B0C8D">
      <w:pPr>
        <w:pStyle w:val="3"/>
        <w:rPr>
          <w:rFonts w:hint="default" w:ascii="Times New Roman" w:hAnsi="Times New Roman" w:cs="Times New Roman"/>
          <w:color w:val="auto"/>
          <w:highlight w:val="none"/>
        </w:rPr>
      </w:pPr>
    </w:p>
    <w:p w14:paraId="768A8C37">
      <w:pPr>
        <w:pStyle w:val="3"/>
        <w:keepNext w:val="0"/>
        <w:keepLines w:val="0"/>
        <w:pageBreakBefore w:val="0"/>
        <w:widowControl w:val="0"/>
        <w:kinsoku/>
        <w:wordWrap/>
        <w:overflowPunct/>
        <w:topLinePunct w:val="0"/>
        <w:autoSpaceDE/>
        <w:autoSpaceDN/>
        <w:bidi w:val="0"/>
        <w:snapToGrid w:val="0"/>
        <w:ind w:firstLine="0" w:firstLineChars="0"/>
        <w:textAlignment w:val="auto"/>
        <w:rPr>
          <w:rFonts w:hint="default" w:ascii="Times New Roman" w:hAnsi="Times New Roman" w:cs="Times New Roman"/>
          <w:color w:val="auto"/>
          <w:highlight w:val="none"/>
        </w:rPr>
      </w:pPr>
    </w:p>
    <w:p w14:paraId="7B64B69B">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hint="default" w:ascii="Times New Roman" w:hAnsi="Times New Roman" w:cs="Times New Roman"/>
          <w:b/>
          <w:color w:val="auto"/>
          <w:sz w:val="32"/>
          <w:szCs w:val="22"/>
          <w:highlight w:val="none"/>
        </w:rPr>
      </w:pPr>
      <w:r>
        <w:rPr>
          <w:rFonts w:hint="default" w:ascii="Times New Roman" w:hAnsi="Times New Roman" w:cs="Times New Roman"/>
          <w:b/>
          <w:color w:val="auto"/>
          <w:sz w:val="32"/>
          <w:szCs w:val="22"/>
          <w:highlight w:val="none"/>
        </w:rPr>
        <w:t>新疆驰远天合有限责任会计师事务所</w:t>
      </w:r>
    </w:p>
    <w:p w14:paraId="58E3BA06">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hint="default" w:ascii="Times New Roman" w:hAnsi="Times New Roman" w:eastAsia="等线" w:cs="Times New Roman"/>
          <w:b/>
          <w:color w:val="auto"/>
          <w:sz w:val="28"/>
          <w:szCs w:val="28"/>
          <w:highlight w:val="none"/>
        </w:rPr>
      </w:pPr>
      <w:r>
        <w:rPr>
          <w:rFonts w:hint="default" w:ascii="Times New Roman" w:hAnsi="Times New Roman" w:eastAsia="等线" w:cs="Times New Roman"/>
          <w:b/>
          <w:color w:val="auto"/>
          <w:sz w:val="28"/>
          <w:szCs w:val="28"/>
          <w:highlight w:val="none"/>
        </w:rPr>
        <w:t>XIN JIANG CHI YUAN TIAN HE</w:t>
      </w:r>
    </w:p>
    <w:p w14:paraId="6F833A40">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hint="default" w:ascii="Times New Roman" w:hAnsi="Times New Roman" w:eastAsia="等线" w:cs="Times New Roman"/>
          <w:b/>
          <w:color w:val="auto"/>
          <w:szCs w:val="21"/>
          <w:highlight w:val="none"/>
        </w:rPr>
      </w:pPr>
      <w:r>
        <w:rPr>
          <w:rFonts w:hint="default" w:ascii="Times New Roman" w:hAnsi="Times New Roman" w:eastAsia="等线" w:cs="Times New Roman"/>
          <w:b/>
          <w:color w:val="auto"/>
          <w:szCs w:val="21"/>
          <w:highlight w:val="none"/>
        </w:rPr>
        <w:t>Certified Public Accountants Co.,Ltd.</w:t>
      </w:r>
    </w:p>
    <w:p w14:paraId="3A249233">
      <w:pPr>
        <w:widowControl/>
        <w:spacing w:line="360" w:lineRule="auto"/>
        <w:ind w:firstLine="0" w:firstLineChars="0"/>
        <w:rPr>
          <w:rFonts w:hint="default" w:ascii="Times New Roman" w:hAnsi="Times New Roman" w:eastAsia="黑体" w:cs="Times New Roman"/>
          <w:bCs/>
          <w:color w:val="auto"/>
          <w:sz w:val="24"/>
          <w:szCs w:val="40"/>
          <w:highlight w:val="none"/>
          <w:lang w:val="en-US" w:eastAsia="zh-CN"/>
        </w:rPr>
        <w:sectPr>
          <w:headerReference r:id="rId5" w:type="default"/>
          <w:footerReference r:id="rId6" w:type="default"/>
          <w:pgSz w:w="11906" w:h="16838"/>
          <w:pgMar w:top="1440" w:right="1797" w:bottom="1440" w:left="1797" w:header="851" w:footer="992" w:gutter="0"/>
          <w:pgBorders>
            <w:top w:val="none" w:sz="0" w:space="0"/>
            <w:left w:val="none" w:sz="0" w:space="0"/>
            <w:bottom w:val="none" w:sz="0" w:space="0"/>
            <w:right w:val="none" w:sz="0" w:space="0"/>
          </w:pgBorders>
          <w:pgNumType w:fmt="upperRoman" w:start="1"/>
          <w:cols w:space="720" w:num="1"/>
          <w:docGrid w:type="lines" w:linePitch="312" w:charSpace="0"/>
        </w:sectPr>
      </w:pPr>
    </w:p>
    <w:p w14:paraId="2FBD285B">
      <w:pPr>
        <w:widowControl/>
        <w:spacing w:line="360" w:lineRule="auto"/>
        <w:ind w:firstLine="0" w:firstLineChars="0"/>
        <w:rPr>
          <w:rFonts w:hint="eastAsia" w:ascii="黑体" w:hAnsi="黑体" w:eastAsia="黑体" w:cs="黑体"/>
          <w:bCs/>
          <w:color w:val="auto"/>
          <w:kern w:val="2"/>
          <w:sz w:val="24"/>
          <w:szCs w:val="24"/>
          <w:lang w:val="en-US" w:eastAsia="zh-CN"/>
        </w:rPr>
      </w:pPr>
      <w:r>
        <w:rPr>
          <w:rFonts w:hint="eastAsia" w:ascii="黑体" w:hAnsi="黑体" w:eastAsia="黑体" w:cs="黑体"/>
          <w:bCs/>
          <w:color w:val="auto"/>
          <w:kern w:val="2"/>
          <w:sz w:val="24"/>
          <w:szCs w:val="24"/>
          <w:lang w:val="en-US" w:eastAsia="zh-CN"/>
        </w:rPr>
        <w:t>被</w:t>
      </w:r>
      <w:r>
        <w:rPr>
          <w:rFonts w:hint="eastAsia" w:ascii="黑体" w:hAnsi="黑体" w:eastAsia="黑体" w:cs="黑体"/>
          <w:bCs/>
          <w:color w:val="auto"/>
          <w:kern w:val="2"/>
          <w:sz w:val="24"/>
          <w:szCs w:val="24"/>
        </w:rPr>
        <w:t>评价单位：伊宁县农技推广中心</w:t>
      </w:r>
    </w:p>
    <w:p w14:paraId="74E1B6C4">
      <w:pPr>
        <w:widowControl/>
        <w:spacing w:line="360" w:lineRule="auto"/>
        <w:ind w:firstLine="0" w:firstLineChars="0"/>
        <w:rPr>
          <w:rFonts w:hint="eastAsia" w:ascii="黑体" w:hAnsi="黑体" w:eastAsia="黑体" w:cs="黑体"/>
          <w:bCs/>
          <w:color w:val="auto"/>
          <w:kern w:val="2"/>
          <w:sz w:val="24"/>
          <w:szCs w:val="24"/>
          <w:lang w:val="en-US"/>
        </w:rPr>
      </w:pPr>
      <w:r>
        <w:rPr>
          <w:rFonts w:hint="eastAsia" w:ascii="黑体" w:hAnsi="黑体" w:eastAsia="黑体" w:cs="黑体"/>
          <w:bCs/>
          <w:color w:val="auto"/>
          <w:kern w:val="2"/>
          <w:sz w:val="24"/>
          <w:szCs w:val="24"/>
        </w:rPr>
        <w:t>委托单位：伊宁县财政局</w:t>
      </w:r>
    </w:p>
    <w:p w14:paraId="08E8148A">
      <w:pPr>
        <w:widowControl/>
        <w:spacing w:line="360" w:lineRule="auto"/>
        <w:ind w:firstLine="0" w:firstLineChars="0"/>
        <w:rPr>
          <w:rFonts w:hint="eastAsia" w:ascii="黑体" w:hAnsi="黑体" w:eastAsia="黑体" w:cs="黑体"/>
          <w:bCs/>
          <w:color w:val="auto"/>
          <w:kern w:val="2"/>
          <w:sz w:val="24"/>
          <w:szCs w:val="24"/>
        </w:rPr>
      </w:pPr>
      <w:r>
        <w:rPr>
          <w:rFonts w:hint="eastAsia" w:ascii="黑体" w:hAnsi="黑体" w:eastAsia="黑体" w:cs="黑体"/>
          <w:bCs/>
          <w:color w:val="auto"/>
          <w:kern w:val="2"/>
          <w:sz w:val="24"/>
          <w:szCs w:val="24"/>
        </w:rPr>
        <w:t>评价机构：新疆驰远天合有限责任会计师事务所</w:t>
      </w:r>
    </w:p>
    <w:p w14:paraId="5D74B1BE">
      <w:pPr>
        <w:widowControl/>
        <w:spacing w:line="360" w:lineRule="auto"/>
        <w:ind w:firstLine="0" w:firstLineChars="0"/>
        <w:rPr>
          <w:rFonts w:hint="eastAsia" w:ascii="黑体" w:hAnsi="黑体" w:eastAsia="黑体" w:cs="黑体"/>
          <w:bCs/>
          <w:color w:val="auto"/>
          <w:kern w:val="2"/>
          <w:sz w:val="24"/>
          <w:szCs w:val="24"/>
        </w:rPr>
      </w:pPr>
      <w:r>
        <w:rPr>
          <w:rFonts w:hint="eastAsia" w:ascii="黑体" w:hAnsi="黑体" w:eastAsia="黑体" w:cs="黑体"/>
          <w:bCs/>
          <w:color w:val="auto"/>
          <w:kern w:val="2"/>
          <w:sz w:val="24"/>
          <w:szCs w:val="24"/>
        </w:rPr>
        <w:t>机构负责人：孙卫红</w:t>
      </w:r>
    </w:p>
    <w:p w14:paraId="49F52E58">
      <w:pPr>
        <w:widowControl/>
        <w:spacing w:line="360" w:lineRule="auto"/>
        <w:ind w:firstLine="0" w:firstLineChars="0"/>
        <w:rPr>
          <w:rFonts w:hint="eastAsia" w:ascii="黑体" w:hAnsi="黑体" w:eastAsia="黑体" w:cs="黑体"/>
          <w:bCs/>
          <w:color w:val="auto"/>
          <w:kern w:val="2"/>
          <w:sz w:val="24"/>
          <w:szCs w:val="24"/>
        </w:rPr>
      </w:pPr>
      <w:r>
        <w:rPr>
          <w:rFonts w:hint="eastAsia" w:ascii="黑体" w:hAnsi="黑体" w:eastAsia="黑体" w:cs="黑体"/>
          <w:bCs/>
          <w:color w:val="auto"/>
          <w:kern w:val="2"/>
          <w:sz w:val="24"/>
          <w:szCs w:val="24"/>
        </w:rPr>
        <w:t>联系方式：0991-2835917、0991-2831583</w:t>
      </w:r>
    </w:p>
    <w:p w14:paraId="38797A9B">
      <w:pPr>
        <w:widowControl/>
        <w:spacing w:line="360" w:lineRule="auto"/>
        <w:ind w:firstLine="0" w:firstLineChars="0"/>
        <w:rPr>
          <w:rFonts w:hint="eastAsia" w:ascii="黑体" w:hAnsi="黑体" w:eastAsia="黑体" w:cs="黑体"/>
          <w:bCs/>
          <w:color w:val="auto"/>
          <w:kern w:val="2"/>
          <w:sz w:val="24"/>
          <w:szCs w:val="24"/>
        </w:rPr>
      </w:pPr>
      <w:r>
        <w:rPr>
          <w:rFonts w:hint="eastAsia" w:ascii="黑体" w:hAnsi="黑体" w:eastAsia="黑体" w:cs="黑体"/>
          <w:bCs/>
          <w:color w:val="auto"/>
          <w:kern w:val="2"/>
          <w:sz w:val="24"/>
          <w:szCs w:val="24"/>
        </w:rPr>
        <w:t>通讯地址：新疆乌鲁木齐市天山区新华南路9号汇源大厦13楼</w:t>
      </w:r>
    </w:p>
    <w:p w14:paraId="2B47A997">
      <w:pPr>
        <w:widowControl/>
        <w:spacing w:line="360" w:lineRule="auto"/>
        <w:ind w:firstLine="0" w:firstLineChars="0"/>
        <w:rPr>
          <w:rFonts w:hint="eastAsia" w:ascii="黑体" w:hAnsi="黑体" w:eastAsia="黑体" w:cs="黑体"/>
          <w:bCs/>
          <w:color w:val="auto"/>
          <w:kern w:val="2"/>
          <w:sz w:val="24"/>
          <w:szCs w:val="24"/>
        </w:rPr>
      </w:pPr>
      <w:r>
        <w:rPr>
          <w:rFonts w:hint="eastAsia" w:ascii="黑体" w:hAnsi="黑体" w:eastAsia="黑体" w:cs="黑体"/>
          <w:bCs/>
          <w:color w:val="auto"/>
          <w:kern w:val="2"/>
          <w:sz w:val="24"/>
          <w:szCs w:val="24"/>
        </w:rPr>
        <w:t>邮政编码：830004</w:t>
      </w:r>
    </w:p>
    <w:p w14:paraId="5275F85C">
      <w:pPr>
        <w:widowControl/>
        <w:spacing w:line="360" w:lineRule="auto"/>
        <w:ind w:firstLine="0" w:firstLineChars="0"/>
        <w:rPr>
          <w:rFonts w:hint="eastAsia" w:ascii="黑体" w:hAnsi="黑体" w:eastAsia="黑体" w:cs="黑体"/>
          <w:bCs/>
          <w:color w:val="auto"/>
          <w:kern w:val="2"/>
          <w:sz w:val="24"/>
          <w:szCs w:val="24"/>
        </w:rPr>
      </w:pPr>
    </w:p>
    <w:p w14:paraId="3016C761">
      <w:pPr>
        <w:widowControl/>
        <w:spacing w:line="360" w:lineRule="auto"/>
        <w:ind w:firstLine="0" w:firstLineChars="0"/>
        <w:rPr>
          <w:rFonts w:hint="eastAsia" w:ascii="黑体" w:hAnsi="黑体" w:eastAsia="黑体" w:cs="黑体"/>
          <w:bCs/>
          <w:color w:val="auto"/>
          <w:kern w:val="2"/>
          <w:sz w:val="24"/>
          <w:szCs w:val="24"/>
        </w:rPr>
      </w:pPr>
    </w:p>
    <w:p w14:paraId="601FF947">
      <w:pPr>
        <w:widowControl/>
        <w:spacing w:line="360" w:lineRule="auto"/>
        <w:ind w:firstLine="0" w:firstLineChars="0"/>
        <w:rPr>
          <w:rFonts w:hint="eastAsia" w:ascii="黑体" w:hAnsi="黑体" w:eastAsia="黑体" w:cs="黑体"/>
          <w:bCs/>
          <w:color w:val="auto"/>
          <w:sz w:val="24"/>
          <w:szCs w:val="24"/>
        </w:rPr>
      </w:pPr>
      <w:r>
        <w:rPr>
          <w:rFonts w:hint="eastAsia" w:ascii="黑体" w:hAnsi="黑体" w:eastAsia="黑体" w:cs="黑体"/>
          <w:bCs/>
          <w:color w:val="auto"/>
          <w:sz w:val="24"/>
          <w:szCs w:val="24"/>
        </w:rPr>
        <w:t>项目评价小组成员：</w:t>
      </w:r>
    </w:p>
    <w:p w14:paraId="68B37498">
      <w:pPr>
        <w:widowControl/>
        <w:spacing w:line="360" w:lineRule="auto"/>
        <w:ind w:firstLine="480"/>
        <w:rPr>
          <w:rFonts w:hint="eastAsia" w:ascii="黑体" w:hAnsi="黑体" w:eastAsia="黑体" w:cs="黑体"/>
          <w:bCs/>
          <w:color w:val="auto"/>
          <w:sz w:val="24"/>
          <w:szCs w:val="24"/>
        </w:rPr>
      </w:pPr>
      <w:r>
        <w:rPr>
          <w:rFonts w:hint="eastAsia" w:ascii="黑体" w:hAnsi="黑体" w:eastAsia="黑体" w:cs="黑体"/>
          <w:bCs/>
          <w:color w:val="auto"/>
          <w:sz w:val="24"/>
          <w:szCs w:val="24"/>
        </w:rPr>
        <w:t>项目主评人：冯延萍  注册会计师、注册评估师</w:t>
      </w:r>
    </w:p>
    <w:p w14:paraId="2EE6E50D">
      <w:pPr>
        <w:widowControl/>
        <w:spacing w:line="360" w:lineRule="auto"/>
        <w:ind w:firstLine="480"/>
        <w:rPr>
          <w:rFonts w:hint="eastAsia" w:ascii="黑体" w:hAnsi="黑体" w:eastAsia="黑体" w:cs="黑体"/>
          <w:bCs/>
          <w:color w:val="auto"/>
          <w:sz w:val="24"/>
          <w:szCs w:val="24"/>
        </w:rPr>
      </w:pPr>
      <w:r>
        <w:rPr>
          <w:rFonts w:hint="eastAsia" w:ascii="黑体" w:hAnsi="黑体" w:eastAsia="黑体" w:cs="黑体"/>
          <w:bCs/>
          <w:color w:val="auto"/>
          <w:sz w:val="24"/>
          <w:szCs w:val="24"/>
        </w:rPr>
        <w:t xml:space="preserve">报告复核人：腊晓林  </w:t>
      </w:r>
      <w:r>
        <w:rPr>
          <w:rFonts w:hint="eastAsia" w:ascii="黑体" w:hAnsi="黑体" w:eastAsia="黑体" w:cs="黑体"/>
          <w:bCs/>
          <w:color w:val="auto"/>
          <w:sz w:val="24"/>
          <w:szCs w:val="24"/>
          <w:lang w:val="en-US" w:eastAsia="zh-CN"/>
        </w:rPr>
        <w:t>咨询工程师</w:t>
      </w:r>
    </w:p>
    <w:p w14:paraId="750F1F2E">
      <w:pPr>
        <w:widowControl/>
        <w:spacing w:line="360" w:lineRule="auto"/>
        <w:ind w:firstLine="480"/>
        <w:rPr>
          <w:rFonts w:hint="eastAsia" w:ascii="黑体" w:hAnsi="黑体" w:eastAsia="黑体" w:cs="黑体"/>
          <w:bCs/>
          <w:color w:val="auto"/>
          <w:sz w:val="24"/>
          <w:szCs w:val="24"/>
        </w:rPr>
      </w:pPr>
      <w:r>
        <w:rPr>
          <w:rFonts w:hint="eastAsia" w:ascii="黑体" w:hAnsi="黑体" w:eastAsia="黑体" w:cs="黑体"/>
          <w:bCs/>
          <w:color w:val="auto"/>
          <w:sz w:val="24"/>
          <w:szCs w:val="24"/>
        </w:rPr>
        <w:t>项目负责人：</w:t>
      </w:r>
      <w:r>
        <w:rPr>
          <w:rFonts w:hint="eastAsia" w:ascii="黑体" w:hAnsi="黑体" w:eastAsia="黑体" w:cs="黑体"/>
          <w:bCs/>
          <w:color w:val="auto"/>
          <w:sz w:val="24"/>
          <w:szCs w:val="24"/>
          <w:lang w:val="en-US" w:eastAsia="zh-CN"/>
        </w:rPr>
        <w:t>张 珊   中级经济师</w:t>
      </w:r>
    </w:p>
    <w:p w14:paraId="74BA14A8">
      <w:pPr>
        <w:widowControl/>
        <w:spacing w:line="360" w:lineRule="auto"/>
        <w:ind w:firstLine="480" w:firstLineChars="200"/>
        <w:rPr>
          <w:rFonts w:hint="eastAsia" w:ascii="黑体" w:hAnsi="黑体" w:eastAsia="黑体" w:cs="黑体"/>
          <w:bCs/>
          <w:color w:val="auto"/>
          <w:kern w:val="2"/>
          <w:sz w:val="24"/>
          <w:szCs w:val="24"/>
        </w:rPr>
      </w:pPr>
      <w:r>
        <w:rPr>
          <w:rFonts w:hint="eastAsia" w:ascii="黑体" w:hAnsi="黑体" w:eastAsia="黑体" w:cs="黑体"/>
          <w:bCs/>
          <w:color w:val="auto"/>
          <w:sz w:val="24"/>
          <w:szCs w:val="24"/>
        </w:rPr>
        <w:t>项目组成员：</w:t>
      </w:r>
      <w:r>
        <w:rPr>
          <w:rFonts w:hint="eastAsia" w:ascii="黑体" w:hAnsi="黑体" w:eastAsia="黑体" w:cs="黑体"/>
          <w:bCs/>
          <w:color w:val="auto"/>
          <w:sz w:val="24"/>
          <w:szCs w:val="24"/>
          <w:lang w:val="en-US" w:eastAsia="zh-CN"/>
        </w:rPr>
        <w:t>孙 婕</w:t>
      </w:r>
    </w:p>
    <w:p w14:paraId="1B147D08">
      <w:pPr>
        <w:widowControl/>
        <w:spacing w:line="560" w:lineRule="exact"/>
        <w:ind w:firstLine="0" w:firstLineChars="0"/>
        <w:rPr>
          <w:rFonts w:hint="default" w:ascii="Times New Roman" w:hAnsi="Times New Roman" w:eastAsia="黑体" w:cs="Times New Roman"/>
          <w:bCs/>
          <w:color w:val="auto"/>
          <w:sz w:val="21"/>
          <w:highlight w:val="none"/>
        </w:rPr>
      </w:pPr>
    </w:p>
    <w:p w14:paraId="05928B4E">
      <w:pPr>
        <w:keepNext/>
        <w:keepLines/>
        <w:adjustRightInd/>
        <w:ind w:firstLine="0" w:firstLineChars="0"/>
        <w:rPr>
          <w:rFonts w:hint="default" w:ascii="Times New Roman" w:hAnsi="Times New Roman" w:eastAsia="黑体" w:cs="Times New Roman"/>
          <w:bCs/>
          <w:color w:val="auto"/>
          <w:sz w:val="21"/>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upperRoman" w:start="1"/>
          <w:cols w:space="720" w:num="1"/>
          <w:docGrid w:type="lines" w:linePitch="312" w:charSpace="0"/>
        </w:sectPr>
      </w:pPr>
    </w:p>
    <w:p w14:paraId="23818C97">
      <w:pPr>
        <w:pStyle w:val="4"/>
        <w:spacing w:before="260" w:after="260"/>
        <w:ind w:firstLine="0" w:firstLineChars="0"/>
        <w:jc w:val="center"/>
        <w:rPr>
          <w:rFonts w:hint="default" w:ascii="Times New Roman" w:hAnsi="Times New Roman" w:eastAsia="宋体" w:cs="Times New Roman"/>
          <w:b/>
          <w:bCs/>
          <w:color w:val="auto"/>
          <w:sz w:val="24"/>
          <w:szCs w:val="32"/>
        </w:rPr>
      </w:pPr>
      <w:bookmarkStart w:id="0" w:name="_Toc28929"/>
      <w:bookmarkStart w:id="1" w:name="_Toc13486"/>
      <w:bookmarkStart w:id="2" w:name="_Toc26712"/>
      <w:bookmarkStart w:id="3" w:name="_Toc16666"/>
      <w:bookmarkStart w:id="4" w:name="_Toc2964"/>
      <w:bookmarkStart w:id="5" w:name="_Toc795"/>
      <w:bookmarkStart w:id="6" w:name="_Toc16769"/>
      <w:bookmarkStart w:id="7" w:name="_Toc17859"/>
      <w:bookmarkStart w:id="8" w:name="_Toc10292"/>
      <w:bookmarkStart w:id="9" w:name="_Toc13198"/>
      <w:r>
        <w:rPr>
          <w:rFonts w:hint="default" w:ascii="Times New Roman" w:hAnsi="Times New Roman" w:eastAsia="宋体" w:cs="Times New Roman"/>
          <w:b/>
          <w:bCs/>
          <w:color w:val="auto"/>
          <w:sz w:val="24"/>
          <w:szCs w:val="32"/>
        </w:rPr>
        <w:t>报告摘要</w:t>
      </w:r>
      <w:bookmarkEnd w:id="0"/>
      <w:bookmarkEnd w:id="1"/>
      <w:bookmarkEnd w:id="2"/>
      <w:bookmarkEnd w:id="3"/>
      <w:bookmarkEnd w:id="4"/>
      <w:bookmarkEnd w:id="5"/>
      <w:bookmarkEnd w:id="6"/>
      <w:bookmarkEnd w:id="7"/>
      <w:bookmarkEnd w:id="8"/>
      <w:bookmarkEnd w:id="9"/>
    </w:p>
    <w:p w14:paraId="5D56A1D8">
      <w:pPr>
        <w:ind w:firstLine="640"/>
        <w:rPr>
          <w:rFonts w:hint="eastAsia" w:ascii="Times New Roman" w:hAnsi="Times New Roman" w:eastAsia="宋体" w:cs="Times New Roman"/>
          <w:bCs w:val="0"/>
          <w:color w:val="auto"/>
          <w:kern w:val="2"/>
        </w:rPr>
      </w:pPr>
      <w:r>
        <w:rPr>
          <w:rFonts w:hint="eastAsia" w:ascii="Times New Roman" w:hAnsi="Times New Roman" w:eastAsia="宋体" w:cs="Times New Roman"/>
          <w:color w:val="auto"/>
          <w:highlight w:val="none"/>
        </w:rPr>
        <w:t>受</w:t>
      </w:r>
      <w:r>
        <w:rPr>
          <w:rFonts w:hint="eastAsia" w:ascii="Times New Roman" w:hAnsi="Times New Roman" w:eastAsia="宋体" w:cs="Times New Roman"/>
          <w:color w:val="auto"/>
          <w:kern w:val="2"/>
          <w:lang w:val="en-US" w:eastAsia="zh-CN"/>
        </w:rPr>
        <w:t>伊宁县财政局</w:t>
      </w:r>
      <w:r>
        <w:rPr>
          <w:rFonts w:hint="eastAsia" w:ascii="Times New Roman" w:hAnsi="Times New Roman" w:eastAsia="宋体" w:cs="Times New Roman"/>
          <w:color w:val="auto"/>
          <w:kern w:val="2"/>
        </w:rPr>
        <w:t>委托，新疆驰远天合有限责任会计师事务所以第三方社会评价机构的身份，对</w:t>
      </w:r>
      <w:r>
        <w:rPr>
          <w:rFonts w:hint="eastAsia" w:ascii="Times New Roman" w:hAnsi="Times New Roman" w:eastAsia="宋体" w:cs="Times New Roman"/>
          <w:color w:val="auto"/>
          <w:kern w:val="2"/>
          <w:lang w:val="en-US" w:eastAsia="zh-CN"/>
        </w:rPr>
        <w:t>2024</w:t>
      </w:r>
      <w:r>
        <w:rPr>
          <w:rFonts w:hint="eastAsia" w:ascii="Times New Roman" w:hAnsi="Times New Roman" w:eastAsia="宋体" w:cs="Times New Roman"/>
          <w:color w:val="auto"/>
          <w:kern w:val="2"/>
        </w:rPr>
        <w:t>年</w:t>
      </w:r>
      <w:r>
        <w:rPr>
          <w:rFonts w:hint="eastAsia" w:ascii="Times New Roman" w:hAnsi="Times New Roman" w:eastAsia="宋体" w:cs="Times New Roman"/>
          <w:color w:val="auto"/>
          <w:kern w:val="2"/>
          <w:lang w:val="en-US" w:eastAsia="zh-CN"/>
        </w:rPr>
        <w:t>度伊宁县农技推广中心</w:t>
      </w:r>
      <w:r>
        <w:rPr>
          <w:rFonts w:hint="eastAsia" w:ascii="Times New Roman" w:hAnsi="Times New Roman" w:eastAsia="宋体" w:cs="Times New Roman"/>
          <w:color w:val="auto"/>
          <w:kern w:val="2"/>
        </w:rPr>
        <w:t>开展了部门整体绩效评价工作并形成绩效评价报告，评价情况如下：</w:t>
      </w:r>
    </w:p>
    <w:p w14:paraId="4BC8B633">
      <w:pPr>
        <w:spacing w:line="360" w:lineRule="auto"/>
        <w:ind w:firstLine="640"/>
        <w:rPr>
          <w:rFonts w:hint="default" w:ascii="Times New Roman" w:hAnsi="Times New Roman" w:eastAsia="宋体" w:cs="Times New Roman"/>
          <w:b/>
          <w:bCs w:val="0"/>
          <w:color w:val="auto"/>
          <w:sz w:val="21"/>
          <w:szCs w:val="21"/>
          <w:highlight w:val="none"/>
        </w:rPr>
      </w:pPr>
      <w:r>
        <w:rPr>
          <w:rFonts w:hint="default" w:ascii="Times New Roman" w:hAnsi="Times New Roman" w:eastAsia="宋体" w:cs="Times New Roman"/>
          <w:b/>
          <w:bCs w:val="0"/>
          <w:color w:val="auto"/>
          <w:sz w:val="21"/>
          <w:szCs w:val="21"/>
          <w:highlight w:val="none"/>
        </w:rPr>
        <w:t>一、基本情况</w:t>
      </w:r>
    </w:p>
    <w:p w14:paraId="7BE73B54">
      <w:pPr>
        <w:spacing w:line="360" w:lineRule="auto"/>
        <w:rPr>
          <w:rFonts w:hint="eastAsia" w:ascii="Times New Roman" w:hAnsi="Times New Roman" w:eastAsia="宋体" w:cs="Times New Roman"/>
          <w:b/>
          <w:bCs w:val="0"/>
          <w:color w:val="auto"/>
          <w:sz w:val="21"/>
          <w:szCs w:val="21"/>
          <w:highlight w:val="none"/>
        </w:rPr>
      </w:pPr>
      <w:r>
        <w:rPr>
          <w:rFonts w:hint="eastAsia" w:ascii="Times New Roman" w:hAnsi="Times New Roman" w:eastAsia="宋体" w:cs="Times New Roman"/>
          <w:b/>
          <w:bCs w:val="0"/>
          <w:color w:val="auto"/>
          <w:sz w:val="21"/>
          <w:szCs w:val="21"/>
          <w:highlight w:val="none"/>
        </w:rPr>
        <w:t>（一）单位概况</w:t>
      </w:r>
    </w:p>
    <w:p w14:paraId="4CDBAD87">
      <w:pPr>
        <w:spacing w:line="360" w:lineRule="auto"/>
        <w:ind w:firstLine="64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伊宁县农业技术推广中心属于伊宁县农业农村局下属事业单位，正科级建制。主要承担全县农业新技术、新品种引进、试验、示范、推广，农作物病虫害综合防治和病虫害的预测预报、植物检疫、土壤化验、农业技术培训、技术指导和技术服务等工作。</w:t>
      </w:r>
    </w:p>
    <w:p w14:paraId="05B00D93">
      <w:pPr>
        <w:spacing w:line="360" w:lineRule="auto"/>
        <w:ind w:firstLine="640"/>
        <w:rPr>
          <w:rFonts w:hint="default"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伊宁县农业技</w:t>
      </w:r>
      <w:r>
        <w:rPr>
          <w:rFonts w:hint="default" w:ascii="Times New Roman" w:hAnsi="Times New Roman" w:eastAsia="宋体" w:cs="Times New Roman"/>
          <w:color w:val="auto"/>
          <w:highlight w:val="none"/>
          <w:lang w:val="en-US" w:eastAsia="zh-CN"/>
        </w:rPr>
        <w:t>术推广中心内设包括办公室、财务室、土肥站、栽培站、植保站5个内设机构。截至2024年12月31日，伊宁县农业技术推广中心编制数28</w:t>
      </w:r>
      <w:r>
        <w:rPr>
          <w:rFonts w:hint="eastAsia" w:ascii="Times New Roman" w:hAnsi="Times New Roman" w:eastAsia="宋体" w:cs="Times New Roman"/>
          <w:color w:val="auto"/>
          <w:highlight w:val="none"/>
          <w:lang w:val="en-US" w:eastAsia="zh-CN"/>
        </w:rPr>
        <w:t>人，</w:t>
      </w:r>
      <w:r>
        <w:rPr>
          <w:rFonts w:hint="default" w:ascii="Times New Roman" w:hAnsi="Times New Roman" w:eastAsia="宋体" w:cs="Times New Roman"/>
          <w:color w:val="auto"/>
          <w:highlight w:val="none"/>
          <w:lang w:val="en-US" w:eastAsia="zh-CN"/>
        </w:rPr>
        <w:t>实有人数60人，其中：在职31人，增加2人；退休29人，增加2人。</w:t>
      </w:r>
    </w:p>
    <w:p w14:paraId="0211354F">
      <w:pPr>
        <w:spacing w:line="360" w:lineRule="auto"/>
        <w:ind w:firstLine="640"/>
        <w:rPr>
          <w:rFonts w:hint="default"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sz w:val="21"/>
          <w:szCs w:val="21"/>
          <w:highlight w:val="none"/>
          <w:lang w:eastAsia="zh-CN"/>
        </w:rPr>
        <w:t>（</w:t>
      </w:r>
      <w:r>
        <w:rPr>
          <w:rFonts w:hint="eastAsia" w:ascii="Times New Roman" w:hAnsi="Times New Roman" w:eastAsia="宋体" w:cs="Times New Roman"/>
          <w:b/>
          <w:color w:val="auto"/>
          <w:sz w:val="21"/>
          <w:szCs w:val="21"/>
          <w:highlight w:val="none"/>
          <w:lang w:val="en-US" w:eastAsia="zh-CN"/>
        </w:rPr>
        <w:t>二</w:t>
      </w:r>
      <w:r>
        <w:rPr>
          <w:rFonts w:hint="eastAsia" w:ascii="Times New Roman" w:hAnsi="Times New Roman" w:eastAsia="宋体" w:cs="Times New Roman"/>
          <w:b/>
          <w:color w:val="auto"/>
          <w:sz w:val="21"/>
          <w:szCs w:val="21"/>
          <w:highlight w:val="none"/>
          <w:lang w:eastAsia="zh-CN"/>
        </w:rPr>
        <w:t>）</w:t>
      </w:r>
      <w:r>
        <w:rPr>
          <w:rFonts w:hint="default" w:ascii="Times New Roman" w:hAnsi="Times New Roman" w:eastAsia="宋体" w:cs="Times New Roman"/>
          <w:b/>
          <w:color w:val="auto"/>
          <w:sz w:val="21"/>
          <w:szCs w:val="21"/>
          <w:highlight w:val="none"/>
        </w:rPr>
        <w:t>部门资金投入和使用情况</w:t>
      </w:r>
    </w:p>
    <w:p w14:paraId="4E3522DC">
      <w:pPr>
        <w:pStyle w:val="6"/>
        <w:spacing w:line="360" w:lineRule="auto"/>
        <w:ind w:firstLine="422"/>
        <w:rPr>
          <w:rFonts w:ascii="Times New Roman" w:hAnsi="Times New Roman" w:eastAsia="宋体" w:cs="Times New Roman"/>
          <w:bCs w:val="0"/>
          <w:color w:val="auto"/>
          <w:szCs w:val="21"/>
          <w:highlight w:val="none"/>
        </w:rPr>
      </w:pPr>
      <w:r>
        <w:rPr>
          <w:rFonts w:ascii="Times New Roman" w:hAnsi="Times New Roman" w:eastAsia="宋体" w:cs="Times New Roman"/>
          <w:bCs w:val="0"/>
          <w:color w:val="auto"/>
          <w:szCs w:val="21"/>
          <w:highlight w:val="none"/>
        </w:rPr>
        <w:t>1.部门年度收入预算情况</w:t>
      </w:r>
    </w:p>
    <w:p w14:paraId="75F9CC63">
      <w:pPr>
        <w:spacing w:line="360" w:lineRule="auto"/>
        <w:ind w:firstLine="420"/>
        <w:rPr>
          <w:rFonts w:hint="default" w:ascii="Times New Roman" w:hAnsi="Times New Roman" w:eastAsia="宋体" w:cs="Times New Roman"/>
          <w:bCs w:val="0"/>
          <w:color w:val="auto"/>
          <w:highlight w:val="none"/>
        </w:rPr>
      </w:pPr>
      <w:r>
        <w:rPr>
          <w:rFonts w:hint="eastAsia" w:ascii="Times New Roman" w:hAnsi="Times New Roman" w:eastAsia="宋体" w:cs="Times New Roman"/>
          <w:color w:val="auto"/>
          <w:highlight w:val="none"/>
          <w:lang w:val="en-US" w:eastAsia="zh-CN"/>
        </w:rPr>
        <w:t>伊</w:t>
      </w:r>
      <w:r>
        <w:rPr>
          <w:rFonts w:hint="default" w:ascii="Times New Roman" w:hAnsi="Times New Roman" w:eastAsia="宋体" w:cs="Times New Roman"/>
          <w:color w:val="auto"/>
          <w:highlight w:val="none"/>
          <w:lang w:val="en-US" w:eastAsia="zh-CN"/>
        </w:rPr>
        <w:t>宁县农业技术推广中心</w:t>
      </w:r>
      <w:r>
        <w:rPr>
          <w:rFonts w:hint="default" w:ascii="Times New Roman" w:hAnsi="Times New Roman" w:eastAsia="宋体" w:cs="Times New Roman"/>
          <w:bCs w:val="0"/>
          <w:color w:val="auto"/>
          <w:highlight w:val="none"/>
        </w:rPr>
        <w:t>202</w:t>
      </w:r>
      <w:r>
        <w:rPr>
          <w:rFonts w:hint="default" w:ascii="Times New Roman" w:hAnsi="Times New Roman" w:eastAsia="宋体" w:cs="Times New Roman"/>
          <w:bCs w:val="0"/>
          <w:color w:val="auto"/>
          <w:sz w:val="21"/>
          <w:szCs w:val="21"/>
          <w:highlight w:val="none"/>
          <w:lang w:eastAsia="zh-CN"/>
        </w:rPr>
        <w:t>4</w:t>
      </w:r>
      <w:r>
        <w:rPr>
          <w:rFonts w:hint="default" w:ascii="Times New Roman" w:hAnsi="Times New Roman" w:eastAsia="宋体" w:cs="Times New Roman"/>
          <w:bCs w:val="0"/>
          <w:color w:val="auto"/>
          <w:highlight w:val="none"/>
        </w:rPr>
        <w:t>年度部门年初收入预算</w:t>
      </w:r>
      <w:r>
        <w:rPr>
          <w:rFonts w:hint="default" w:ascii="Times New Roman" w:hAnsi="Times New Roman" w:eastAsia="宋体" w:cs="Times New Roman"/>
          <w:color w:val="auto"/>
          <w:highlight w:val="none"/>
          <w:lang w:val="en-US" w:eastAsia="zh-CN"/>
        </w:rPr>
        <w:t>577.41</w:t>
      </w:r>
      <w:r>
        <w:rPr>
          <w:rFonts w:hint="default" w:ascii="Times New Roman" w:hAnsi="Times New Roman" w:eastAsia="宋体" w:cs="Times New Roman"/>
          <w:bCs w:val="0"/>
          <w:color w:val="auto"/>
          <w:highlight w:val="none"/>
        </w:rPr>
        <w:t>万元，调整后全年</w:t>
      </w:r>
      <w:r>
        <w:rPr>
          <w:rFonts w:hint="default" w:ascii="Times New Roman" w:hAnsi="Times New Roman" w:eastAsia="宋体" w:cs="Times New Roman"/>
          <w:bCs w:val="0"/>
          <w:color w:val="auto"/>
          <w:highlight w:val="none"/>
          <w:lang w:val="en-US" w:eastAsia="zh-CN"/>
        </w:rPr>
        <w:t>部门支出</w:t>
      </w:r>
      <w:r>
        <w:rPr>
          <w:rFonts w:hint="default" w:ascii="Times New Roman" w:hAnsi="Times New Roman" w:eastAsia="宋体" w:cs="Times New Roman"/>
          <w:bCs w:val="0"/>
          <w:color w:val="auto"/>
          <w:highlight w:val="none"/>
        </w:rPr>
        <w:t>为</w:t>
      </w:r>
      <w:r>
        <w:rPr>
          <w:rFonts w:hint="default" w:ascii="Times New Roman" w:hAnsi="Times New Roman" w:eastAsia="宋体" w:cs="Times New Roman"/>
          <w:bCs w:val="0"/>
          <w:color w:val="auto"/>
          <w:highlight w:val="none"/>
          <w:lang w:val="en-US" w:eastAsia="zh-CN"/>
        </w:rPr>
        <w:t>1,245.85</w:t>
      </w:r>
      <w:r>
        <w:rPr>
          <w:rFonts w:hint="default" w:ascii="Times New Roman" w:hAnsi="Times New Roman" w:eastAsia="宋体" w:cs="Times New Roman"/>
          <w:bCs w:val="0"/>
          <w:color w:val="auto"/>
          <w:highlight w:val="none"/>
        </w:rPr>
        <w:t>万元，</w:t>
      </w:r>
      <w:r>
        <w:rPr>
          <w:rFonts w:hint="default" w:ascii="Times New Roman" w:hAnsi="Times New Roman" w:eastAsia="宋体" w:cs="Times New Roman"/>
          <w:bCs w:val="0"/>
          <w:color w:val="auto"/>
          <w:highlight w:val="none"/>
          <w:lang w:val="en-US" w:eastAsia="zh-CN"/>
        </w:rPr>
        <w:t>其中：</w:t>
      </w:r>
      <w:r>
        <w:rPr>
          <w:rFonts w:hint="default" w:ascii="Times New Roman" w:hAnsi="Times New Roman" w:eastAsia="宋体" w:cs="Times New Roman"/>
          <w:bCs w:val="0"/>
          <w:color w:val="auto"/>
          <w:highlight w:val="none"/>
        </w:rPr>
        <w:t>一般公共预算财政拨款收入</w:t>
      </w:r>
      <w:r>
        <w:rPr>
          <w:rFonts w:hint="default" w:ascii="Times New Roman" w:hAnsi="Times New Roman" w:eastAsia="宋体" w:cs="Times New Roman"/>
          <w:bCs w:val="0"/>
          <w:color w:val="auto"/>
          <w:highlight w:val="none"/>
          <w:lang w:val="en-US" w:eastAsia="zh-CN"/>
        </w:rPr>
        <w:t>1,245.17万元，其他收入0.68万元</w:t>
      </w:r>
      <w:r>
        <w:rPr>
          <w:rFonts w:hint="default" w:ascii="Times New Roman" w:hAnsi="Times New Roman" w:eastAsia="宋体" w:cs="Times New Roman"/>
          <w:bCs w:val="0"/>
          <w:color w:val="auto"/>
          <w:highlight w:val="none"/>
        </w:rPr>
        <w:t>。预算</w:t>
      </w:r>
      <w:r>
        <w:rPr>
          <w:rFonts w:hint="default" w:ascii="Times New Roman" w:hAnsi="Times New Roman" w:eastAsia="宋体" w:cs="Times New Roman"/>
          <w:bCs w:val="0"/>
          <w:color w:val="auto"/>
          <w:highlight w:val="none"/>
          <w:lang w:val="en-US" w:eastAsia="zh-CN"/>
        </w:rPr>
        <w:t>调增668.43</w:t>
      </w:r>
      <w:r>
        <w:rPr>
          <w:rFonts w:hint="default" w:ascii="Times New Roman" w:hAnsi="Times New Roman" w:eastAsia="宋体" w:cs="Times New Roman"/>
          <w:bCs w:val="0"/>
          <w:color w:val="auto"/>
          <w:highlight w:val="none"/>
        </w:rPr>
        <w:t>万元，收入预算调整率为</w:t>
      </w:r>
      <w:r>
        <w:rPr>
          <w:rFonts w:hint="default" w:ascii="Times New Roman" w:hAnsi="Times New Roman" w:eastAsia="宋体" w:cs="Times New Roman"/>
          <w:color w:val="auto"/>
          <w:highlight w:val="none"/>
          <w:lang w:val="en-US" w:eastAsia="zh-CN" w:bidi="ar"/>
        </w:rPr>
        <w:t>115.76</w:t>
      </w:r>
      <w:r>
        <w:rPr>
          <w:rFonts w:hint="default" w:ascii="Times New Roman" w:hAnsi="Times New Roman" w:eastAsia="宋体" w:cs="Times New Roman"/>
          <w:color w:val="auto"/>
          <w:highlight w:val="none"/>
          <w:lang w:bidi="ar"/>
        </w:rPr>
        <w:t>%</w:t>
      </w:r>
      <w:r>
        <w:rPr>
          <w:rFonts w:hint="default" w:ascii="Times New Roman" w:hAnsi="Times New Roman" w:eastAsia="宋体" w:cs="Times New Roman"/>
          <w:color w:val="auto"/>
          <w:highlight w:val="none"/>
        </w:rPr>
        <w:t>。</w:t>
      </w:r>
    </w:p>
    <w:p w14:paraId="77243A30">
      <w:pPr>
        <w:pStyle w:val="6"/>
        <w:spacing w:line="360" w:lineRule="auto"/>
        <w:ind w:firstLine="422"/>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2.202</w:t>
      </w:r>
      <w:r>
        <w:rPr>
          <w:rFonts w:hint="eastAsia" w:ascii="Times New Roman" w:hAnsi="Times New Roman" w:eastAsia="宋体" w:cs="Times New Roman"/>
          <w:color w:val="auto"/>
          <w:szCs w:val="21"/>
          <w:highlight w:val="none"/>
          <w:lang w:val="en-US" w:eastAsia="zh-CN"/>
        </w:rPr>
        <w:t>4</w:t>
      </w:r>
      <w:r>
        <w:rPr>
          <w:rFonts w:ascii="Times New Roman" w:hAnsi="Times New Roman" w:eastAsia="宋体" w:cs="Times New Roman"/>
          <w:color w:val="auto"/>
          <w:szCs w:val="21"/>
          <w:highlight w:val="none"/>
        </w:rPr>
        <w:t>年度部门支出预决算情况</w:t>
      </w:r>
    </w:p>
    <w:p w14:paraId="0B4203C3">
      <w:pPr>
        <w:spacing w:line="360" w:lineRule="auto"/>
        <w:ind w:firstLine="420"/>
        <w:rPr>
          <w:rFonts w:hint="default" w:ascii="Times New Roman" w:hAnsi="Times New Roman" w:eastAsia="宋体" w:cs="Times New Roman"/>
          <w:bCs w:val="0"/>
          <w:color w:val="auto"/>
          <w:highlight w:val="none"/>
        </w:rPr>
      </w:pPr>
      <w:r>
        <w:rPr>
          <w:rFonts w:hint="default" w:ascii="Times New Roman" w:hAnsi="Times New Roman" w:eastAsia="宋体" w:cs="Times New Roman"/>
          <w:color w:val="auto"/>
          <w:highlight w:val="none"/>
          <w:lang w:val="en-US" w:eastAsia="zh-CN"/>
        </w:rPr>
        <w:t>伊宁县农业技术推广中心</w:t>
      </w:r>
      <w:r>
        <w:rPr>
          <w:rFonts w:hint="default" w:ascii="Times New Roman" w:hAnsi="Times New Roman" w:eastAsia="宋体" w:cs="Times New Roman"/>
          <w:bCs w:val="0"/>
          <w:color w:val="auto"/>
          <w:highlight w:val="none"/>
        </w:rPr>
        <w:t>202</w:t>
      </w:r>
      <w:r>
        <w:rPr>
          <w:rFonts w:hint="default" w:ascii="Times New Roman" w:hAnsi="Times New Roman" w:eastAsia="宋体" w:cs="Times New Roman"/>
          <w:bCs w:val="0"/>
          <w:color w:val="auto"/>
          <w:highlight w:val="none"/>
          <w:lang w:val="en-US" w:eastAsia="zh-CN"/>
        </w:rPr>
        <w:t>4</w:t>
      </w:r>
      <w:r>
        <w:rPr>
          <w:rFonts w:hint="default" w:ascii="Times New Roman" w:hAnsi="Times New Roman" w:eastAsia="宋体" w:cs="Times New Roman"/>
          <w:bCs w:val="0"/>
          <w:color w:val="auto"/>
          <w:highlight w:val="none"/>
        </w:rPr>
        <w:t>年度部门支出年初预算</w:t>
      </w:r>
      <w:r>
        <w:rPr>
          <w:rFonts w:hint="default" w:ascii="Times New Roman" w:hAnsi="Times New Roman" w:eastAsia="宋体" w:cs="Times New Roman"/>
          <w:color w:val="auto"/>
          <w:highlight w:val="none"/>
          <w:lang w:val="en-US" w:eastAsia="zh-CN"/>
        </w:rPr>
        <w:t>577.41</w:t>
      </w:r>
      <w:r>
        <w:rPr>
          <w:rFonts w:hint="default" w:ascii="Times New Roman" w:hAnsi="Times New Roman" w:eastAsia="宋体" w:cs="Times New Roman"/>
          <w:bCs w:val="0"/>
          <w:color w:val="auto"/>
          <w:highlight w:val="none"/>
        </w:rPr>
        <w:t>万元，</w:t>
      </w:r>
      <w:r>
        <w:rPr>
          <w:rFonts w:hint="default" w:ascii="Times New Roman" w:hAnsi="Times New Roman" w:eastAsia="宋体" w:cs="Times New Roman"/>
          <w:bCs w:val="0"/>
          <w:color w:val="auto"/>
          <w:highlight w:val="none"/>
          <w:lang w:val="en-US" w:eastAsia="zh-CN"/>
        </w:rPr>
        <w:t>其中</w:t>
      </w:r>
      <w:r>
        <w:rPr>
          <w:rFonts w:hint="default" w:ascii="Times New Roman" w:hAnsi="Times New Roman" w:eastAsia="宋体" w:cs="Times New Roman"/>
          <w:color w:val="auto"/>
          <w:highlight w:val="none"/>
          <w:lang w:val="en-US" w:eastAsia="zh-CN"/>
        </w:rPr>
        <w:t>：基本支出576.61万元，项目支出0.80万元。</w:t>
      </w:r>
      <w:r>
        <w:rPr>
          <w:rFonts w:hint="default" w:ascii="Times New Roman" w:hAnsi="Times New Roman" w:eastAsia="宋体" w:cs="Times New Roman"/>
          <w:bCs w:val="0"/>
          <w:color w:val="auto"/>
          <w:highlight w:val="none"/>
        </w:rPr>
        <w:t>调整后全年</w:t>
      </w:r>
      <w:r>
        <w:rPr>
          <w:rFonts w:hint="default" w:ascii="Times New Roman" w:hAnsi="Times New Roman" w:eastAsia="宋体" w:cs="Times New Roman"/>
          <w:bCs w:val="0"/>
          <w:color w:val="auto"/>
          <w:highlight w:val="none"/>
          <w:lang w:val="en-US" w:eastAsia="zh-CN"/>
        </w:rPr>
        <w:t>部门支出</w:t>
      </w:r>
      <w:r>
        <w:rPr>
          <w:rFonts w:hint="default" w:ascii="Times New Roman" w:hAnsi="Times New Roman" w:eastAsia="宋体" w:cs="Times New Roman"/>
          <w:bCs w:val="0"/>
          <w:color w:val="auto"/>
          <w:highlight w:val="none"/>
        </w:rPr>
        <w:t>预算为</w:t>
      </w:r>
      <w:r>
        <w:rPr>
          <w:rFonts w:hint="default" w:ascii="Times New Roman" w:hAnsi="Times New Roman" w:eastAsia="宋体" w:cs="Times New Roman"/>
          <w:bCs w:val="0"/>
          <w:color w:val="auto"/>
          <w:highlight w:val="none"/>
          <w:lang w:val="en-US" w:eastAsia="zh-CN"/>
        </w:rPr>
        <w:t>1,245.85</w:t>
      </w:r>
      <w:r>
        <w:rPr>
          <w:rFonts w:hint="default" w:ascii="Times New Roman" w:hAnsi="Times New Roman" w:eastAsia="宋体" w:cs="Times New Roman"/>
          <w:bCs w:val="0"/>
          <w:color w:val="auto"/>
          <w:highlight w:val="none"/>
        </w:rPr>
        <w:t>万元。</w:t>
      </w:r>
      <w:r>
        <w:rPr>
          <w:rFonts w:hint="default" w:ascii="Times New Roman" w:hAnsi="Times New Roman" w:eastAsia="宋体" w:cs="Times New Roman"/>
          <w:bCs w:val="0"/>
          <w:color w:val="auto"/>
          <w:highlight w:val="none"/>
          <w:lang w:val="en-US" w:eastAsia="zh-CN"/>
        </w:rPr>
        <w:t>其中：</w:t>
      </w:r>
      <w:r>
        <w:rPr>
          <w:rFonts w:hint="default" w:ascii="Times New Roman" w:hAnsi="Times New Roman" w:eastAsia="宋体" w:cs="Times New Roman"/>
          <w:color w:val="auto"/>
          <w:highlight w:val="none"/>
          <w:lang w:val="en-US" w:eastAsia="zh-CN"/>
        </w:rPr>
        <w:t>基本支出572.59万元，项目支出673.25万元</w:t>
      </w:r>
      <w:r>
        <w:rPr>
          <w:rFonts w:hint="default" w:ascii="Times New Roman" w:hAnsi="Times New Roman" w:eastAsia="宋体" w:cs="Times New Roman"/>
          <w:bCs w:val="0"/>
          <w:color w:val="auto"/>
          <w:highlight w:val="none"/>
        </w:rPr>
        <w:t>。</w:t>
      </w:r>
    </w:p>
    <w:p w14:paraId="63D36E59">
      <w:pPr>
        <w:spacing w:line="360" w:lineRule="auto"/>
        <w:ind w:firstLine="420"/>
        <w:rPr>
          <w:rFonts w:hint="default" w:ascii="Times New Roman" w:hAnsi="Times New Roman" w:eastAsia="宋体" w:cs="Times New Roman"/>
          <w:bCs w:val="0"/>
          <w:color w:val="auto"/>
          <w:highlight w:val="none"/>
        </w:rPr>
      </w:pPr>
      <w:r>
        <w:rPr>
          <w:rFonts w:hint="default" w:ascii="Times New Roman" w:hAnsi="Times New Roman" w:eastAsia="宋体" w:cs="Times New Roman"/>
          <w:bCs w:val="0"/>
          <w:color w:val="auto"/>
          <w:highlight w:val="none"/>
        </w:rPr>
        <w:t>202</w:t>
      </w:r>
      <w:r>
        <w:rPr>
          <w:rFonts w:hint="default" w:ascii="Times New Roman" w:hAnsi="Times New Roman" w:eastAsia="宋体" w:cs="Times New Roman"/>
          <w:bCs w:val="0"/>
          <w:color w:val="auto"/>
          <w:highlight w:val="none"/>
          <w:lang w:val="en-US" w:eastAsia="zh-CN"/>
        </w:rPr>
        <w:t>4</w:t>
      </w:r>
      <w:r>
        <w:rPr>
          <w:rFonts w:hint="default" w:ascii="Times New Roman" w:hAnsi="Times New Roman" w:eastAsia="宋体" w:cs="Times New Roman"/>
          <w:bCs w:val="0"/>
          <w:color w:val="auto"/>
          <w:highlight w:val="none"/>
        </w:rPr>
        <w:t>年度部门支出决算</w:t>
      </w:r>
      <w:r>
        <w:rPr>
          <w:rFonts w:hint="default" w:ascii="Times New Roman" w:hAnsi="Times New Roman" w:eastAsia="宋体" w:cs="Times New Roman"/>
          <w:bCs w:val="0"/>
          <w:color w:val="auto"/>
          <w:highlight w:val="none"/>
          <w:lang w:val="en-US" w:eastAsia="zh-CN"/>
        </w:rPr>
        <w:t>1,245.85</w:t>
      </w:r>
      <w:r>
        <w:rPr>
          <w:rFonts w:hint="default" w:ascii="Times New Roman" w:hAnsi="Times New Roman" w:eastAsia="宋体" w:cs="Times New Roman"/>
          <w:bCs w:val="0"/>
          <w:color w:val="auto"/>
          <w:highlight w:val="none"/>
        </w:rPr>
        <w:t>万元，其中：基本支出</w:t>
      </w:r>
      <w:r>
        <w:rPr>
          <w:rFonts w:hint="default" w:ascii="Times New Roman" w:hAnsi="Times New Roman" w:eastAsia="宋体" w:cs="Times New Roman"/>
          <w:bCs w:val="0"/>
          <w:color w:val="auto"/>
          <w:highlight w:val="none"/>
          <w:lang w:val="en-US" w:eastAsia="zh-CN"/>
        </w:rPr>
        <w:t>572.59</w:t>
      </w:r>
      <w:r>
        <w:rPr>
          <w:rFonts w:hint="default" w:ascii="Times New Roman" w:hAnsi="Times New Roman" w:eastAsia="宋体" w:cs="Times New Roman"/>
          <w:bCs w:val="0"/>
          <w:color w:val="auto"/>
          <w:highlight w:val="none"/>
        </w:rPr>
        <w:t>万元，项目支出</w:t>
      </w:r>
      <w:r>
        <w:rPr>
          <w:rFonts w:hint="default" w:ascii="Times New Roman" w:hAnsi="Times New Roman" w:eastAsia="宋体" w:cs="Times New Roman"/>
          <w:color w:val="auto"/>
          <w:highlight w:val="none"/>
          <w:lang w:val="en-US" w:eastAsia="zh-CN"/>
        </w:rPr>
        <w:t>673.25</w:t>
      </w:r>
      <w:r>
        <w:rPr>
          <w:rFonts w:hint="default" w:ascii="Times New Roman" w:hAnsi="Times New Roman" w:eastAsia="宋体" w:cs="Times New Roman"/>
          <w:bCs w:val="0"/>
          <w:color w:val="auto"/>
          <w:highlight w:val="none"/>
        </w:rPr>
        <w:t>万元，部门年度预算执行率为</w:t>
      </w:r>
      <w:r>
        <w:rPr>
          <w:rFonts w:hint="default" w:ascii="Times New Roman" w:hAnsi="Times New Roman" w:eastAsia="宋体" w:cs="Times New Roman"/>
          <w:bCs w:val="0"/>
          <w:color w:val="auto"/>
          <w:highlight w:val="none"/>
          <w:lang w:val="en-US" w:eastAsia="zh-CN"/>
        </w:rPr>
        <w:t>100.00</w:t>
      </w:r>
      <w:r>
        <w:rPr>
          <w:rFonts w:hint="default" w:ascii="Times New Roman" w:hAnsi="Times New Roman" w:eastAsia="宋体" w:cs="Times New Roman"/>
          <w:bCs w:val="0"/>
          <w:color w:val="auto"/>
          <w:highlight w:val="none"/>
        </w:rPr>
        <w:t>%。</w:t>
      </w:r>
    </w:p>
    <w:p w14:paraId="30D6E2FC">
      <w:pPr>
        <w:spacing w:line="360" w:lineRule="auto"/>
        <w:ind w:firstLine="640"/>
        <w:rPr>
          <w:rFonts w:hint="default" w:ascii="Times New Roman" w:hAnsi="Times New Roman" w:eastAsia="宋体" w:cs="Times New Roman"/>
          <w:b/>
          <w:color w:val="auto"/>
          <w:sz w:val="21"/>
          <w:szCs w:val="21"/>
          <w:highlight w:val="none"/>
          <w:lang w:val="en-US" w:eastAsia="zh-CN"/>
        </w:rPr>
      </w:pPr>
      <w:r>
        <w:rPr>
          <w:rFonts w:hint="eastAsia" w:ascii="Times New Roman" w:hAnsi="Times New Roman" w:eastAsia="宋体" w:cs="Times New Roman"/>
          <w:b/>
          <w:color w:val="auto"/>
          <w:sz w:val="21"/>
          <w:szCs w:val="21"/>
          <w:highlight w:val="none"/>
          <w:lang w:eastAsia="zh-CN"/>
        </w:rPr>
        <w:t>（</w:t>
      </w:r>
      <w:r>
        <w:rPr>
          <w:rFonts w:hint="eastAsia" w:ascii="Times New Roman" w:hAnsi="Times New Roman" w:eastAsia="宋体" w:cs="Times New Roman"/>
          <w:b/>
          <w:color w:val="auto"/>
          <w:sz w:val="21"/>
          <w:szCs w:val="21"/>
          <w:highlight w:val="none"/>
          <w:lang w:val="en-US" w:eastAsia="zh-CN"/>
        </w:rPr>
        <w:t>三</w:t>
      </w:r>
      <w:r>
        <w:rPr>
          <w:rFonts w:hint="eastAsia" w:ascii="Times New Roman" w:hAnsi="Times New Roman" w:eastAsia="宋体" w:cs="Times New Roman"/>
          <w:b/>
          <w:color w:val="auto"/>
          <w:sz w:val="21"/>
          <w:szCs w:val="21"/>
          <w:highlight w:val="none"/>
          <w:lang w:eastAsia="zh-CN"/>
        </w:rPr>
        <w:t>）</w:t>
      </w:r>
      <w:r>
        <w:rPr>
          <w:rFonts w:hint="default" w:ascii="Times New Roman" w:hAnsi="Times New Roman" w:eastAsia="宋体" w:cs="Times New Roman"/>
          <w:b/>
          <w:color w:val="auto"/>
          <w:sz w:val="21"/>
          <w:szCs w:val="21"/>
          <w:highlight w:val="none"/>
          <w:lang w:eastAsia="zh-CN"/>
        </w:rPr>
        <w:t>部门整体工作目标</w:t>
      </w:r>
      <w:r>
        <w:rPr>
          <w:rFonts w:hint="eastAsia" w:ascii="Times New Roman" w:hAnsi="Times New Roman" w:eastAsia="宋体" w:cs="Times New Roman"/>
          <w:b/>
          <w:color w:val="auto"/>
          <w:sz w:val="21"/>
          <w:szCs w:val="21"/>
          <w:highlight w:val="none"/>
          <w:lang w:val="en-US" w:eastAsia="zh-CN"/>
        </w:rPr>
        <w:t>设定情况</w:t>
      </w:r>
    </w:p>
    <w:p w14:paraId="1724F869">
      <w:pPr>
        <w:keepNext w:val="0"/>
        <w:keepLines w:val="0"/>
        <w:pageBreakBefore w:val="0"/>
        <w:widowControl/>
        <w:kinsoku/>
        <w:wordWrap/>
        <w:overflowPunct/>
        <w:topLinePunct w:val="0"/>
        <w:autoSpaceDE/>
        <w:autoSpaceDN/>
        <w:bidi w:val="0"/>
        <w:adjustRightInd w:val="0"/>
        <w:snapToGrid w:val="0"/>
        <w:spacing w:line="360" w:lineRule="auto"/>
        <w:ind w:firstLine="420"/>
        <w:textAlignment w:val="auto"/>
        <w:rPr>
          <w:rFonts w:hint="default" w:ascii="Times New Roman" w:hAnsi="Times New Roman" w:eastAsia="宋体" w:cs="Times New Roman"/>
          <w:bCs w:val="0"/>
          <w:color w:val="auto"/>
          <w:highlight w:val="none"/>
          <w:lang w:val="en-US" w:eastAsia="zh-CN"/>
        </w:rPr>
      </w:pPr>
      <w:r>
        <w:rPr>
          <w:rFonts w:hint="default" w:ascii="Times New Roman" w:hAnsi="Times New Roman" w:eastAsia="宋体" w:cs="Times New Roman"/>
          <w:color w:val="auto"/>
          <w:highlight w:val="none"/>
          <w:lang w:val="en-US" w:eastAsia="zh-CN"/>
        </w:rPr>
        <w:t>1.粮食</w:t>
      </w:r>
      <w:r>
        <w:rPr>
          <w:rFonts w:hint="default" w:ascii="Times New Roman" w:hAnsi="Times New Roman" w:eastAsia="宋体" w:cs="Times New Roman"/>
          <w:bCs w:val="0"/>
          <w:color w:val="auto"/>
          <w:highlight w:val="none"/>
          <w:lang w:val="en-US" w:eastAsia="zh-CN"/>
        </w:rPr>
        <w:t>作物增产增收方面</w:t>
      </w:r>
    </w:p>
    <w:p w14:paraId="3DBE1519">
      <w:pPr>
        <w:keepNext w:val="0"/>
        <w:keepLines w:val="0"/>
        <w:pageBreakBefore w:val="0"/>
        <w:widowControl/>
        <w:kinsoku/>
        <w:wordWrap/>
        <w:overflowPunct/>
        <w:topLinePunct w:val="0"/>
        <w:autoSpaceDE/>
        <w:autoSpaceDN/>
        <w:bidi w:val="0"/>
        <w:adjustRightInd w:val="0"/>
        <w:snapToGrid w:val="0"/>
        <w:spacing w:line="360" w:lineRule="auto"/>
        <w:ind w:firstLine="420"/>
        <w:textAlignment w:val="auto"/>
        <w:rPr>
          <w:rFonts w:hint="default" w:ascii="Times New Roman" w:hAnsi="Times New Roman" w:eastAsia="宋体" w:cs="Times New Roman"/>
          <w:bCs w:val="0"/>
          <w:color w:val="auto"/>
          <w:highlight w:val="none"/>
          <w:lang w:val="en-US" w:eastAsia="zh-CN"/>
        </w:rPr>
      </w:pPr>
      <w:r>
        <w:rPr>
          <w:rFonts w:hint="default" w:ascii="Times New Roman" w:hAnsi="Times New Roman" w:eastAsia="宋体" w:cs="Times New Roman"/>
          <w:bCs w:val="0"/>
          <w:color w:val="auto"/>
          <w:highlight w:val="none"/>
          <w:lang w:val="en-US" w:eastAsia="zh-CN"/>
        </w:rPr>
        <w:t>提升科技增产能力，建设粮食作物高产示范田，提高粮食作物单产，带动粮食增产增收，开展百亩攻关田，千亩创建田，万亩示范田工作，每个乡镇要建立1-2块百亩以上的小麦攻关田，玉米高产创建每个乡镇要建立2个以上千亩示范方，218线、伊巴公路沿线乡镇要完成1个玉米万亩示范田创建，力争2024年小麦单产提高6.00%以上、平均单产提高30.00公斤以上；玉米单产提高4.00%以上，平均单产提高50.00公斤以上。</w:t>
      </w:r>
    </w:p>
    <w:p w14:paraId="5F717130">
      <w:pPr>
        <w:keepNext w:val="0"/>
        <w:keepLines w:val="0"/>
        <w:pageBreakBefore w:val="0"/>
        <w:widowControl/>
        <w:numPr>
          <w:ilvl w:val="-1"/>
          <w:numId w:val="0"/>
        </w:numPr>
        <w:kinsoku/>
        <w:wordWrap/>
        <w:overflowPunct/>
        <w:topLinePunct w:val="0"/>
        <w:autoSpaceDE/>
        <w:autoSpaceDN/>
        <w:bidi w:val="0"/>
        <w:adjustRightInd w:val="0"/>
        <w:snapToGrid w:val="0"/>
        <w:spacing w:line="360" w:lineRule="auto"/>
        <w:ind w:firstLine="420" w:firstLineChars="0"/>
        <w:textAlignment w:val="auto"/>
        <w:rPr>
          <w:rFonts w:hint="default" w:ascii="Times New Roman" w:hAnsi="Times New Roman" w:eastAsia="宋体" w:cs="Times New Roman"/>
          <w:bCs w:val="0"/>
          <w:color w:val="auto"/>
          <w:highlight w:val="none"/>
          <w:lang w:val="en-US" w:eastAsia="zh-CN"/>
        </w:rPr>
      </w:pPr>
      <w:r>
        <w:rPr>
          <w:rFonts w:hint="default" w:ascii="Times New Roman" w:hAnsi="Times New Roman" w:eastAsia="宋体" w:cs="Times New Roman"/>
          <w:bCs w:val="0"/>
          <w:color w:val="auto"/>
          <w:sz w:val="21"/>
          <w:szCs w:val="21"/>
          <w:highlight w:val="none"/>
          <w:lang w:val="en-US" w:eastAsia="zh-CN" w:bidi="ar-SA"/>
        </w:rPr>
        <w:t>2.</w:t>
      </w:r>
      <w:r>
        <w:rPr>
          <w:rFonts w:hint="default" w:ascii="Times New Roman" w:hAnsi="Times New Roman" w:eastAsia="宋体" w:cs="Times New Roman"/>
          <w:bCs w:val="0"/>
          <w:color w:val="auto"/>
          <w:highlight w:val="none"/>
          <w:lang w:val="en-US" w:eastAsia="zh-CN"/>
        </w:rPr>
        <w:t>保障粮食安全方面技术服务方面</w:t>
      </w:r>
    </w:p>
    <w:p w14:paraId="2046BA32">
      <w:pPr>
        <w:keepNext w:val="0"/>
        <w:keepLines w:val="0"/>
        <w:pageBreakBefore w:val="0"/>
        <w:widowControl/>
        <w:kinsoku/>
        <w:wordWrap/>
        <w:overflowPunct/>
        <w:topLinePunct w:val="0"/>
        <w:autoSpaceDE/>
        <w:autoSpaceDN/>
        <w:bidi w:val="0"/>
        <w:adjustRightInd w:val="0"/>
        <w:snapToGrid w:val="0"/>
        <w:spacing w:line="360" w:lineRule="auto"/>
        <w:ind w:firstLine="420"/>
        <w:textAlignment w:val="auto"/>
        <w:rPr>
          <w:rFonts w:hint="default" w:ascii="Times New Roman" w:hAnsi="Times New Roman" w:eastAsia="宋体" w:cs="Times New Roman"/>
          <w:bCs w:val="0"/>
          <w:color w:val="auto"/>
          <w:highlight w:val="none"/>
          <w:lang w:val="en-US" w:eastAsia="zh-CN"/>
        </w:rPr>
      </w:pPr>
      <w:r>
        <w:rPr>
          <w:rFonts w:hint="default" w:ascii="Times New Roman" w:hAnsi="Times New Roman" w:eastAsia="宋体" w:cs="Times New Roman"/>
          <w:bCs w:val="0"/>
          <w:color w:val="auto"/>
          <w:highlight w:val="none"/>
          <w:lang w:val="en-US" w:eastAsia="zh-CN"/>
        </w:rPr>
        <w:t>实行技术人员分区包乡责任制，全覆盖分配技术人员进行技术指导服务。开展农技服务线上线下技术指导，通过“理论+实践”提高专业技术员综合素质；同时利用“冬季攻势”、农牧民夜校等开展农牧民科技培训，为伊宁县粮食作物稳产增收做好技术指导工作。</w:t>
      </w:r>
    </w:p>
    <w:p w14:paraId="46CC8D2F">
      <w:pPr>
        <w:spacing w:line="360" w:lineRule="auto"/>
        <w:ind w:firstLine="420"/>
        <w:rPr>
          <w:rFonts w:hint="default" w:ascii="Times New Roman" w:hAnsi="Times New Roman" w:eastAsia="宋体" w:cs="Times New Roman"/>
          <w:bCs w:val="0"/>
          <w:color w:val="auto"/>
          <w:highlight w:val="none"/>
          <w:lang w:val="en-US" w:eastAsia="zh-CN"/>
        </w:rPr>
      </w:pPr>
      <w:r>
        <w:rPr>
          <w:rFonts w:hint="default" w:ascii="Times New Roman" w:hAnsi="Times New Roman" w:eastAsia="宋体" w:cs="Times New Roman"/>
          <w:bCs w:val="0"/>
          <w:color w:val="auto"/>
          <w:highlight w:val="none"/>
          <w:lang w:val="en-US" w:eastAsia="zh-CN"/>
        </w:rPr>
        <w:t xml:space="preserve">3.打造粮食高产示范基地 </w:t>
      </w:r>
    </w:p>
    <w:p w14:paraId="1ED0A43E">
      <w:pPr>
        <w:spacing w:line="360" w:lineRule="auto"/>
        <w:ind w:firstLine="420"/>
        <w:rPr>
          <w:rFonts w:hint="default" w:ascii="Times New Roman" w:hAnsi="Times New Roman" w:eastAsia="宋体" w:cs="Times New Roman"/>
          <w:bCs w:val="0"/>
          <w:color w:val="auto"/>
          <w:highlight w:val="none"/>
          <w:lang w:val="en-US" w:eastAsia="zh-CN"/>
        </w:rPr>
      </w:pPr>
      <w:r>
        <w:rPr>
          <w:rFonts w:hint="default" w:ascii="Times New Roman" w:hAnsi="Times New Roman" w:eastAsia="宋体" w:cs="Times New Roman"/>
          <w:bCs w:val="0"/>
          <w:color w:val="auto"/>
          <w:highlight w:val="none"/>
          <w:lang w:val="en-US" w:eastAsia="zh-CN"/>
        </w:rPr>
        <w:t>建立玉米万亩示范区10个，玉米千亩创建田30个，玉米百亩攻关田5个。小麦万亩示范区1个，小麦千亩创建田10个，小麦高产攻关田5个，大豆（正、复播）高产千亩示范田10个。</w:t>
      </w:r>
    </w:p>
    <w:p w14:paraId="37BAECFB">
      <w:pPr>
        <w:spacing w:line="360" w:lineRule="auto"/>
        <w:ind w:firstLine="420"/>
        <w:rPr>
          <w:rFonts w:hint="default" w:ascii="Times New Roman" w:hAnsi="Times New Roman" w:eastAsia="宋体" w:cs="Times New Roman"/>
          <w:bCs w:val="0"/>
          <w:color w:val="auto"/>
          <w:highlight w:val="none"/>
          <w:lang w:val="en-US" w:eastAsia="zh-CN"/>
        </w:rPr>
      </w:pPr>
      <w:r>
        <w:rPr>
          <w:rFonts w:hint="default" w:ascii="Times New Roman" w:hAnsi="Times New Roman" w:eastAsia="宋体" w:cs="Times New Roman"/>
          <w:bCs w:val="0"/>
          <w:color w:val="auto"/>
          <w:highlight w:val="none"/>
          <w:lang w:val="en-US" w:eastAsia="zh-CN"/>
        </w:rPr>
        <w:t>4.大力推广病虫害绿色防控技术</w:t>
      </w:r>
    </w:p>
    <w:p w14:paraId="0E89AA47">
      <w:pPr>
        <w:spacing w:line="360" w:lineRule="auto"/>
        <w:ind w:firstLine="420"/>
        <w:rPr>
          <w:rFonts w:hint="default" w:ascii="Times New Roman" w:hAnsi="Times New Roman" w:eastAsia="宋体" w:cs="Times New Roman"/>
          <w:bCs w:val="0"/>
          <w:color w:val="auto"/>
          <w:highlight w:val="none"/>
          <w:lang w:val="en-US" w:eastAsia="zh-CN"/>
        </w:rPr>
      </w:pPr>
      <w:r>
        <w:rPr>
          <w:rFonts w:hint="default" w:ascii="Times New Roman" w:hAnsi="Times New Roman" w:eastAsia="宋体" w:cs="Times New Roman"/>
          <w:bCs w:val="0"/>
          <w:color w:val="auto"/>
          <w:highlight w:val="none"/>
          <w:lang w:val="en-US" w:eastAsia="zh-CN"/>
        </w:rPr>
        <w:t>建立绿色防控示范点，形成以点带面连片的辐射带动效应，引领粮食作物提质增效。强化病虫害预测预报，及时发布防灾减灾信息，提高防范。通过示范带动，推广绿色防控技术，增强农民科学防治病虫害的意识；通过绿色防控示范，突出绿色防控技术和低毒高效低残留药剂应用，提高绿色防控技术水平和覆盖率，切实减轻病虫害对粮食生产的影响，提高防治效果，努力实现虫口夺粮增单产，促进农民增收。</w:t>
      </w:r>
    </w:p>
    <w:p w14:paraId="6415A1B8">
      <w:pPr>
        <w:spacing w:line="360" w:lineRule="auto"/>
        <w:ind w:firstLine="640"/>
        <w:rPr>
          <w:rFonts w:hint="default" w:ascii="Times New Roman" w:hAnsi="Times New Roman" w:eastAsia="宋体" w:cs="Times New Roman"/>
          <w:b/>
          <w:bCs w:val="0"/>
          <w:color w:val="auto"/>
          <w:sz w:val="21"/>
          <w:szCs w:val="21"/>
          <w:highlight w:val="none"/>
          <w:lang w:val="en-US" w:eastAsia="zh-CN"/>
        </w:rPr>
      </w:pPr>
      <w:r>
        <w:rPr>
          <w:rFonts w:hint="default" w:ascii="Times New Roman" w:hAnsi="Times New Roman" w:eastAsia="宋体" w:cs="Times New Roman"/>
          <w:b/>
          <w:bCs w:val="0"/>
          <w:color w:val="auto"/>
          <w:sz w:val="21"/>
          <w:szCs w:val="21"/>
          <w:highlight w:val="none"/>
        </w:rPr>
        <w:t>二、</w:t>
      </w:r>
      <w:r>
        <w:rPr>
          <w:rFonts w:hint="eastAsia" w:ascii="Times New Roman" w:hAnsi="Times New Roman" w:eastAsia="宋体" w:cs="Times New Roman"/>
          <w:b/>
          <w:bCs w:val="0"/>
          <w:color w:val="auto"/>
          <w:sz w:val="21"/>
          <w:szCs w:val="21"/>
          <w:highlight w:val="none"/>
          <w:lang w:val="en-US" w:eastAsia="zh-CN"/>
        </w:rPr>
        <w:t>综合</w:t>
      </w:r>
      <w:r>
        <w:rPr>
          <w:rFonts w:hint="default" w:ascii="Times New Roman" w:hAnsi="Times New Roman" w:eastAsia="宋体" w:cs="Times New Roman"/>
          <w:b/>
          <w:bCs w:val="0"/>
          <w:color w:val="auto"/>
          <w:sz w:val="21"/>
          <w:szCs w:val="21"/>
          <w:highlight w:val="none"/>
        </w:rPr>
        <w:t>评价</w:t>
      </w:r>
      <w:r>
        <w:rPr>
          <w:rFonts w:hint="eastAsia" w:ascii="Times New Roman" w:hAnsi="Times New Roman" w:eastAsia="宋体" w:cs="Times New Roman"/>
          <w:b/>
          <w:bCs w:val="0"/>
          <w:color w:val="auto"/>
          <w:sz w:val="21"/>
          <w:szCs w:val="21"/>
          <w:highlight w:val="none"/>
          <w:lang w:val="en-US" w:eastAsia="zh-CN"/>
        </w:rPr>
        <w:t>情况</w:t>
      </w:r>
      <w:r>
        <w:rPr>
          <w:rFonts w:hint="default" w:ascii="Times New Roman" w:hAnsi="Times New Roman" w:eastAsia="宋体" w:cs="Times New Roman"/>
          <w:b/>
          <w:bCs w:val="0"/>
          <w:color w:val="auto"/>
          <w:sz w:val="21"/>
          <w:szCs w:val="21"/>
          <w:highlight w:val="none"/>
        </w:rPr>
        <w:t>和</w:t>
      </w:r>
      <w:r>
        <w:rPr>
          <w:rFonts w:hint="eastAsia" w:ascii="Times New Roman" w:hAnsi="Times New Roman" w:eastAsia="宋体" w:cs="Times New Roman"/>
          <w:b/>
          <w:bCs w:val="0"/>
          <w:color w:val="auto"/>
          <w:sz w:val="21"/>
          <w:szCs w:val="21"/>
          <w:highlight w:val="none"/>
          <w:lang w:val="en-US" w:eastAsia="zh-CN"/>
        </w:rPr>
        <w:t>评价结论</w:t>
      </w:r>
    </w:p>
    <w:p w14:paraId="218D1C80">
      <w:pPr>
        <w:spacing w:line="360" w:lineRule="auto"/>
        <w:ind w:firstLine="640"/>
        <w:rPr>
          <w:rFonts w:hint="eastAsia" w:ascii="Times New Roman" w:hAnsi="Times New Roman" w:eastAsia="宋体" w:cs="Times New Roman"/>
          <w:bCs/>
          <w:color w:val="auto"/>
          <w:highlight w:val="none"/>
          <w:lang w:val="zh-TW"/>
        </w:rPr>
      </w:pPr>
      <w:r>
        <w:rPr>
          <w:rFonts w:hint="eastAsia" w:ascii="Times New Roman" w:hAnsi="Times New Roman" w:eastAsia="宋体" w:cs="Times New Roman"/>
          <w:bCs/>
          <w:color w:val="auto"/>
          <w:highlight w:val="none"/>
          <w:lang w:val="zh-TW" w:eastAsia="zh-TW"/>
        </w:rPr>
        <w:t>本次单位整体</w:t>
      </w:r>
      <w:r>
        <w:rPr>
          <w:rFonts w:hint="default" w:ascii="Times New Roman" w:hAnsi="Times New Roman" w:eastAsia="宋体" w:cs="Times New Roman"/>
          <w:bCs w:val="0"/>
          <w:color w:val="auto"/>
          <w:highlight w:val="none"/>
          <w:lang w:val="en-US" w:eastAsia="zh-CN"/>
        </w:rPr>
        <w:t>支出绩效评价时段为2024年1月1日至12月31日。通过综合评价，伊宁县农技推广中心部门整体支出</w:t>
      </w:r>
      <w:r>
        <w:rPr>
          <w:rFonts w:hint="default" w:ascii="Times New Roman" w:hAnsi="Times New Roman" w:eastAsia="宋体" w:cs="Times New Roman"/>
          <w:bCs w:val="0"/>
          <w:color w:val="auto"/>
          <w:highlight w:val="none"/>
        </w:rPr>
        <w:t>绩效评价</w:t>
      </w:r>
      <w:r>
        <w:rPr>
          <w:rFonts w:hint="default" w:ascii="Times New Roman" w:hAnsi="Times New Roman" w:eastAsia="宋体" w:cs="Times New Roman"/>
          <w:bCs w:val="0"/>
          <w:color w:val="auto"/>
          <w:highlight w:val="none"/>
          <w:lang w:val="en-US" w:eastAsia="zh-CN"/>
        </w:rPr>
        <w:t>最终评分结果为</w:t>
      </w:r>
      <w:r>
        <w:rPr>
          <w:rFonts w:hint="eastAsia" w:ascii="Times New Roman" w:hAnsi="Times New Roman" w:eastAsia="宋体" w:cs="Times New Roman"/>
          <w:bCs w:val="0"/>
          <w:color w:val="auto"/>
          <w:highlight w:val="none"/>
          <w:lang w:val="en-US" w:eastAsia="zh-CN"/>
        </w:rPr>
        <w:t>88.2</w:t>
      </w:r>
      <w:r>
        <w:rPr>
          <w:rFonts w:hint="default" w:ascii="Times New Roman" w:hAnsi="Times New Roman" w:eastAsia="宋体" w:cs="Times New Roman"/>
          <w:bCs w:val="0"/>
          <w:color w:val="auto"/>
          <w:highlight w:val="none"/>
          <w:lang w:val="en-US" w:eastAsia="zh-CN"/>
        </w:rPr>
        <w:t>0分，绩效评级为“良”。</w:t>
      </w:r>
    </w:p>
    <w:p w14:paraId="2DDE8841">
      <w:pPr>
        <w:pStyle w:val="36"/>
        <w:spacing w:before="0" w:after="0" w:line="360" w:lineRule="auto"/>
        <w:jc w:val="center"/>
        <w:rPr>
          <w:rFonts w:hint="default"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sz w:val="21"/>
          <w:szCs w:val="21"/>
          <w:highlight w:val="none"/>
          <w:lang w:val="en-US" w:eastAsia="zh-CN"/>
        </w:rPr>
        <w:t>伊宁县农技推广中心</w:t>
      </w:r>
      <w:r>
        <w:rPr>
          <w:rFonts w:hint="default" w:ascii="Times New Roman" w:hAnsi="Times New Roman" w:eastAsia="宋体" w:cs="Times New Roman"/>
          <w:b/>
          <w:color w:val="auto"/>
          <w:sz w:val="21"/>
          <w:szCs w:val="21"/>
          <w:highlight w:val="none"/>
        </w:rPr>
        <w:t>部门整体绩效评价得分表</w:t>
      </w:r>
    </w:p>
    <w:tbl>
      <w:tblPr>
        <w:tblStyle w:val="21"/>
        <w:tblW w:w="4512"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149"/>
        <w:gridCol w:w="1563"/>
        <w:gridCol w:w="1619"/>
        <w:gridCol w:w="1764"/>
        <w:gridCol w:w="1545"/>
      </w:tblGrid>
      <w:tr w14:paraId="3970F9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7" w:hRule="atLeast"/>
          <w:jc w:val="center"/>
        </w:trPr>
        <w:tc>
          <w:tcPr>
            <w:tcW w:w="715"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7D930788">
            <w:pPr>
              <w:pStyle w:val="36"/>
              <w:snapToGrid w:val="0"/>
              <w:spacing w:before="0" w:after="0" w:line="240" w:lineRule="auto"/>
              <w:jc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val="zh-TW" w:eastAsia="zh-TW"/>
              </w:rPr>
              <w:t>指标</w:t>
            </w:r>
          </w:p>
        </w:tc>
        <w:tc>
          <w:tcPr>
            <w:tcW w:w="973"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0A03BC05">
            <w:pPr>
              <w:pStyle w:val="36"/>
              <w:snapToGrid w:val="0"/>
              <w:spacing w:before="0" w:after="0" w:line="240" w:lineRule="auto"/>
              <w:jc w:val="center"/>
              <w:rPr>
                <w:rFonts w:hint="eastAsia" w:ascii="Times New Roman" w:hAnsi="Times New Roman" w:eastAsia="宋体" w:cs="Times New Roman"/>
                <w:b/>
                <w:color w:val="auto"/>
                <w:sz w:val="21"/>
                <w:szCs w:val="21"/>
                <w:highlight w:val="none"/>
                <w:lang w:val="en-US" w:eastAsia="zh-CN"/>
              </w:rPr>
            </w:pPr>
            <w:r>
              <w:rPr>
                <w:rFonts w:hint="default" w:ascii="Times New Roman" w:hAnsi="Times New Roman" w:eastAsia="宋体" w:cs="Times New Roman"/>
                <w:b/>
                <w:color w:val="auto"/>
                <w:sz w:val="21"/>
                <w:szCs w:val="21"/>
                <w:highlight w:val="none"/>
              </w:rPr>
              <w:t>部门决策</w:t>
            </w:r>
            <w:r>
              <w:rPr>
                <w:rFonts w:hint="eastAsia" w:ascii="Times New Roman" w:hAnsi="Times New Roman" w:eastAsia="宋体" w:cs="Times New Roman"/>
                <w:b/>
                <w:color w:val="auto"/>
                <w:sz w:val="21"/>
                <w:szCs w:val="21"/>
                <w:highlight w:val="none"/>
                <w:lang w:val="en-US" w:eastAsia="zh-CN"/>
              </w:rPr>
              <w:t>类</w:t>
            </w:r>
          </w:p>
        </w:tc>
        <w:tc>
          <w:tcPr>
            <w:tcW w:w="1008"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266D4558">
            <w:pPr>
              <w:pStyle w:val="36"/>
              <w:snapToGrid w:val="0"/>
              <w:spacing w:before="0" w:after="0" w:line="240" w:lineRule="auto"/>
              <w:jc w:val="center"/>
              <w:rPr>
                <w:rFonts w:hint="eastAsia" w:ascii="Times New Roman" w:hAnsi="Times New Roman" w:eastAsia="宋体" w:cs="Times New Roman"/>
                <w:b/>
                <w:color w:val="auto"/>
                <w:sz w:val="21"/>
                <w:szCs w:val="21"/>
                <w:highlight w:val="none"/>
                <w:lang w:val="en-US" w:eastAsia="zh-CN"/>
              </w:rPr>
            </w:pPr>
            <w:r>
              <w:rPr>
                <w:rFonts w:hint="default" w:ascii="Times New Roman" w:hAnsi="Times New Roman" w:eastAsia="宋体" w:cs="Times New Roman"/>
                <w:b/>
                <w:color w:val="auto"/>
                <w:sz w:val="21"/>
                <w:szCs w:val="21"/>
                <w:highlight w:val="none"/>
              </w:rPr>
              <w:t>部门管理</w:t>
            </w:r>
            <w:r>
              <w:rPr>
                <w:rFonts w:hint="eastAsia" w:ascii="Times New Roman" w:hAnsi="Times New Roman" w:eastAsia="宋体" w:cs="Times New Roman"/>
                <w:b/>
                <w:color w:val="auto"/>
                <w:sz w:val="21"/>
                <w:szCs w:val="21"/>
                <w:highlight w:val="none"/>
                <w:lang w:val="en-US" w:eastAsia="zh-CN"/>
              </w:rPr>
              <w:t>类</w:t>
            </w:r>
          </w:p>
        </w:tc>
        <w:tc>
          <w:tcPr>
            <w:tcW w:w="1098"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653DD980">
            <w:pPr>
              <w:pStyle w:val="36"/>
              <w:snapToGrid w:val="0"/>
              <w:spacing w:before="0" w:after="0" w:line="240" w:lineRule="auto"/>
              <w:jc w:val="center"/>
              <w:rPr>
                <w:rFonts w:hint="default" w:ascii="Times New Roman" w:hAnsi="Times New Roman" w:eastAsia="宋体" w:cs="Times New Roman"/>
                <w:b/>
                <w:color w:val="auto"/>
                <w:sz w:val="21"/>
                <w:szCs w:val="21"/>
                <w:highlight w:val="none"/>
                <w:lang w:val="en-US" w:eastAsia="zh-CN"/>
              </w:rPr>
            </w:pPr>
            <w:r>
              <w:rPr>
                <w:rFonts w:hint="default" w:ascii="Times New Roman" w:hAnsi="Times New Roman" w:eastAsia="宋体" w:cs="Times New Roman"/>
                <w:b/>
                <w:color w:val="auto"/>
                <w:sz w:val="21"/>
                <w:szCs w:val="21"/>
                <w:highlight w:val="none"/>
              </w:rPr>
              <w:t>部门</w:t>
            </w:r>
            <w:r>
              <w:rPr>
                <w:rFonts w:hint="eastAsia" w:ascii="Times New Roman" w:hAnsi="Times New Roman" w:eastAsia="宋体" w:cs="Times New Roman"/>
                <w:b/>
                <w:color w:val="auto"/>
                <w:sz w:val="21"/>
                <w:szCs w:val="21"/>
                <w:highlight w:val="none"/>
                <w:lang w:val="en-US" w:eastAsia="zh-CN"/>
              </w:rPr>
              <w:t>绩效类</w:t>
            </w:r>
          </w:p>
        </w:tc>
        <w:tc>
          <w:tcPr>
            <w:tcW w:w="96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719420A5">
            <w:pPr>
              <w:pStyle w:val="36"/>
              <w:snapToGrid w:val="0"/>
              <w:spacing w:before="0" w:after="0" w:line="240" w:lineRule="auto"/>
              <w:jc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val="zh-TW" w:eastAsia="zh-TW"/>
              </w:rPr>
              <w:t>合计分值</w:t>
            </w:r>
          </w:p>
        </w:tc>
      </w:tr>
      <w:tr w14:paraId="001DCC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jc w:val="center"/>
        </w:trPr>
        <w:tc>
          <w:tcPr>
            <w:tcW w:w="715"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0C884FF3">
            <w:pPr>
              <w:pStyle w:val="36"/>
              <w:snapToGrid w:val="0"/>
              <w:spacing w:before="0" w:after="0" w:line="240" w:lineRule="auto"/>
              <w:jc w:val="center"/>
              <w:rPr>
                <w:rFonts w:hint="default" w:ascii="Times New Roman" w:hAnsi="Times New Roman" w:eastAsia="宋体" w:cs="Times New Roman"/>
                <w:b/>
                <w:color w:val="auto"/>
                <w:sz w:val="21"/>
                <w:szCs w:val="21"/>
                <w:highlight w:val="none"/>
                <w:lang w:val="en-US" w:eastAsia="zh-CN"/>
              </w:rPr>
            </w:pPr>
            <w:r>
              <w:rPr>
                <w:rFonts w:hint="eastAsia" w:ascii="Times New Roman" w:hAnsi="Times New Roman" w:eastAsia="宋体" w:cs="Times New Roman"/>
                <w:b/>
                <w:color w:val="auto"/>
                <w:sz w:val="21"/>
                <w:szCs w:val="21"/>
                <w:highlight w:val="none"/>
                <w:lang w:val="en-US" w:eastAsia="zh-CN"/>
              </w:rPr>
              <w:t>权重</w:t>
            </w:r>
          </w:p>
        </w:tc>
        <w:tc>
          <w:tcPr>
            <w:tcW w:w="973"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6F6133E4">
            <w:pPr>
              <w:pStyle w:val="36"/>
              <w:snapToGrid w:val="0"/>
              <w:spacing w:before="0" w:after="0" w:line="240" w:lineRule="auto"/>
              <w:jc w:val="center"/>
              <w:rPr>
                <w:rFonts w:hint="default"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15.00</w:t>
            </w:r>
          </w:p>
        </w:tc>
        <w:tc>
          <w:tcPr>
            <w:tcW w:w="1008"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62B71582">
            <w:pPr>
              <w:pStyle w:val="36"/>
              <w:snapToGrid w:val="0"/>
              <w:spacing w:before="0" w:after="0" w:line="240" w:lineRule="auto"/>
              <w:jc w:val="center"/>
              <w:rPr>
                <w:rFonts w:hint="default"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25.00</w:t>
            </w:r>
          </w:p>
        </w:tc>
        <w:tc>
          <w:tcPr>
            <w:tcW w:w="1098"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66F5E96C">
            <w:pPr>
              <w:pStyle w:val="36"/>
              <w:snapToGrid w:val="0"/>
              <w:spacing w:before="0" w:after="0" w:line="240" w:lineRule="auto"/>
              <w:jc w:val="center"/>
              <w:rPr>
                <w:rFonts w:hint="default"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60.00</w:t>
            </w:r>
          </w:p>
        </w:tc>
        <w:tc>
          <w:tcPr>
            <w:tcW w:w="96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7979F873">
            <w:pPr>
              <w:pStyle w:val="36"/>
              <w:snapToGrid w:val="0"/>
              <w:spacing w:before="0" w:after="0" w:line="240" w:lineRule="auto"/>
              <w:jc w:val="center"/>
              <w:rPr>
                <w:rFonts w:hint="default"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100.00</w:t>
            </w:r>
          </w:p>
        </w:tc>
      </w:tr>
      <w:tr w14:paraId="796FB5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jc w:val="center"/>
        </w:trPr>
        <w:tc>
          <w:tcPr>
            <w:tcW w:w="715"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4475CF03">
            <w:pPr>
              <w:pStyle w:val="36"/>
              <w:snapToGrid w:val="0"/>
              <w:spacing w:before="0" w:after="0" w:line="240" w:lineRule="auto"/>
              <w:jc w:val="center"/>
              <w:rPr>
                <w:rFonts w:hint="default" w:ascii="Times New Roman" w:hAnsi="Times New Roman" w:eastAsia="宋体" w:cs="Times New Roman"/>
                <w:b/>
                <w:color w:val="auto"/>
                <w:sz w:val="21"/>
                <w:szCs w:val="21"/>
                <w:highlight w:val="none"/>
                <w:lang w:val="en-US" w:eastAsia="zh-CN"/>
              </w:rPr>
            </w:pPr>
            <w:r>
              <w:rPr>
                <w:rFonts w:hint="eastAsia" w:ascii="Times New Roman" w:hAnsi="Times New Roman" w:eastAsia="宋体" w:cs="Times New Roman"/>
                <w:b/>
                <w:color w:val="auto"/>
                <w:sz w:val="21"/>
                <w:szCs w:val="21"/>
                <w:highlight w:val="none"/>
                <w:lang w:val="en-US" w:eastAsia="zh-CN"/>
              </w:rPr>
              <w:t>得分</w:t>
            </w:r>
          </w:p>
        </w:tc>
        <w:tc>
          <w:tcPr>
            <w:tcW w:w="973"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5FDA274E">
            <w:pPr>
              <w:pStyle w:val="36"/>
              <w:snapToGrid w:val="0"/>
              <w:spacing w:before="0" w:after="0" w:line="240" w:lineRule="auto"/>
              <w:jc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15.00</w:t>
            </w:r>
          </w:p>
        </w:tc>
        <w:tc>
          <w:tcPr>
            <w:tcW w:w="1008"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4B83F094">
            <w:pPr>
              <w:pStyle w:val="36"/>
              <w:snapToGrid w:val="0"/>
              <w:spacing w:before="0" w:after="0" w:line="240" w:lineRule="auto"/>
              <w:jc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21.00</w:t>
            </w:r>
          </w:p>
        </w:tc>
        <w:tc>
          <w:tcPr>
            <w:tcW w:w="1098"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5B1192FA">
            <w:pPr>
              <w:pStyle w:val="36"/>
              <w:snapToGrid w:val="0"/>
              <w:spacing w:before="0" w:after="0" w:line="240" w:lineRule="auto"/>
              <w:jc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52.20</w:t>
            </w:r>
          </w:p>
        </w:tc>
        <w:tc>
          <w:tcPr>
            <w:tcW w:w="96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53664931">
            <w:pPr>
              <w:pStyle w:val="36"/>
              <w:snapToGrid w:val="0"/>
              <w:spacing w:before="0" w:after="0" w:line="240" w:lineRule="auto"/>
              <w:jc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88.20</w:t>
            </w:r>
          </w:p>
        </w:tc>
      </w:tr>
      <w:tr w14:paraId="44A10D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jc w:val="center"/>
        </w:trPr>
        <w:tc>
          <w:tcPr>
            <w:tcW w:w="715"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570EA188">
            <w:pPr>
              <w:pStyle w:val="36"/>
              <w:snapToGrid w:val="0"/>
              <w:spacing w:before="0" w:after="0" w:line="240" w:lineRule="auto"/>
              <w:jc w:val="center"/>
              <w:rPr>
                <w:rFonts w:hint="default" w:ascii="Times New Roman" w:hAnsi="Times New Roman" w:eastAsia="宋体" w:cs="Times New Roman"/>
                <w:b/>
                <w:color w:val="auto"/>
                <w:sz w:val="21"/>
                <w:szCs w:val="21"/>
                <w:highlight w:val="none"/>
                <w:lang w:val="en-US" w:eastAsia="zh-CN"/>
              </w:rPr>
            </w:pPr>
            <w:r>
              <w:rPr>
                <w:rFonts w:hint="eastAsia" w:ascii="Times New Roman" w:hAnsi="Times New Roman" w:eastAsia="宋体" w:cs="Times New Roman"/>
                <w:b/>
                <w:color w:val="auto"/>
                <w:sz w:val="21"/>
                <w:szCs w:val="21"/>
                <w:highlight w:val="none"/>
                <w:lang w:val="en-US" w:eastAsia="zh-CN"/>
              </w:rPr>
              <w:t>得分率</w:t>
            </w:r>
          </w:p>
        </w:tc>
        <w:tc>
          <w:tcPr>
            <w:tcW w:w="973"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72C903DF">
            <w:pPr>
              <w:pStyle w:val="36"/>
              <w:snapToGrid w:val="0"/>
              <w:spacing w:before="0" w:after="0" w:line="240" w:lineRule="auto"/>
              <w:jc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100.00%</w:t>
            </w:r>
          </w:p>
        </w:tc>
        <w:tc>
          <w:tcPr>
            <w:tcW w:w="1008"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3C7B5948">
            <w:pPr>
              <w:pStyle w:val="36"/>
              <w:snapToGrid w:val="0"/>
              <w:spacing w:before="0" w:after="0" w:line="240" w:lineRule="auto"/>
              <w:jc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84.00%</w:t>
            </w:r>
          </w:p>
        </w:tc>
        <w:tc>
          <w:tcPr>
            <w:tcW w:w="1098"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7955C421">
            <w:pPr>
              <w:pStyle w:val="36"/>
              <w:snapToGrid w:val="0"/>
              <w:spacing w:before="0" w:after="0" w:line="240" w:lineRule="auto"/>
              <w:jc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87.00%</w:t>
            </w:r>
          </w:p>
        </w:tc>
        <w:tc>
          <w:tcPr>
            <w:tcW w:w="96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309CF6E5">
            <w:pPr>
              <w:pStyle w:val="36"/>
              <w:snapToGrid w:val="0"/>
              <w:spacing w:before="0" w:after="0" w:line="240" w:lineRule="auto"/>
              <w:jc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88.20%</w:t>
            </w:r>
          </w:p>
        </w:tc>
      </w:tr>
    </w:tbl>
    <w:p w14:paraId="4ACA0D70">
      <w:pPr>
        <w:spacing w:line="360" w:lineRule="auto"/>
        <w:ind w:firstLine="640"/>
        <w:rPr>
          <w:rFonts w:hint="default" w:ascii="Times New Roman" w:hAnsi="Times New Roman" w:eastAsia="宋体" w:cs="Times New Roman"/>
          <w:b/>
          <w:bCs w:val="0"/>
          <w:color w:val="auto"/>
          <w:sz w:val="21"/>
          <w:szCs w:val="21"/>
          <w:highlight w:val="none"/>
        </w:rPr>
      </w:pPr>
    </w:p>
    <w:p w14:paraId="48DD2A1A">
      <w:pPr>
        <w:spacing w:line="360" w:lineRule="auto"/>
        <w:ind w:firstLine="640"/>
        <w:rPr>
          <w:rFonts w:hint="default" w:ascii="Times New Roman" w:hAnsi="Times New Roman" w:eastAsia="宋体" w:cs="Times New Roman"/>
          <w:b/>
          <w:bCs w:val="0"/>
          <w:color w:val="auto"/>
          <w:sz w:val="21"/>
          <w:szCs w:val="21"/>
          <w:highlight w:val="none"/>
        </w:rPr>
      </w:pPr>
      <w:r>
        <w:rPr>
          <w:rFonts w:hint="default" w:ascii="Times New Roman" w:hAnsi="Times New Roman" w:eastAsia="宋体" w:cs="Times New Roman"/>
          <w:b/>
          <w:bCs w:val="0"/>
          <w:color w:val="auto"/>
          <w:sz w:val="21"/>
          <w:szCs w:val="21"/>
          <w:highlight w:val="none"/>
        </w:rPr>
        <w:t>三、主要经验及做法、存在的问题和改进的建议</w:t>
      </w:r>
    </w:p>
    <w:p w14:paraId="76284CD6">
      <w:pPr>
        <w:spacing w:line="360" w:lineRule="auto"/>
        <w:ind w:firstLine="640"/>
        <w:rPr>
          <w:rFonts w:hint="default" w:ascii="Times New Roman" w:hAnsi="Times New Roman" w:eastAsia="宋体" w:cs="Times New Roman"/>
          <w:b/>
          <w:color w:val="auto"/>
          <w:highlight w:val="none"/>
        </w:rPr>
      </w:pPr>
      <w:r>
        <w:rPr>
          <w:rFonts w:hint="default" w:ascii="Times New Roman" w:hAnsi="Times New Roman" w:eastAsia="宋体" w:cs="Times New Roman"/>
          <w:b/>
          <w:color w:val="auto"/>
          <w:highlight w:val="none"/>
        </w:rPr>
        <w:t>（一）主要经验及做法</w:t>
      </w:r>
    </w:p>
    <w:p w14:paraId="18CB9BAF">
      <w:pPr>
        <w:widowControl/>
        <w:adjustRightInd w:val="0"/>
        <w:snapToGrid w:val="0"/>
        <w:ind w:firstLine="640"/>
        <w:jc w:val="left"/>
        <w:rPr>
          <w:rFonts w:hint="default" w:ascii="Times New Roman" w:hAnsi="Times New Roman" w:eastAsia="宋体" w:cs="Times New Roman"/>
          <w:bCs w:val="0"/>
          <w:color w:val="auto"/>
          <w:kern w:val="2"/>
          <w:highlight w:val="none"/>
          <w:lang w:val="en-US" w:eastAsia="zh-CN"/>
        </w:rPr>
      </w:pPr>
      <w:r>
        <w:rPr>
          <w:rFonts w:hint="default" w:ascii="Times New Roman" w:hAnsi="Times New Roman" w:eastAsia="宋体" w:cs="Times New Roman"/>
          <w:bCs w:val="0"/>
          <w:color w:val="auto"/>
          <w:kern w:val="2"/>
          <w:highlight w:val="none"/>
          <w:lang w:val="en-US" w:eastAsia="zh-CN"/>
        </w:rPr>
        <w:t>1.粮油作物病虫害预警防治能力建设开展工作扎实</w:t>
      </w:r>
      <w:r>
        <w:rPr>
          <w:rFonts w:hint="default" w:ascii="Times New Roman" w:hAnsi="Times New Roman" w:eastAsia="宋体" w:cs="Times New Roman"/>
          <w:color w:val="auto"/>
          <w:kern w:val="2"/>
          <w:highlight w:val="none"/>
          <w:lang w:eastAsia="zh-CN"/>
        </w:rPr>
        <w:t>，强化农民种植户的科学种田、病虫害绿色防控、先进种植技术推介等培训和田间种植管理的技术指导、帮扶。</w:t>
      </w:r>
    </w:p>
    <w:p w14:paraId="070A4BD8">
      <w:pPr>
        <w:widowControl/>
        <w:adjustRightInd w:val="0"/>
        <w:snapToGrid w:val="0"/>
        <w:ind w:firstLine="640"/>
        <w:jc w:val="left"/>
        <w:rPr>
          <w:rFonts w:hint="default" w:ascii="Times New Roman" w:hAnsi="Times New Roman" w:eastAsia="宋体" w:cs="Times New Roman"/>
          <w:bCs w:val="0"/>
          <w:color w:val="auto"/>
          <w:kern w:val="2"/>
          <w:highlight w:val="none"/>
          <w:lang w:val="en-US" w:eastAsia="zh-CN"/>
        </w:rPr>
      </w:pPr>
      <w:r>
        <w:rPr>
          <w:rFonts w:hint="default" w:ascii="Times New Roman" w:hAnsi="Times New Roman" w:eastAsia="宋体" w:cs="Times New Roman"/>
          <w:bCs w:val="0"/>
          <w:color w:val="auto"/>
          <w:kern w:val="2"/>
          <w:highlight w:val="none"/>
          <w:lang w:val="en-US" w:eastAsia="zh-CN"/>
        </w:rPr>
        <w:t>一是伊宁县农业技术推广中心对伊宁县域主要粮油作物病虫害进行系统调查和监测，其中，2024年伊宁县小麦粮食作物统防统治覆盖面积为12.60万亩，小麦粮食作物统防统治覆盖率54.05%。玉米粮食作物统防统治覆盖面积为65.50万亩，玉米粮食作物统防统治覆盖率54.11%。</w:t>
      </w:r>
    </w:p>
    <w:p w14:paraId="6282589C">
      <w:pPr>
        <w:widowControl/>
        <w:adjustRightInd w:val="0"/>
        <w:snapToGrid w:val="0"/>
        <w:ind w:firstLine="640"/>
        <w:jc w:val="left"/>
        <w:rPr>
          <w:rFonts w:hint="default" w:ascii="Times New Roman" w:hAnsi="Times New Roman" w:eastAsia="宋体" w:cs="Times New Roman"/>
          <w:bCs w:val="0"/>
          <w:color w:val="auto"/>
          <w:kern w:val="2"/>
          <w:highlight w:val="none"/>
          <w:lang w:val="en-US" w:eastAsia="zh-CN"/>
        </w:rPr>
      </w:pPr>
      <w:r>
        <w:rPr>
          <w:rFonts w:hint="default" w:ascii="Times New Roman" w:hAnsi="Times New Roman" w:eastAsia="宋体" w:cs="Times New Roman"/>
          <w:bCs w:val="0"/>
          <w:color w:val="auto"/>
          <w:kern w:val="2"/>
          <w:highlight w:val="none"/>
          <w:lang w:val="en-US" w:eastAsia="zh-CN"/>
        </w:rPr>
        <w:t>二是结合县域内气候趋势预测及上年病虫害发生情况，形成中长期病虫害预测预报，目前已经发布农作物病虫预测预报15期，农作物病虫发生动态12期。</w:t>
      </w:r>
    </w:p>
    <w:p w14:paraId="5B7FCC52">
      <w:pPr>
        <w:widowControl/>
        <w:adjustRightInd w:val="0"/>
        <w:snapToGrid w:val="0"/>
        <w:ind w:firstLine="640"/>
        <w:jc w:val="left"/>
        <w:rPr>
          <w:rFonts w:hint="default" w:ascii="Times New Roman" w:hAnsi="Times New Roman" w:eastAsia="宋体" w:cs="Times New Roman"/>
          <w:bCs w:val="0"/>
          <w:color w:val="auto"/>
          <w:kern w:val="2"/>
          <w:highlight w:val="none"/>
          <w:lang w:val="en-US" w:eastAsia="zh-CN"/>
        </w:rPr>
      </w:pPr>
      <w:r>
        <w:rPr>
          <w:rFonts w:hint="default" w:ascii="Times New Roman" w:hAnsi="Times New Roman" w:eastAsia="宋体" w:cs="Times New Roman"/>
          <w:bCs w:val="0"/>
          <w:color w:val="auto"/>
          <w:kern w:val="2"/>
          <w:highlight w:val="none"/>
          <w:lang w:val="en-US" w:eastAsia="zh-CN"/>
        </w:rPr>
        <w:t>三是2024年建立农作物绿色防控示范区共20个，绿色防控覆盖率55.84%以上，确保优质小麦生产基地、各类高产创建示范片、绿色防控示范区实现统防统治全覆盖。</w:t>
      </w:r>
    </w:p>
    <w:p w14:paraId="62FB3311">
      <w:pPr>
        <w:widowControl/>
        <w:adjustRightInd w:val="0"/>
        <w:snapToGrid w:val="0"/>
        <w:ind w:firstLine="640"/>
        <w:jc w:val="left"/>
        <w:rPr>
          <w:rFonts w:hint="default" w:ascii="Times New Roman" w:hAnsi="Times New Roman" w:eastAsia="宋体" w:cs="Times New Roman"/>
          <w:bCs w:val="0"/>
          <w:color w:val="auto"/>
          <w:kern w:val="2"/>
          <w:highlight w:val="none"/>
          <w:lang w:val="en-US" w:eastAsia="zh-CN"/>
        </w:rPr>
      </w:pPr>
      <w:r>
        <w:rPr>
          <w:rFonts w:hint="default" w:ascii="Times New Roman" w:hAnsi="Times New Roman" w:eastAsia="宋体" w:cs="Times New Roman"/>
          <w:bCs w:val="0"/>
          <w:color w:val="auto"/>
          <w:kern w:val="2"/>
          <w:highlight w:val="none"/>
          <w:lang w:val="en-US" w:eastAsia="zh-CN"/>
        </w:rPr>
        <w:t>2.农业技术宣传与技术指导服务到位</w:t>
      </w:r>
    </w:p>
    <w:p w14:paraId="71008D5D">
      <w:pPr>
        <w:widowControl/>
        <w:adjustRightInd w:val="0"/>
        <w:snapToGrid w:val="0"/>
        <w:ind w:firstLine="640"/>
        <w:jc w:val="left"/>
        <w:rPr>
          <w:rFonts w:hint="default" w:ascii="Times New Roman" w:hAnsi="Times New Roman" w:eastAsia="宋体" w:cs="Times New Roman"/>
          <w:color w:val="auto"/>
          <w:kern w:val="2"/>
          <w:highlight w:val="none"/>
          <w:lang w:val="en-US" w:eastAsia="zh-CN"/>
        </w:rPr>
      </w:pPr>
      <w:r>
        <w:rPr>
          <w:rFonts w:hint="default" w:ascii="Times New Roman" w:hAnsi="Times New Roman" w:eastAsia="宋体" w:cs="Times New Roman"/>
          <w:color w:val="auto"/>
          <w:kern w:val="2"/>
          <w:highlight w:val="none"/>
          <w:lang w:val="en-US" w:eastAsia="zh-CN"/>
        </w:rPr>
        <w:t>一是依托自治区农科院土肥研究所，根据土壤分析化验结果制定测土配方施肥建议卡，通过乡村微信平台及测土配方宣传栏及纸质配方卡广泛宣传发放，让农民群众简单直观地掌握配方施肥。</w:t>
      </w:r>
    </w:p>
    <w:p w14:paraId="1335B63B">
      <w:pPr>
        <w:spacing w:line="360" w:lineRule="auto"/>
        <w:ind w:firstLine="640"/>
        <w:rPr>
          <w:rFonts w:hint="default" w:ascii="Times New Roman" w:hAnsi="Times New Roman" w:eastAsia="宋体" w:cs="Times New Roman"/>
          <w:b/>
          <w:color w:val="auto"/>
          <w:highlight w:val="none"/>
        </w:rPr>
      </w:pPr>
      <w:r>
        <w:rPr>
          <w:rFonts w:hint="default" w:ascii="Times New Roman" w:hAnsi="Times New Roman" w:eastAsia="宋体" w:cs="Times New Roman"/>
          <w:color w:val="auto"/>
          <w:kern w:val="2"/>
          <w:highlight w:val="none"/>
          <w:lang w:val="en-US" w:eastAsia="zh-CN"/>
        </w:rPr>
        <w:t>二是开展冬季大培训及各类培训117期，通过培训与技术指导，推动先进种植技术的推广应用，加大粮食精准密植、水肥一体化、病虫害防治等关键技术推广应用力度，不断提高粮食单产、增总产。</w:t>
      </w:r>
    </w:p>
    <w:p w14:paraId="46E287FF">
      <w:pPr>
        <w:spacing w:line="360" w:lineRule="auto"/>
        <w:ind w:firstLine="640"/>
        <w:rPr>
          <w:rFonts w:hint="default" w:ascii="Times New Roman" w:hAnsi="Times New Roman" w:eastAsia="宋体" w:cs="Times New Roman"/>
          <w:b/>
          <w:color w:val="auto"/>
          <w:highlight w:val="none"/>
        </w:rPr>
      </w:pPr>
      <w:r>
        <w:rPr>
          <w:rFonts w:hint="default" w:ascii="Times New Roman" w:hAnsi="Times New Roman" w:eastAsia="宋体" w:cs="Times New Roman"/>
          <w:b/>
          <w:color w:val="auto"/>
          <w:highlight w:val="none"/>
        </w:rPr>
        <w:t>（二）存在的问题</w:t>
      </w:r>
    </w:p>
    <w:p w14:paraId="10B14083">
      <w:pPr>
        <w:ind w:firstLine="422" w:firstLineChars="200"/>
        <w:rPr>
          <w:rFonts w:hint="eastAsia" w:ascii="Times New Roman" w:hAnsi="Times New Roman" w:eastAsia="宋体" w:cs="Times New Roman"/>
          <w:b/>
          <w:bCs/>
          <w:color w:val="auto"/>
          <w:highlight w:val="none"/>
          <w:lang w:val="en-US" w:eastAsia="zh-CN"/>
        </w:rPr>
      </w:pPr>
      <w:r>
        <w:rPr>
          <w:rFonts w:hint="eastAsia" w:ascii="Times New Roman" w:hAnsi="Times New Roman" w:eastAsia="宋体" w:cs="Times New Roman"/>
          <w:b/>
          <w:bCs/>
          <w:color w:val="auto"/>
          <w:highlight w:val="none"/>
          <w:lang w:val="en-US" w:eastAsia="zh-CN"/>
        </w:rPr>
        <w:t>1.单位资金支付审核不严谨</w:t>
      </w:r>
    </w:p>
    <w:p w14:paraId="74BC3C04">
      <w:pPr>
        <w:widowControl/>
        <w:adjustRightInd w:val="0"/>
        <w:snapToGrid w:val="0"/>
        <w:ind w:firstLine="420" w:firstLineChars="200"/>
        <w:jc w:val="left"/>
        <w:rPr>
          <w:rFonts w:hint="default" w:ascii="Times New Roman" w:hAnsi="Times New Roman" w:eastAsia="宋体" w:cs="Times New Roman"/>
          <w:bCs w:val="0"/>
          <w:color w:val="auto"/>
          <w:kern w:val="2"/>
          <w:highlight w:val="none"/>
          <w:lang w:val="en-US" w:eastAsia="zh-CN"/>
        </w:rPr>
      </w:pPr>
      <w:r>
        <w:rPr>
          <w:rFonts w:hint="default" w:ascii="Times New Roman" w:hAnsi="Times New Roman" w:eastAsia="宋体" w:cs="Times New Roman"/>
          <w:bCs w:val="0"/>
          <w:color w:val="auto"/>
          <w:kern w:val="2"/>
          <w:highlight w:val="none"/>
          <w:lang w:val="en-US" w:eastAsia="zh-CN"/>
        </w:rPr>
        <w:t>经现场抽查2024年11月22日1#记账凭证，该部门单位向伊宁边境经济合作区音速电子产品经销部支付办公用品费用0.46万元，财务凭证后附了国库集中支付回单、发票及送（销）货单，但缺失政采云平台的相关采购合同。</w:t>
      </w:r>
    </w:p>
    <w:p w14:paraId="5CA17CB6">
      <w:pPr>
        <w:widowControl/>
        <w:adjustRightInd w:val="0"/>
        <w:snapToGrid w:val="0"/>
        <w:ind w:firstLine="422" w:firstLineChars="200"/>
        <w:jc w:val="left"/>
        <w:rPr>
          <w:rFonts w:hint="eastAsia" w:ascii="Times New Roman" w:hAnsi="Times New Roman" w:eastAsia="宋体" w:cs="Times New Roman"/>
          <w:b/>
          <w:bCs/>
          <w:color w:val="auto"/>
          <w:highlight w:val="none"/>
          <w:lang w:val="en-US" w:eastAsia="zh-CN"/>
        </w:rPr>
      </w:pPr>
      <w:r>
        <w:rPr>
          <w:rFonts w:hint="eastAsia" w:ascii="Times New Roman" w:hAnsi="Times New Roman" w:eastAsia="宋体" w:cs="Times New Roman"/>
          <w:b/>
          <w:bCs/>
          <w:color w:val="auto"/>
          <w:highlight w:val="none"/>
          <w:lang w:val="en-US" w:eastAsia="zh-CN"/>
        </w:rPr>
        <w:t>2.县域的粮食单产能力有待提升</w:t>
      </w:r>
    </w:p>
    <w:p w14:paraId="3A0BCEAD">
      <w:pPr>
        <w:ind w:firstLine="640"/>
        <w:jc w:val="left"/>
        <w:rPr>
          <w:rFonts w:hint="default" w:ascii="Times New Roman" w:hAnsi="Times New Roman" w:eastAsia="宋体" w:cs="Times New Roman"/>
          <w:bCs w:val="0"/>
          <w:color w:val="auto"/>
          <w:kern w:val="2"/>
          <w:highlight w:val="none"/>
          <w:lang w:val="en-US" w:eastAsia="zh-CN"/>
        </w:rPr>
      </w:pPr>
      <w:r>
        <w:rPr>
          <w:rFonts w:hint="default" w:ascii="Times New Roman" w:hAnsi="Times New Roman" w:eastAsia="宋体" w:cs="Times New Roman"/>
          <w:color w:val="auto"/>
          <w:kern w:val="2"/>
          <w:highlight w:val="none"/>
        </w:rPr>
        <w:t>根据</w:t>
      </w:r>
      <w:r>
        <w:rPr>
          <w:rFonts w:hint="eastAsia" w:ascii="Times New Roman" w:hAnsi="Times New Roman" w:eastAsia="宋体" w:cs="Times New Roman"/>
          <w:color w:val="auto"/>
          <w:kern w:val="2"/>
          <w:highlight w:val="none"/>
          <w:lang w:val="en-US" w:eastAsia="zh-CN"/>
        </w:rPr>
        <w:t>部门单位</w:t>
      </w:r>
      <w:r>
        <w:rPr>
          <w:rFonts w:hint="default" w:ascii="Times New Roman" w:hAnsi="Times New Roman" w:eastAsia="宋体" w:cs="Times New Roman"/>
          <w:color w:val="auto"/>
          <w:kern w:val="2"/>
          <w:highlight w:val="none"/>
        </w:rPr>
        <w:t>提供</w:t>
      </w:r>
      <w:r>
        <w:rPr>
          <w:rFonts w:hint="default" w:ascii="Times New Roman" w:hAnsi="Times New Roman" w:eastAsia="宋体" w:cs="Times New Roman"/>
          <w:color w:val="auto"/>
          <w:kern w:val="2"/>
          <w:highlight w:val="none"/>
          <w:lang w:eastAsia="zh-CN"/>
        </w:rPr>
        <w:t>的</w:t>
      </w:r>
      <w:r>
        <w:rPr>
          <w:rFonts w:hint="default" w:ascii="Times New Roman" w:hAnsi="Times New Roman" w:eastAsia="宋体" w:cs="Times New Roman"/>
          <w:color w:val="auto"/>
          <w:kern w:val="2"/>
          <w:highlight w:val="none"/>
        </w:rPr>
        <w:t>《</w:t>
      </w:r>
      <w:r>
        <w:rPr>
          <w:rFonts w:hint="default" w:ascii="Times New Roman" w:hAnsi="Times New Roman" w:eastAsia="宋体" w:cs="Times New Roman"/>
          <w:color w:val="auto"/>
          <w:kern w:val="2"/>
          <w:highlight w:val="none"/>
          <w:lang w:val="en-US" w:eastAsia="zh-CN"/>
        </w:rPr>
        <w:t>伊宁县2024年冬小麦测产数据统计表</w:t>
      </w:r>
      <w:r>
        <w:rPr>
          <w:rFonts w:hint="default" w:ascii="Times New Roman" w:hAnsi="Times New Roman" w:eastAsia="宋体" w:cs="Times New Roman"/>
          <w:color w:val="auto"/>
          <w:kern w:val="2"/>
          <w:highlight w:val="none"/>
        </w:rPr>
        <w:t>》《</w:t>
      </w:r>
      <w:r>
        <w:rPr>
          <w:rFonts w:hint="default" w:ascii="Times New Roman" w:hAnsi="Times New Roman" w:eastAsia="宋体" w:cs="Times New Roman"/>
          <w:color w:val="auto"/>
          <w:kern w:val="2"/>
          <w:highlight w:val="none"/>
          <w:lang w:val="en-US" w:eastAsia="zh-CN"/>
        </w:rPr>
        <w:t>伊宁县2023年冬小麦测产数据统计表</w:t>
      </w:r>
      <w:r>
        <w:rPr>
          <w:rFonts w:hint="default" w:ascii="Times New Roman" w:hAnsi="Times New Roman" w:eastAsia="宋体" w:cs="Times New Roman"/>
          <w:color w:val="auto"/>
          <w:kern w:val="2"/>
          <w:highlight w:val="none"/>
        </w:rPr>
        <w:t>》</w:t>
      </w:r>
      <w:r>
        <w:rPr>
          <w:rFonts w:hint="eastAsia" w:ascii="Times New Roman" w:hAnsi="Times New Roman" w:eastAsia="宋体" w:cs="Times New Roman"/>
          <w:color w:val="auto"/>
          <w:kern w:val="2"/>
          <w:highlight w:val="none"/>
          <w:lang w:val="en-US" w:eastAsia="zh-CN"/>
        </w:rPr>
        <w:t>对比可知，</w:t>
      </w:r>
      <w:r>
        <w:rPr>
          <w:rFonts w:hint="default" w:ascii="Times New Roman" w:hAnsi="Times New Roman" w:eastAsia="宋体" w:cs="Times New Roman"/>
          <w:color w:val="auto"/>
          <w:kern w:val="2"/>
          <w:highlight w:val="none"/>
        </w:rPr>
        <w:t>202</w:t>
      </w:r>
      <w:r>
        <w:rPr>
          <w:rFonts w:hint="default" w:ascii="Times New Roman" w:hAnsi="Times New Roman" w:eastAsia="宋体" w:cs="Times New Roman"/>
          <w:color w:val="auto"/>
          <w:kern w:val="2"/>
          <w:highlight w:val="none"/>
          <w:lang w:val="en-US" w:eastAsia="zh-CN"/>
        </w:rPr>
        <w:t>4</w:t>
      </w:r>
      <w:r>
        <w:rPr>
          <w:rFonts w:hint="default" w:ascii="Times New Roman" w:hAnsi="Times New Roman" w:eastAsia="宋体" w:cs="Times New Roman"/>
          <w:color w:val="auto"/>
          <w:kern w:val="2"/>
          <w:highlight w:val="none"/>
        </w:rPr>
        <w:t>年</w:t>
      </w:r>
      <w:r>
        <w:rPr>
          <w:rFonts w:hint="default" w:ascii="Times New Roman" w:hAnsi="Times New Roman" w:eastAsia="宋体" w:cs="Times New Roman"/>
          <w:bCs w:val="0"/>
          <w:color w:val="auto"/>
          <w:kern w:val="2"/>
          <w:highlight w:val="none"/>
        </w:rPr>
        <w:t>伊宁</w:t>
      </w:r>
      <w:r>
        <w:rPr>
          <w:rFonts w:hint="default" w:ascii="Times New Roman" w:hAnsi="Times New Roman" w:eastAsia="宋体" w:cs="Times New Roman"/>
          <w:color w:val="auto"/>
          <w:kern w:val="2"/>
          <w:highlight w:val="none"/>
          <w:lang w:val="en-US" w:eastAsia="zh-CN"/>
        </w:rPr>
        <w:t>县</w:t>
      </w:r>
      <w:r>
        <w:rPr>
          <w:rFonts w:hint="eastAsia" w:ascii="Times New Roman" w:hAnsi="Times New Roman" w:eastAsia="宋体" w:cs="Times New Roman"/>
          <w:color w:val="auto"/>
          <w:kern w:val="2"/>
          <w:highlight w:val="none"/>
          <w:lang w:val="en-US" w:eastAsia="zh-CN"/>
        </w:rPr>
        <w:t>的小麦、玉米等粮食单产较上一年度有所下降，经沟通了解可知单产</w:t>
      </w:r>
      <w:r>
        <w:rPr>
          <w:rFonts w:hint="default" w:ascii="Times New Roman" w:hAnsi="Times New Roman" w:eastAsia="宋体" w:cs="Times New Roman"/>
          <w:b w:val="0"/>
          <w:color w:val="auto"/>
          <w:kern w:val="2"/>
          <w:highlight w:val="none"/>
          <w:lang w:val="en-US" w:eastAsia="zh-CN"/>
        </w:rPr>
        <w:t>减产的原因</w:t>
      </w:r>
      <w:r>
        <w:rPr>
          <w:rFonts w:hint="eastAsia" w:ascii="Times New Roman" w:hAnsi="Times New Roman" w:eastAsia="宋体" w:cs="Times New Roman"/>
          <w:b w:val="0"/>
          <w:color w:val="auto"/>
          <w:kern w:val="2"/>
          <w:highlight w:val="none"/>
          <w:lang w:val="en-US" w:eastAsia="zh-CN"/>
        </w:rPr>
        <w:t>主要</w:t>
      </w:r>
      <w:r>
        <w:rPr>
          <w:rFonts w:hint="default" w:ascii="Times New Roman" w:hAnsi="Times New Roman" w:eastAsia="宋体" w:cs="Times New Roman"/>
          <w:b w:val="0"/>
          <w:color w:val="auto"/>
          <w:kern w:val="2"/>
          <w:highlight w:val="none"/>
          <w:lang w:val="en-US" w:eastAsia="zh-CN"/>
        </w:rPr>
        <w:t>为：</w:t>
      </w:r>
      <w:r>
        <w:rPr>
          <w:rFonts w:hint="default" w:ascii="Times New Roman" w:hAnsi="Times New Roman" w:eastAsia="宋体" w:cs="Times New Roman"/>
          <w:bCs w:val="0"/>
          <w:color w:val="auto"/>
          <w:kern w:val="2"/>
          <w:highlight w:val="none"/>
          <w:lang w:val="en-US" w:eastAsia="zh-CN"/>
        </w:rPr>
        <w:t>①高产田地块数量2024年比2023年增加、2024年取样面积比2023年增多，冬小麦高产田地块数量增加56块</w:t>
      </w:r>
      <w:r>
        <w:rPr>
          <w:rFonts w:hint="eastAsia" w:ascii="Times New Roman" w:hAnsi="Times New Roman" w:eastAsia="宋体" w:cs="Times New Roman"/>
          <w:bCs w:val="0"/>
          <w:color w:val="auto"/>
          <w:kern w:val="2"/>
          <w:highlight w:val="none"/>
          <w:lang w:val="en-US" w:eastAsia="zh-CN"/>
        </w:rPr>
        <w:t>共</w:t>
      </w:r>
      <w:r>
        <w:rPr>
          <w:rFonts w:hint="default" w:ascii="Times New Roman" w:hAnsi="Times New Roman" w:eastAsia="宋体" w:cs="Times New Roman"/>
          <w:bCs w:val="0"/>
          <w:color w:val="auto"/>
          <w:kern w:val="2"/>
          <w:highlight w:val="none"/>
          <w:lang w:val="en-US" w:eastAsia="zh-CN"/>
        </w:rPr>
        <w:t>增加面积36,324.00亩</w:t>
      </w:r>
      <w:r>
        <w:rPr>
          <w:rFonts w:hint="eastAsia" w:ascii="Times New Roman" w:hAnsi="Times New Roman" w:eastAsia="宋体" w:cs="Times New Roman"/>
          <w:bCs w:val="0"/>
          <w:color w:val="auto"/>
          <w:kern w:val="2"/>
          <w:highlight w:val="none"/>
          <w:lang w:val="en-US" w:eastAsia="zh-CN"/>
        </w:rPr>
        <w:t>，</w:t>
      </w:r>
      <w:r>
        <w:rPr>
          <w:rFonts w:hint="default" w:ascii="Times New Roman" w:hAnsi="Times New Roman" w:eastAsia="宋体" w:cs="Times New Roman"/>
          <w:bCs w:val="0"/>
          <w:color w:val="auto"/>
          <w:kern w:val="2"/>
          <w:highlight w:val="none"/>
          <w:lang w:val="en-US" w:eastAsia="zh-CN"/>
        </w:rPr>
        <w:t>玉米高产田地块增加37块</w:t>
      </w:r>
      <w:r>
        <w:rPr>
          <w:rFonts w:hint="eastAsia" w:ascii="Times New Roman" w:hAnsi="Times New Roman" w:eastAsia="宋体" w:cs="Times New Roman"/>
          <w:bCs w:val="0"/>
          <w:color w:val="auto"/>
          <w:kern w:val="2"/>
          <w:highlight w:val="none"/>
          <w:lang w:val="en-US" w:eastAsia="zh-CN"/>
        </w:rPr>
        <w:t>共</w:t>
      </w:r>
      <w:r>
        <w:rPr>
          <w:rFonts w:hint="default" w:ascii="Times New Roman" w:hAnsi="Times New Roman" w:eastAsia="宋体" w:cs="Times New Roman"/>
          <w:bCs w:val="0"/>
          <w:color w:val="auto"/>
          <w:kern w:val="2"/>
          <w:highlight w:val="none"/>
          <w:lang w:val="en-US" w:eastAsia="zh-CN"/>
        </w:rPr>
        <w:t>增加面积87,451.00亩；②天气因素导致农作物减产，2024年1月份冬小麦积雪没有覆盖裸露出现冻害、4月份回寒天气低温影响冬小麦产量和玉米播种时间；③病虫害也是导致农作物减产的原因，2024年主要农作物病虫害发生面积比2023年增加3.01万亩。</w:t>
      </w:r>
    </w:p>
    <w:p w14:paraId="79081F89">
      <w:pPr>
        <w:spacing w:line="360" w:lineRule="auto"/>
        <w:ind w:firstLine="640"/>
        <w:rPr>
          <w:rFonts w:hint="default" w:ascii="Times New Roman" w:hAnsi="Times New Roman" w:eastAsia="宋体" w:cs="Times New Roman"/>
          <w:b/>
          <w:color w:val="auto"/>
          <w:highlight w:val="none"/>
        </w:rPr>
      </w:pPr>
      <w:r>
        <w:rPr>
          <w:rFonts w:hint="default" w:ascii="Times New Roman" w:hAnsi="Times New Roman" w:eastAsia="宋体" w:cs="Times New Roman"/>
          <w:b/>
          <w:color w:val="auto"/>
          <w:highlight w:val="none"/>
        </w:rPr>
        <w:t>（三）改进建议</w:t>
      </w:r>
    </w:p>
    <w:p w14:paraId="7E03D2C5">
      <w:pPr>
        <w:numPr>
          <w:ilvl w:val="0"/>
          <w:numId w:val="0"/>
        </w:numPr>
        <w:ind w:firstLine="422"/>
        <w:rPr>
          <w:rFonts w:hint="eastAsia" w:ascii="Times New Roman" w:hAnsi="Times New Roman" w:eastAsia="宋体" w:cs="Times New Roman"/>
          <w:b/>
          <w:bCs/>
          <w:color w:val="auto"/>
          <w:highlight w:val="none"/>
        </w:rPr>
      </w:pPr>
      <w:r>
        <w:rPr>
          <w:rFonts w:hint="eastAsia" w:ascii="Times New Roman" w:hAnsi="Times New Roman" w:eastAsia="宋体" w:cs="Times New Roman"/>
          <w:b/>
          <w:bCs/>
          <w:color w:val="auto"/>
          <w:sz w:val="21"/>
          <w:szCs w:val="21"/>
          <w:highlight w:val="none"/>
          <w:lang w:val="en-US" w:eastAsia="zh-CN" w:bidi="ar-SA"/>
        </w:rPr>
        <w:t>1.</w:t>
      </w:r>
      <w:r>
        <w:rPr>
          <w:rFonts w:hint="eastAsia" w:ascii="Times New Roman" w:hAnsi="Times New Roman" w:eastAsia="宋体" w:cs="Times New Roman"/>
          <w:b/>
          <w:bCs/>
          <w:color w:val="auto"/>
          <w:highlight w:val="none"/>
        </w:rPr>
        <w:t>进一步加强财务管理的规范性</w:t>
      </w:r>
    </w:p>
    <w:p w14:paraId="7C8B1003">
      <w:pPr>
        <w:ind w:firstLine="422"/>
        <w:rPr>
          <w:rFonts w:hint="eastAsia" w:ascii="Times New Roman" w:hAnsi="Times New Roman" w:eastAsia="宋体" w:cs="Times New Roman"/>
          <w:b w:val="0"/>
          <w:bCs/>
          <w:color w:val="auto"/>
          <w:kern w:val="0"/>
          <w:sz w:val="21"/>
          <w:szCs w:val="21"/>
          <w:highlight w:val="none"/>
          <w:lang w:val="en-US" w:eastAsia="zh-CN" w:bidi="ar-SA"/>
        </w:rPr>
      </w:pPr>
      <w:r>
        <w:rPr>
          <w:rFonts w:hint="eastAsia" w:ascii="Times New Roman" w:hAnsi="Times New Roman" w:eastAsia="宋体" w:cs="Times New Roman"/>
          <w:b w:val="0"/>
          <w:bCs/>
          <w:color w:val="auto"/>
          <w:kern w:val="0"/>
          <w:sz w:val="21"/>
          <w:szCs w:val="21"/>
          <w:highlight w:val="none"/>
          <w:lang w:val="en-US" w:eastAsia="zh-CN" w:bidi="ar-SA"/>
        </w:rPr>
        <w:t>建议部门单位严格按照国家财经法规和财务管理制度相关规定加强财务管理，确保各岗位审批职责落实到位，规范开展财务支出审批程序；加强单位内部监督检查力度，对经济业务活动进行全面检查和评估，及时发现问题并积极进行整改，确保财务管理规范性；定期组织财务、业务部门进行专题培训，针对</w:t>
      </w:r>
      <w:r>
        <w:rPr>
          <w:rFonts w:hint="eastAsia" w:ascii="Times New Roman" w:hAnsi="Times New Roman" w:eastAsia="宋体" w:cs="Times New Roman"/>
          <w:b w:val="0"/>
          <w:i w:val="0"/>
          <w:iCs w:val="0"/>
          <w:caps w:val="0"/>
          <w:color w:val="auto"/>
          <w:spacing w:val="0"/>
          <w:kern w:val="0"/>
          <w:sz w:val="21"/>
          <w:szCs w:val="21"/>
          <w:highlight w:val="none"/>
          <w:shd w:val="clear"/>
        </w:rPr>
        <w:t>政府采购讲解流程规范、供应商选择、合同管理及质疑投诉处理</w:t>
      </w:r>
      <w:r>
        <w:rPr>
          <w:rFonts w:hint="eastAsia" w:ascii="Times New Roman" w:hAnsi="Times New Roman" w:eastAsia="宋体" w:cs="Times New Roman"/>
          <w:b w:val="0"/>
          <w:i w:val="0"/>
          <w:iCs w:val="0"/>
          <w:caps w:val="0"/>
          <w:color w:val="auto"/>
          <w:spacing w:val="0"/>
          <w:kern w:val="0"/>
          <w:sz w:val="21"/>
          <w:szCs w:val="21"/>
          <w:highlight w:val="none"/>
          <w:shd w:val="clear"/>
          <w:lang w:eastAsia="zh-CN"/>
        </w:rPr>
        <w:t>，</w:t>
      </w:r>
      <w:r>
        <w:rPr>
          <w:rFonts w:hint="eastAsia" w:ascii="Times New Roman" w:hAnsi="Times New Roman" w:eastAsia="宋体" w:cs="Times New Roman"/>
          <w:b w:val="0"/>
          <w:i w:val="0"/>
          <w:iCs w:val="0"/>
          <w:caps w:val="0"/>
          <w:color w:val="auto"/>
          <w:spacing w:val="0"/>
          <w:kern w:val="0"/>
          <w:sz w:val="21"/>
          <w:szCs w:val="21"/>
          <w:highlight w:val="none"/>
          <w:shd w:val="clear"/>
        </w:rPr>
        <w:t>差旅费明确报销标准、审批流程、票据要求及特殊情况处理</w:t>
      </w:r>
      <w:r>
        <w:rPr>
          <w:rFonts w:hint="eastAsia" w:ascii="Times New Roman" w:hAnsi="Times New Roman" w:eastAsia="宋体" w:cs="Times New Roman"/>
          <w:b w:val="0"/>
          <w:i w:val="0"/>
          <w:iCs w:val="0"/>
          <w:caps w:val="0"/>
          <w:color w:val="auto"/>
          <w:spacing w:val="0"/>
          <w:kern w:val="0"/>
          <w:sz w:val="21"/>
          <w:szCs w:val="21"/>
          <w:highlight w:val="none"/>
          <w:shd w:val="clear"/>
          <w:lang w:eastAsia="zh-CN"/>
        </w:rPr>
        <w:t>，</w:t>
      </w:r>
      <w:r>
        <w:rPr>
          <w:rFonts w:hint="eastAsia" w:ascii="Times New Roman" w:hAnsi="Times New Roman" w:eastAsia="宋体" w:cs="Times New Roman"/>
          <w:b w:val="0"/>
          <w:i w:val="0"/>
          <w:iCs w:val="0"/>
          <w:caps w:val="0"/>
          <w:color w:val="auto"/>
          <w:spacing w:val="0"/>
          <w:kern w:val="0"/>
          <w:sz w:val="21"/>
          <w:szCs w:val="21"/>
          <w:highlight w:val="none"/>
          <w:shd w:val="clear"/>
        </w:rPr>
        <w:t>费用报销及合规性把控</w:t>
      </w:r>
      <w:r>
        <w:rPr>
          <w:rFonts w:hint="eastAsia" w:ascii="Times New Roman" w:hAnsi="Times New Roman" w:eastAsia="宋体" w:cs="Times New Roman"/>
          <w:b w:val="0"/>
          <w:i w:val="0"/>
          <w:iCs w:val="0"/>
          <w:caps w:val="0"/>
          <w:color w:val="auto"/>
          <w:spacing w:val="0"/>
          <w:kern w:val="0"/>
          <w:sz w:val="21"/>
          <w:szCs w:val="21"/>
          <w:highlight w:val="none"/>
          <w:shd w:val="clear"/>
          <w:lang w:val="en-US" w:eastAsia="zh-CN"/>
        </w:rPr>
        <w:t>等内容进行培训</w:t>
      </w:r>
      <w:r>
        <w:rPr>
          <w:rFonts w:hint="eastAsia" w:ascii="Times New Roman" w:hAnsi="Times New Roman" w:eastAsia="宋体" w:cs="Times New Roman"/>
          <w:b w:val="0"/>
          <w:i w:val="0"/>
          <w:iCs w:val="0"/>
          <w:caps w:val="0"/>
          <w:color w:val="auto"/>
          <w:spacing w:val="0"/>
          <w:kern w:val="0"/>
          <w:sz w:val="21"/>
          <w:szCs w:val="21"/>
          <w:highlight w:val="none"/>
          <w:shd w:val="clear"/>
          <w:lang w:eastAsia="zh-CN"/>
        </w:rPr>
        <w:t>，</w:t>
      </w:r>
      <w:r>
        <w:rPr>
          <w:rFonts w:hint="eastAsia" w:ascii="Times New Roman" w:hAnsi="Times New Roman" w:eastAsia="宋体" w:cs="Times New Roman"/>
          <w:b w:val="0"/>
          <w:i w:val="0"/>
          <w:iCs w:val="0"/>
          <w:caps w:val="0"/>
          <w:color w:val="auto"/>
          <w:spacing w:val="0"/>
          <w:kern w:val="0"/>
          <w:sz w:val="21"/>
          <w:szCs w:val="21"/>
          <w:highlight w:val="none"/>
          <w:shd w:val="clear"/>
          <w:lang w:val="en-US" w:eastAsia="zh-CN"/>
        </w:rPr>
        <w:t>不断提升单位内部人员的业务能力</w:t>
      </w:r>
      <w:r>
        <w:rPr>
          <w:rFonts w:hint="eastAsia" w:ascii="Times New Roman" w:hAnsi="Times New Roman" w:eastAsia="宋体" w:cs="Times New Roman"/>
          <w:highlight w:val="none"/>
          <w:lang w:eastAsia="zh-CN"/>
        </w:rPr>
        <w:t>，</w:t>
      </w:r>
      <w:r>
        <w:rPr>
          <w:rFonts w:hint="eastAsia" w:ascii="Times New Roman" w:hAnsi="Times New Roman" w:eastAsia="宋体" w:cs="Times New Roman"/>
          <w:b w:val="0"/>
          <w:i w:val="0"/>
          <w:iCs w:val="0"/>
          <w:caps w:val="0"/>
          <w:color w:val="auto"/>
          <w:spacing w:val="0"/>
          <w:kern w:val="0"/>
          <w:sz w:val="21"/>
          <w:szCs w:val="21"/>
          <w:highlight w:val="none"/>
          <w:shd w:val="clear"/>
        </w:rPr>
        <w:t>防范廉政与财务风险，提升资金效益，助力单位高效运转。</w:t>
      </w:r>
    </w:p>
    <w:p w14:paraId="085F2B9D">
      <w:pPr>
        <w:wordWrap w:val="0"/>
        <w:topLinePunct/>
        <w:ind w:firstLine="420"/>
        <w:rPr>
          <w:rFonts w:hint="default" w:ascii="Times New Roman" w:hAnsi="Times New Roman" w:eastAsia="宋体" w:cs="Times New Roman"/>
          <w:b/>
          <w:bCs/>
          <w:color w:val="auto"/>
          <w:highlight w:val="none"/>
          <w:lang w:val="en-US" w:eastAsia="zh-CN"/>
        </w:rPr>
      </w:pPr>
      <w:r>
        <w:rPr>
          <w:rFonts w:hint="eastAsia" w:ascii="Times New Roman" w:hAnsi="Times New Roman" w:eastAsia="宋体" w:cs="Times New Roman"/>
          <w:b/>
          <w:bCs/>
          <w:color w:val="auto"/>
          <w:highlight w:val="none"/>
          <w:lang w:val="en-US" w:eastAsia="zh-CN"/>
        </w:rPr>
        <w:t>2.加强病虫害预警监测，以及培训宣传和技术指导服务工作，促进农业增效</w:t>
      </w:r>
    </w:p>
    <w:p w14:paraId="585BD8A1">
      <w:pPr>
        <w:wordWrap w:val="0"/>
        <w:topLinePunct/>
        <w:ind w:firstLine="420"/>
        <w:rPr>
          <w:rFonts w:hint="default" w:ascii="Times New Roman" w:hAnsi="Times New Roman" w:eastAsia="宋体" w:cs="Times New Roman"/>
          <w:b w:val="0"/>
          <w:bCs w:val="0"/>
          <w:color w:val="auto"/>
          <w:kern w:val="0"/>
          <w:sz w:val="21"/>
          <w:szCs w:val="21"/>
          <w:highlight w:val="none"/>
          <w:lang w:val="en-US" w:eastAsia="zh-CN" w:bidi="ar-SA"/>
        </w:rPr>
        <w:sectPr>
          <w:headerReference r:id="rId7" w:type="default"/>
          <w:footerReference r:id="rId8" w:type="default"/>
          <w:pgSz w:w="11906" w:h="16838"/>
          <w:pgMar w:top="1440" w:right="1800" w:bottom="1440" w:left="1800" w:header="851" w:footer="907" w:gutter="0"/>
          <w:pgBorders>
            <w:top w:val="none" w:sz="0" w:space="0"/>
            <w:left w:val="none" w:sz="0" w:space="0"/>
            <w:bottom w:val="none" w:sz="0" w:space="0"/>
            <w:right w:val="none" w:sz="0" w:space="0"/>
          </w:pgBorders>
          <w:pgNumType w:fmt="upperRoman" w:start="1"/>
          <w:cols w:space="425" w:num="1"/>
          <w:docGrid w:type="lines" w:linePitch="312" w:charSpace="0"/>
        </w:sectPr>
      </w:pPr>
      <w:r>
        <w:rPr>
          <w:rFonts w:hint="eastAsia" w:ascii="Times New Roman" w:hAnsi="Times New Roman" w:eastAsia="宋体" w:cs="Times New Roman"/>
          <w:b w:val="0"/>
          <w:bCs w:val="0"/>
          <w:color w:val="auto"/>
          <w:highlight w:val="none"/>
          <w:lang w:val="en-US" w:eastAsia="zh-CN"/>
        </w:rPr>
        <w:t>建议部门：一是利用冬季大培训、田间课堂等形式，通过课堂理论、田间实践等模式，多种渠道、采取多种形式加强培训宣传及技术指导服务，提升农民群众科学施肥、绿色防控病虫害、科学种粮等技术水平，促进农业增效。二是用好“四定一查”,加强病虫害预警监测，多渠道宣传发布农作物病虫害发生动态和预报病情，强化群众预防和应对处置农业病虫害发生的意识。三是强化高产田的包联，强化粮油作物全生命周期的技术管护，实现主要粮食作物单产再提升，促进农业增效</w:t>
      </w:r>
      <w:r>
        <w:rPr>
          <w:rFonts w:hint="default" w:ascii="Times New Roman" w:hAnsi="Times New Roman" w:eastAsia="宋体" w:cs="Times New Roman"/>
          <w:b w:val="0"/>
          <w:bCs w:val="0"/>
          <w:color w:val="auto"/>
          <w:kern w:val="0"/>
          <w:sz w:val="21"/>
          <w:szCs w:val="21"/>
          <w:highlight w:val="none"/>
          <w:lang w:val="en-US" w:eastAsia="zh-CN"/>
        </w:rPr>
        <w:t>。</w:t>
      </w:r>
    </w:p>
    <w:sdt>
      <w:sdtPr>
        <w:rPr>
          <w:rFonts w:hint="default" w:ascii="Times New Roman" w:hAnsi="Times New Roman" w:eastAsia="宋体" w:cs="Times New Roman"/>
          <w:bCs/>
          <w:color w:val="auto"/>
          <w:kern w:val="2"/>
          <w:sz w:val="21"/>
          <w:szCs w:val="22"/>
          <w:highlight w:val="none"/>
        </w:rPr>
        <w:id w:val="147469479"/>
        <w:docPartObj>
          <w:docPartGallery w:val="Table of Contents"/>
          <w:docPartUnique/>
        </w:docPartObj>
      </w:sdtPr>
      <w:sdtEndPr>
        <w:rPr>
          <w:rFonts w:hint="default" w:ascii="Times New Roman" w:hAnsi="Times New Roman" w:eastAsia="宋体" w:cs="Times New Roman"/>
          <w:bCs/>
          <w:color w:val="auto"/>
          <w:kern w:val="2"/>
          <w:sz w:val="21"/>
          <w:szCs w:val="21"/>
          <w:highlight w:val="none"/>
        </w:rPr>
      </w:sdtEndPr>
      <w:sdtContent>
        <w:p w14:paraId="7E7B0A43">
          <w:pPr>
            <w:spacing w:line="300" w:lineRule="auto"/>
            <w:ind w:firstLine="0" w:firstLineChars="0"/>
            <w:jc w:val="center"/>
            <w:rPr>
              <w:rFonts w:hint="default" w:ascii="Times New Roman" w:hAnsi="Times New Roman" w:eastAsia="宋体" w:cs="Times New Roman"/>
              <w:bCs/>
              <w:color w:val="auto"/>
              <w:sz w:val="21"/>
              <w:szCs w:val="21"/>
              <w:highlight w:val="none"/>
              <w:lang w:val="en-US" w:eastAsia="zh-CN" w:bidi="ar-SA"/>
            </w:rPr>
          </w:pPr>
          <w:bookmarkStart w:id="83" w:name="_GoBack"/>
          <w:bookmarkEnd w:id="83"/>
          <w:r>
            <w:rPr>
              <w:rFonts w:hint="default" w:ascii="Times New Roman" w:hAnsi="Times New Roman" w:eastAsia="黑体" w:cs="Times New Roman"/>
              <w:bCs/>
              <w:color w:val="auto"/>
              <w:sz w:val="28"/>
              <w:szCs w:val="44"/>
              <w:highlight w:val="none"/>
            </w:rPr>
            <w:t>目录</w:t>
          </w:r>
          <w:r>
            <w:rPr>
              <w:rFonts w:hint="default" w:ascii="Times New Roman" w:hAnsi="Times New Roman" w:eastAsia="宋体" w:cs="Times New Roman"/>
              <w:bCs/>
              <w:color w:val="auto"/>
              <w:highlight w:val="none"/>
            </w:rPr>
            <w:fldChar w:fldCharType="begin"/>
          </w:r>
          <w:r>
            <w:rPr>
              <w:rFonts w:hint="default" w:ascii="Times New Roman" w:hAnsi="Times New Roman" w:eastAsia="宋体" w:cs="Times New Roman"/>
              <w:bCs/>
              <w:color w:val="auto"/>
              <w:highlight w:val="none"/>
            </w:rPr>
            <w:instrText xml:space="preserve">TOC \o "1-2" \h \u </w:instrText>
          </w:r>
          <w:r>
            <w:rPr>
              <w:rFonts w:hint="default" w:ascii="Times New Roman" w:hAnsi="Times New Roman" w:eastAsia="宋体" w:cs="Times New Roman"/>
              <w:bCs/>
              <w:color w:val="auto"/>
              <w:highlight w:val="none"/>
            </w:rPr>
            <w:fldChar w:fldCharType="separate"/>
          </w:r>
        </w:p>
        <w:p w14:paraId="6ECDFC4B">
          <w:pPr>
            <w:pStyle w:val="15"/>
            <w:tabs>
              <w:tab w:val="right" w:leader="dot" w:pos="8306"/>
              <w:tab w:val="clear" w:pos="935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_Toc26109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color w:val="auto"/>
              <w:sz w:val="22"/>
              <w:szCs w:val="22"/>
              <w:highlight w:val="none"/>
            </w:rPr>
            <w:t>一、部门基本情况</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_Toc26109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1</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14:paraId="62C4244D">
          <w:pPr>
            <w:pStyle w:val="16"/>
            <w:tabs>
              <w:tab w:val="right" w:leader="dot" w:pos="830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_Toc29273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bCs w:val="0"/>
              <w:color w:val="auto"/>
              <w:sz w:val="22"/>
              <w:szCs w:val="22"/>
              <w:highlight w:val="none"/>
            </w:rPr>
            <w:t>（一）单位概况</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_Toc29273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1</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14:paraId="7C1E41F5">
          <w:pPr>
            <w:pStyle w:val="16"/>
            <w:tabs>
              <w:tab w:val="right" w:leader="dot" w:pos="830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_Toc14859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bCs w:val="0"/>
              <w:color w:val="auto"/>
              <w:sz w:val="22"/>
              <w:szCs w:val="22"/>
              <w:highlight w:val="none"/>
            </w:rPr>
            <w:t>（二）部门资金投入和使用情况</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_Toc14859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1</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14:paraId="607E7730">
          <w:pPr>
            <w:pStyle w:val="16"/>
            <w:tabs>
              <w:tab w:val="right" w:leader="dot" w:pos="830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_Toc2772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bCs w:val="0"/>
              <w:color w:val="auto"/>
              <w:sz w:val="22"/>
              <w:szCs w:val="22"/>
              <w:highlight w:val="none"/>
            </w:rPr>
            <w:t>（</w:t>
          </w:r>
          <w:r>
            <w:rPr>
              <w:rFonts w:hint="default" w:ascii="Times New Roman" w:hAnsi="Times New Roman" w:eastAsia="宋体" w:cs="Times New Roman"/>
              <w:bCs w:val="0"/>
              <w:color w:val="auto"/>
              <w:sz w:val="22"/>
              <w:szCs w:val="22"/>
              <w:highlight w:val="none"/>
              <w:lang w:val="en-US" w:eastAsia="zh-CN"/>
            </w:rPr>
            <w:t>三</w:t>
          </w:r>
          <w:r>
            <w:rPr>
              <w:rFonts w:hint="default" w:ascii="Times New Roman" w:hAnsi="Times New Roman" w:eastAsia="宋体" w:cs="Times New Roman"/>
              <w:bCs w:val="0"/>
              <w:color w:val="auto"/>
              <w:sz w:val="22"/>
              <w:szCs w:val="22"/>
              <w:highlight w:val="none"/>
            </w:rPr>
            <w:t>）部门</w:t>
          </w:r>
          <w:r>
            <w:rPr>
              <w:rFonts w:hint="default" w:ascii="Times New Roman" w:hAnsi="Times New Roman" w:eastAsia="宋体" w:cs="Times New Roman"/>
              <w:bCs w:val="0"/>
              <w:color w:val="auto"/>
              <w:sz w:val="22"/>
              <w:szCs w:val="22"/>
              <w:highlight w:val="none"/>
              <w:lang w:val="en-US" w:eastAsia="zh-CN"/>
            </w:rPr>
            <w:t>资产</w:t>
          </w:r>
          <w:r>
            <w:rPr>
              <w:rFonts w:hint="default" w:ascii="Times New Roman" w:hAnsi="Times New Roman" w:eastAsia="宋体" w:cs="Times New Roman"/>
              <w:bCs w:val="0"/>
              <w:color w:val="auto"/>
              <w:sz w:val="22"/>
              <w:szCs w:val="22"/>
              <w:highlight w:val="none"/>
            </w:rPr>
            <w:t>情况</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_Toc2772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2</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14:paraId="5F777AF9">
          <w:pPr>
            <w:pStyle w:val="16"/>
            <w:tabs>
              <w:tab w:val="right" w:leader="dot" w:pos="830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_Toc5709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bCs w:val="0"/>
              <w:color w:val="auto"/>
              <w:sz w:val="22"/>
              <w:szCs w:val="22"/>
              <w:highlight w:val="none"/>
            </w:rPr>
            <w:t>（</w:t>
          </w:r>
          <w:r>
            <w:rPr>
              <w:rFonts w:hint="default" w:ascii="Times New Roman" w:hAnsi="Times New Roman" w:eastAsia="宋体" w:cs="Times New Roman"/>
              <w:bCs w:val="0"/>
              <w:color w:val="auto"/>
              <w:sz w:val="22"/>
              <w:szCs w:val="22"/>
              <w:highlight w:val="none"/>
              <w:lang w:val="en-US" w:eastAsia="zh-CN"/>
            </w:rPr>
            <w:t>四</w:t>
          </w:r>
          <w:r>
            <w:rPr>
              <w:rFonts w:hint="default" w:ascii="Times New Roman" w:hAnsi="Times New Roman" w:eastAsia="宋体" w:cs="Times New Roman"/>
              <w:bCs w:val="0"/>
              <w:color w:val="auto"/>
              <w:sz w:val="22"/>
              <w:szCs w:val="22"/>
              <w:highlight w:val="none"/>
            </w:rPr>
            <w:t>）部门整体绩效目标</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_Toc5709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3</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14:paraId="60CE5589">
          <w:pPr>
            <w:pStyle w:val="15"/>
            <w:tabs>
              <w:tab w:val="right" w:leader="dot" w:pos="8306"/>
              <w:tab w:val="clear" w:pos="935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_Toc23062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color w:val="auto"/>
              <w:sz w:val="22"/>
              <w:szCs w:val="22"/>
              <w:highlight w:val="none"/>
            </w:rPr>
            <w:t>二、绩效评价工作开展情况</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_Toc23062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5</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14:paraId="6CF3C822">
          <w:pPr>
            <w:pStyle w:val="16"/>
            <w:tabs>
              <w:tab w:val="right" w:leader="dot" w:pos="830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_Toc32015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bCs w:val="0"/>
              <w:color w:val="auto"/>
              <w:sz w:val="22"/>
              <w:szCs w:val="22"/>
              <w:highlight w:val="none"/>
            </w:rPr>
            <w:t>（一）绩效评价目的</w:t>
          </w:r>
          <w:r>
            <w:rPr>
              <w:rFonts w:hint="default" w:ascii="Times New Roman" w:hAnsi="Times New Roman" w:eastAsia="宋体" w:cs="Times New Roman"/>
              <w:bCs w:val="0"/>
              <w:color w:val="auto"/>
              <w:sz w:val="22"/>
              <w:szCs w:val="22"/>
              <w:highlight w:val="none"/>
              <w:lang w:val="en-US" w:eastAsia="zh-CN"/>
            </w:rPr>
            <w:t>及依据</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_Toc32015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5</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14:paraId="50E32616">
          <w:pPr>
            <w:pStyle w:val="16"/>
            <w:tabs>
              <w:tab w:val="right" w:leader="dot" w:pos="830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_Toc9812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color w:val="auto"/>
              <w:sz w:val="22"/>
              <w:szCs w:val="22"/>
              <w:highlight w:val="none"/>
              <w:lang w:eastAsia="zh-CN"/>
            </w:rPr>
            <w:t>（</w:t>
          </w:r>
          <w:r>
            <w:rPr>
              <w:rFonts w:hint="default" w:ascii="Times New Roman" w:hAnsi="Times New Roman" w:eastAsia="宋体" w:cs="Times New Roman"/>
              <w:color w:val="auto"/>
              <w:sz w:val="22"/>
              <w:szCs w:val="22"/>
              <w:highlight w:val="none"/>
              <w:lang w:val="en-US" w:eastAsia="zh-CN"/>
            </w:rPr>
            <w:t>二</w:t>
          </w:r>
          <w:r>
            <w:rPr>
              <w:rFonts w:hint="default" w:ascii="Times New Roman" w:hAnsi="Times New Roman" w:eastAsia="宋体" w:cs="Times New Roman"/>
              <w:color w:val="auto"/>
              <w:sz w:val="22"/>
              <w:szCs w:val="22"/>
              <w:highlight w:val="none"/>
              <w:lang w:eastAsia="zh-CN"/>
            </w:rPr>
            <w:t>）</w:t>
          </w:r>
          <w:r>
            <w:rPr>
              <w:rFonts w:hint="default" w:ascii="Times New Roman" w:hAnsi="Times New Roman" w:eastAsia="宋体" w:cs="Times New Roman"/>
              <w:color w:val="auto"/>
              <w:sz w:val="22"/>
              <w:szCs w:val="22"/>
              <w:highlight w:val="none"/>
            </w:rPr>
            <w:t>绩效评价对象及范围</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_Toc9812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6</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14:paraId="3BC52033">
          <w:pPr>
            <w:pStyle w:val="16"/>
            <w:tabs>
              <w:tab w:val="right" w:leader="dot" w:pos="830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_Toc7270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color w:val="auto"/>
              <w:sz w:val="22"/>
              <w:szCs w:val="22"/>
              <w:highlight w:val="none"/>
              <w:lang w:eastAsia="zh-CN"/>
            </w:rPr>
            <w:t>（</w:t>
          </w:r>
          <w:r>
            <w:rPr>
              <w:rFonts w:hint="default" w:ascii="Times New Roman" w:hAnsi="Times New Roman" w:eastAsia="宋体" w:cs="Times New Roman"/>
              <w:color w:val="auto"/>
              <w:sz w:val="22"/>
              <w:szCs w:val="22"/>
              <w:highlight w:val="none"/>
              <w:lang w:val="en-US" w:eastAsia="zh-CN"/>
            </w:rPr>
            <w:t>三</w:t>
          </w:r>
          <w:r>
            <w:rPr>
              <w:rFonts w:hint="default" w:ascii="Times New Roman" w:hAnsi="Times New Roman" w:eastAsia="宋体" w:cs="Times New Roman"/>
              <w:color w:val="auto"/>
              <w:sz w:val="22"/>
              <w:szCs w:val="22"/>
              <w:highlight w:val="none"/>
              <w:lang w:eastAsia="zh-CN"/>
            </w:rPr>
            <w:t>）</w:t>
          </w:r>
          <w:r>
            <w:rPr>
              <w:rFonts w:hint="default" w:ascii="Times New Roman" w:hAnsi="Times New Roman" w:eastAsia="宋体" w:cs="Times New Roman"/>
              <w:color w:val="auto"/>
              <w:sz w:val="22"/>
              <w:szCs w:val="22"/>
              <w:highlight w:val="none"/>
            </w:rPr>
            <w:t>绩效评价原则</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_Toc7270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6</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14:paraId="4AB5518A">
          <w:pPr>
            <w:pStyle w:val="16"/>
            <w:tabs>
              <w:tab w:val="right" w:leader="dot" w:pos="830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_Toc11067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bCs w:val="0"/>
              <w:color w:val="auto"/>
              <w:sz w:val="22"/>
              <w:szCs w:val="22"/>
              <w:highlight w:val="none"/>
            </w:rPr>
            <w:t>（</w:t>
          </w:r>
          <w:r>
            <w:rPr>
              <w:rFonts w:hint="default" w:ascii="Times New Roman" w:hAnsi="Times New Roman" w:eastAsia="宋体" w:cs="Times New Roman"/>
              <w:bCs w:val="0"/>
              <w:color w:val="auto"/>
              <w:sz w:val="22"/>
              <w:szCs w:val="22"/>
              <w:highlight w:val="none"/>
              <w:lang w:val="en-US" w:eastAsia="zh-CN"/>
            </w:rPr>
            <w:t>四</w:t>
          </w:r>
          <w:r>
            <w:rPr>
              <w:rFonts w:hint="default" w:ascii="Times New Roman" w:hAnsi="Times New Roman" w:eastAsia="宋体" w:cs="Times New Roman"/>
              <w:bCs w:val="0"/>
              <w:color w:val="auto"/>
              <w:sz w:val="22"/>
              <w:szCs w:val="22"/>
              <w:highlight w:val="none"/>
            </w:rPr>
            <w:t>）绩效评价思路及评价指标体系</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_Toc11067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6</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14:paraId="78912FE4">
          <w:pPr>
            <w:pStyle w:val="16"/>
            <w:tabs>
              <w:tab w:val="right" w:leader="dot" w:pos="830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_Toc6030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color w:val="auto"/>
              <w:sz w:val="22"/>
              <w:szCs w:val="22"/>
              <w:highlight w:val="none"/>
              <w:lang w:eastAsia="zh-CN"/>
            </w:rPr>
            <w:t>（</w:t>
          </w:r>
          <w:r>
            <w:rPr>
              <w:rFonts w:hint="default" w:ascii="Times New Roman" w:hAnsi="Times New Roman" w:eastAsia="宋体" w:cs="Times New Roman"/>
              <w:color w:val="auto"/>
              <w:sz w:val="22"/>
              <w:szCs w:val="22"/>
              <w:highlight w:val="none"/>
              <w:lang w:val="en-US" w:eastAsia="zh-CN"/>
            </w:rPr>
            <w:t>五</w:t>
          </w:r>
          <w:r>
            <w:rPr>
              <w:rFonts w:hint="default" w:ascii="Times New Roman" w:hAnsi="Times New Roman" w:eastAsia="宋体" w:cs="Times New Roman"/>
              <w:color w:val="auto"/>
              <w:sz w:val="22"/>
              <w:szCs w:val="22"/>
              <w:highlight w:val="none"/>
              <w:lang w:eastAsia="zh-CN"/>
            </w:rPr>
            <w:t>）</w:t>
          </w:r>
          <w:r>
            <w:rPr>
              <w:rFonts w:hint="default" w:ascii="Times New Roman" w:hAnsi="Times New Roman" w:eastAsia="宋体" w:cs="Times New Roman"/>
              <w:color w:val="auto"/>
              <w:sz w:val="22"/>
              <w:szCs w:val="22"/>
              <w:highlight w:val="none"/>
            </w:rPr>
            <w:t>绩效评价方法</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_Toc6030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8</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14:paraId="090E636A">
          <w:pPr>
            <w:pStyle w:val="16"/>
            <w:tabs>
              <w:tab w:val="right" w:leader="dot" w:pos="830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_Toc1104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bCs w:val="0"/>
              <w:color w:val="auto"/>
              <w:sz w:val="22"/>
              <w:szCs w:val="22"/>
              <w:highlight w:val="none"/>
            </w:rPr>
            <w:t>（</w:t>
          </w:r>
          <w:r>
            <w:rPr>
              <w:rFonts w:hint="default" w:ascii="Times New Roman" w:hAnsi="Times New Roman" w:eastAsia="宋体" w:cs="Times New Roman"/>
              <w:bCs w:val="0"/>
              <w:color w:val="auto"/>
              <w:sz w:val="22"/>
              <w:szCs w:val="22"/>
              <w:highlight w:val="none"/>
              <w:lang w:val="en-US" w:eastAsia="zh-CN"/>
            </w:rPr>
            <w:t>六</w:t>
          </w:r>
          <w:r>
            <w:rPr>
              <w:rFonts w:hint="default" w:ascii="Times New Roman" w:hAnsi="Times New Roman" w:eastAsia="宋体" w:cs="Times New Roman"/>
              <w:bCs w:val="0"/>
              <w:color w:val="auto"/>
              <w:sz w:val="22"/>
              <w:szCs w:val="22"/>
              <w:highlight w:val="none"/>
            </w:rPr>
            <w:t>）绩效评价过程</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_Toc1104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10</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14:paraId="70ADDD2C">
          <w:pPr>
            <w:pStyle w:val="15"/>
            <w:tabs>
              <w:tab w:val="right" w:leader="dot" w:pos="8306"/>
              <w:tab w:val="clear" w:pos="935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_Toc29768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color w:val="auto"/>
              <w:sz w:val="22"/>
              <w:szCs w:val="22"/>
              <w:highlight w:val="none"/>
            </w:rPr>
            <w:t>三、综合评价情况及评价结论</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_Toc29768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12</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14:paraId="1AA5211A">
          <w:pPr>
            <w:pStyle w:val="16"/>
            <w:tabs>
              <w:tab w:val="right" w:leader="dot" w:pos="830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_Toc24412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bCs w:val="0"/>
              <w:color w:val="auto"/>
              <w:sz w:val="22"/>
              <w:szCs w:val="22"/>
              <w:highlight w:val="none"/>
            </w:rPr>
            <w:t>（一）绩效评价结果</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_Toc24412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12</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14:paraId="22BD1645">
          <w:pPr>
            <w:pStyle w:val="16"/>
            <w:tabs>
              <w:tab w:val="right" w:leader="dot" w:pos="830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_Toc5144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bCs w:val="0"/>
              <w:color w:val="auto"/>
              <w:sz w:val="22"/>
              <w:szCs w:val="22"/>
              <w:highlight w:val="none"/>
            </w:rPr>
            <w:t>（二）</w:t>
          </w:r>
          <w:r>
            <w:rPr>
              <w:rFonts w:hint="default" w:ascii="Times New Roman" w:hAnsi="Times New Roman" w:eastAsia="宋体" w:cs="Times New Roman"/>
              <w:color w:val="auto"/>
              <w:sz w:val="22"/>
              <w:szCs w:val="22"/>
              <w:highlight w:val="none"/>
              <w:lang w:val="en-US" w:eastAsia="zh-CN"/>
            </w:rPr>
            <w:t>综合评价结论</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_Toc5144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13</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14:paraId="0F6FA1EE">
          <w:pPr>
            <w:pStyle w:val="15"/>
            <w:tabs>
              <w:tab w:val="right" w:leader="dot" w:pos="8306"/>
              <w:tab w:val="clear" w:pos="935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_Toc24360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color w:val="auto"/>
              <w:sz w:val="22"/>
              <w:szCs w:val="22"/>
              <w:highlight w:val="none"/>
            </w:rPr>
            <w:t>四、绩效评价指标分析</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_Toc24360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13</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14:paraId="1F2AF0E1">
          <w:pPr>
            <w:pStyle w:val="16"/>
            <w:tabs>
              <w:tab w:val="right" w:leader="dot" w:pos="830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_Toc8347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bCs w:val="0"/>
              <w:color w:val="auto"/>
              <w:sz w:val="22"/>
              <w:szCs w:val="22"/>
              <w:highlight w:val="none"/>
            </w:rPr>
            <w:t>（一）部门决策情况</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_Toc8347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13</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14:paraId="4EC915C6">
          <w:pPr>
            <w:pStyle w:val="16"/>
            <w:tabs>
              <w:tab w:val="right" w:leader="dot" w:pos="830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_Toc6414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bCs w:val="0"/>
              <w:color w:val="auto"/>
              <w:sz w:val="22"/>
              <w:szCs w:val="22"/>
              <w:highlight w:val="none"/>
            </w:rPr>
            <w:t>（二）部门管理情况</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_Toc6414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15</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14:paraId="72F5F27A">
          <w:pPr>
            <w:pStyle w:val="16"/>
            <w:tabs>
              <w:tab w:val="right" w:leader="dot" w:pos="830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_Toc19266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bCs w:val="0"/>
              <w:color w:val="auto"/>
              <w:sz w:val="22"/>
              <w:szCs w:val="22"/>
              <w:highlight w:val="none"/>
            </w:rPr>
            <w:t>（三）部门</w:t>
          </w:r>
          <w:r>
            <w:rPr>
              <w:rFonts w:hint="default" w:ascii="Times New Roman" w:hAnsi="Times New Roman" w:eastAsia="宋体" w:cs="Times New Roman"/>
              <w:bCs w:val="0"/>
              <w:color w:val="auto"/>
              <w:sz w:val="22"/>
              <w:szCs w:val="22"/>
              <w:highlight w:val="none"/>
              <w:lang w:val="en-US" w:eastAsia="zh-CN"/>
            </w:rPr>
            <w:t>绩效</w:t>
          </w:r>
          <w:r>
            <w:rPr>
              <w:rFonts w:hint="default" w:ascii="Times New Roman" w:hAnsi="Times New Roman" w:eastAsia="宋体" w:cs="Times New Roman"/>
              <w:bCs w:val="0"/>
              <w:color w:val="auto"/>
              <w:sz w:val="22"/>
              <w:szCs w:val="22"/>
              <w:highlight w:val="none"/>
            </w:rPr>
            <w:t>情况</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_Toc19266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18</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14:paraId="49C0B589">
          <w:pPr>
            <w:pStyle w:val="15"/>
            <w:tabs>
              <w:tab w:val="right" w:leader="dot" w:pos="8306"/>
              <w:tab w:val="clear" w:pos="935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_Toc11312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bCs w:val="0"/>
              <w:color w:val="auto"/>
              <w:sz w:val="22"/>
              <w:szCs w:val="22"/>
              <w:highlight w:val="none"/>
            </w:rPr>
            <w:t>五、主要经验及做法、存在的问题和建议</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_Toc11312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21</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14:paraId="43E16B03">
          <w:pPr>
            <w:pStyle w:val="16"/>
            <w:tabs>
              <w:tab w:val="right" w:leader="dot" w:pos="830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_Toc1080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bCs w:val="0"/>
              <w:color w:val="auto"/>
              <w:sz w:val="22"/>
              <w:szCs w:val="22"/>
              <w:highlight w:val="none"/>
            </w:rPr>
            <w:t>（一）主要经验及做法</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_Toc1080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21</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14:paraId="796B428B">
          <w:pPr>
            <w:pStyle w:val="16"/>
            <w:tabs>
              <w:tab w:val="right" w:leader="dot" w:pos="830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_Toc10071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bCs w:val="0"/>
              <w:color w:val="auto"/>
              <w:sz w:val="22"/>
              <w:szCs w:val="22"/>
              <w:highlight w:val="none"/>
            </w:rPr>
            <w:t>（二）</w:t>
          </w:r>
          <w:r>
            <w:rPr>
              <w:rFonts w:hint="default" w:ascii="Times New Roman" w:hAnsi="Times New Roman" w:eastAsia="宋体" w:cs="Times New Roman"/>
              <w:bCs w:val="0"/>
              <w:color w:val="auto"/>
              <w:sz w:val="22"/>
              <w:szCs w:val="22"/>
              <w:highlight w:val="none"/>
              <w:lang w:val="en-US" w:eastAsia="zh-CN"/>
            </w:rPr>
            <w:t>主要</w:t>
          </w:r>
          <w:r>
            <w:rPr>
              <w:rFonts w:hint="default" w:ascii="Times New Roman" w:hAnsi="Times New Roman" w:eastAsia="宋体" w:cs="Times New Roman"/>
              <w:bCs w:val="0"/>
              <w:color w:val="auto"/>
              <w:sz w:val="22"/>
              <w:szCs w:val="22"/>
              <w:highlight w:val="none"/>
            </w:rPr>
            <w:t>存在问题及原因分析</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_Toc10071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22</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14:paraId="601B4B53">
          <w:pPr>
            <w:pStyle w:val="16"/>
            <w:tabs>
              <w:tab w:val="right" w:leader="dot" w:pos="830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_Toc10568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bCs w:val="0"/>
              <w:color w:val="auto"/>
              <w:sz w:val="22"/>
              <w:szCs w:val="22"/>
              <w:highlight w:val="none"/>
            </w:rPr>
            <w:t>（三）改进建议</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_Toc10568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22</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14:paraId="5691AC79">
          <w:pPr>
            <w:pStyle w:val="15"/>
            <w:tabs>
              <w:tab w:val="right" w:leader="dot" w:pos="8306"/>
              <w:tab w:val="clear" w:pos="935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_Toc23230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bCs w:val="0"/>
              <w:color w:val="auto"/>
              <w:sz w:val="22"/>
              <w:szCs w:val="22"/>
              <w:highlight w:val="none"/>
            </w:rPr>
            <w:t>六、其他需要说明的问题</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_Toc23230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22</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14:paraId="5AC8C4BD">
          <w:pPr>
            <w:pStyle w:val="15"/>
            <w:tabs>
              <w:tab w:val="right" w:leader="dot" w:pos="8306"/>
              <w:tab w:val="clear" w:pos="935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_Toc29931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color w:val="auto"/>
              <w:sz w:val="22"/>
              <w:szCs w:val="22"/>
              <w:highlight w:val="none"/>
            </w:rPr>
            <w:t>附件 1：绩效评价指标体系及综合评价表</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_Toc29931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24</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14:paraId="32D3A2DC">
          <w:pPr>
            <w:pStyle w:val="15"/>
            <w:tabs>
              <w:tab w:val="right" w:leader="dot" w:pos="8306"/>
              <w:tab w:val="clear" w:pos="935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_Toc23906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color w:val="auto"/>
              <w:sz w:val="22"/>
              <w:szCs w:val="22"/>
              <w:highlight w:val="none"/>
            </w:rPr>
            <w:t>附件2：基础表</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_Toc23906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29</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14:paraId="24E099CE">
          <w:pPr>
            <w:pStyle w:val="15"/>
            <w:tabs>
              <w:tab w:val="right" w:leader="dot" w:pos="8306"/>
              <w:tab w:val="clear" w:pos="935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_Toc30454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color w:val="auto"/>
              <w:sz w:val="22"/>
              <w:szCs w:val="22"/>
              <w:highlight w:val="none"/>
            </w:rPr>
            <w:t>附件3：问卷调查分析报告</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_Toc30454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31</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14:paraId="68F6A033">
          <w:pPr>
            <w:pStyle w:val="15"/>
            <w:tabs>
              <w:tab w:val="right" w:leader="dot" w:pos="8306"/>
              <w:tab w:val="clear" w:pos="9356"/>
            </w:tabs>
            <w:rPr>
              <w:color w:val="auto"/>
              <w:sz w:val="24"/>
              <w:szCs w:val="24"/>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_Toc2434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color w:val="auto"/>
              <w:sz w:val="22"/>
              <w:szCs w:val="22"/>
              <w:highlight w:val="none"/>
            </w:rPr>
            <w:t>附件4：绩效评价报告意见反馈</w:t>
          </w:r>
          <w:r>
            <w:rPr>
              <w:rFonts w:hint="default" w:ascii="Times New Roman" w:hAnsi="Times New Roman" w:eastAsia="宋体" w:cs="Times New Roman"/>
              <w:color w:val="auto"/>
              <w:sz w:val="22"/>
              <w:szCs w:val="22"/>
              <w:highlight w:val="none"/>
              <w:lang w:val="en-US" w:eastAsia="zh-CN"/>
            </w:rPr>
            <w:t>结果</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_Toc2434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33</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14:paraId="45891CA3">
          <w:pPr>
            <w:bidi w:val="0"/>
            <w:rPr>
              <w:rFonts w:hint="default" w:ascii="Times New Roman" w:hAnsi="Times New Roman" w:cs="Times New Roman"/>
              <w:color w:val="auto"/>
              <w:sz w:val="21"/>
              <w:szCs w:val="21"/>
              <w:highlight w:val="none"/>
            </w:rPr>
          </w:pPr>
          <w:r>
            <w:rPr>
              <w:rFonts w:hint="default" w:ascii="Times New Roman" w:hAnsi="Times New Roman" w:eastAsia="宋体" w:cs="Times New Roman"/>
              <w:bCs/>
              <w:color w:val="auto"/>
              <w:highlight w:val="none"/>
            </w:rPr>
            <w:fldChar w:fldCharType="end"/>
          </w:r>
          <w:bookmarkStart w:id="10" w:name="_Toc25378"/>
          <w:bookmarkStart w:id="11" w:name="_Toc1003"/>
          <w:bookmarkStart w:id="12" w:name="_Toc116"/>
          <w:bookmarkStart w:id="13" w:name="_Toc9362"/>
          <w:bookmarkStart w:id="14" w:name="_Toc26455"/>
        </w:p>
      </w:sdtContent>
    </w:sdt>
    <w:bookmarkEnd w:id="10"/>
    <w:bookmarkEnd w:id="11"/>
    <w:bookmarkEnd w:id="12"/>
    <w:bookmarkEnd w:id="13"/>
    <w:bookmarkEnd w:id="14"/>
    <w:p w14:paraId="176FF26A">
      <w:pPr>
        <w:keepNext w:val="0"/>
        <w:keepLines w:val="0"/>
        <w:pageBreakBefore w:val="0"/>
        <w:widowControl w:val="0"/>
        <w:kinsoku/>
        <w:wordWrap/>
        <w:overflowPunct/>
        <w:topLinePunct w:val="0"/>
        <w:autoSpaceDE/>
        <w:autoSpaceDN/>
        <w:bidi w:val="0"/>
        <w:adjustRightInd/>
        <w:snapToGrid/>
        <w:spacing w:line="500" w:lineRule="exact"/>
        <w:ind w:left="-178" w:leftChars="-85" w:firstLine="0" w:firstLineChars="0"/>
        <w:jc w:val="center"/>
        <w:textAlignment w:val="auto"/>
        <w:outlineLvl w:val="0"/>
        <w:rPr>
          <w:rFonts w:hint="default" w:ascii="Times New Roman" w:hAnsi="Times New Roman" w:eastAsia="仿宋_GB2312" w:cs="Times New Roman"/>
          <w:b/>
          <w:color w:val="auto"/>
          <w:sz w:val="48"/>
          <w:szCs w:val="48"/>
          <w:highlight w:val="none"/>
        </w:rPr>
        <w:sectPr>
          <w:footerReference r:id="rId9" w:type="default"/>
          <w:pgSz w:w="11906" w:h="16838"/>
          <w:pgMar w:top="1440" w:right="1800" w:bottom="1440" w:left="1800" w:header="851" w:footer="907" w:gutter="0"/>
          <w:pgBorders>
            <w:top w:val="none" w:sz="0" w:space="0"/>
            <w:left w:val="none" w:sz="0" w:space="0"/>
            <w:bottom w:val="none" w:sz="0" w:space="0"/>
            <w:right w:val="none" w:sz="0" w:space="0"/>
          </w:pgBorders>
          <w:pgNumType w:fmt="upperRoman" w:start="1"/>
          <w:cols w:space="425" w:num="1"/>
          <w:docGrid w:type="lines" w:linePitch="312" w:charSpace="0"/>
        </w:sectPr>
      </w:pPr>
      <w:bookmarkStart w:id="15" w:name="_Toc5622"/>
      <w:bookmarkStart w:id="16" w:name="_Toc17971"/>
      <w:bookmarkStart w:id="17" w:name="_Toc24559"/>
      <w:bookmarkStart w:id="18" w:name="_Toc3967"/>
      <w:bookmarkStart w:id="19" w:name="_Toc2150"/>
      <w:bookmarkStart w:id="20" w:name="_Toc29279"/>
      <w:bookmarkStart w:id="21" w:name="_Toc22576"/>
    </w:p>
    <w:p w14:paraId="67813DD4">
      <w:pPr>
        <w:keepNext w:val="0"/>
        <w:keepLines w:val="0"/>
        <w:pageBreakBefore w:val="0"/>
        <w:widowControl w:val="0"/>
        <w:kinsoku/>
        <w:wordWrap/>
        <w:overflowPunct/>
        <w:topLinePunct w:val="0"/>
        <w:autoSpaceDE/>
        <w:autoSpaceDN/>
        <w:bidi w:val="0"/>
        <w:adjustRightInd/>
        <w:snapToGrid/>
        <w:spacing w:line="500" w:lineRule="exact"/>
        <w:ind w:left="-178" w:leftChars="-85" w:firstLine="0" w:firstLineChars="0"/>
        <w:jc w:val="center"/>
        <w:textAlignment w:val="auto"/>
        <w:outlineLvl w:val="0"/>
        <w:rPr>
          <w:rFonts w:hint="default" w:ascii="Times New Roman" w:hAnsi="Times New Roman" w:eastAsia="楷体_GB2312" w:cs="Times New Roman"/>
          <w:b/>
          <w:color w:val="auto"/>
          <w:sz w:val="48"/>
          <w:szCs w:val="48"/>
          <w:highlight w:val="none"/>
        </w:rPr>
      </w:pPr>
      <w:r>
        <w:rPr>
          <w:rFonts w:hint="default" w:ascii="Times New Roman" w:hAnsi="Times New Roman" w:eastAsia="仿宋_GB2312" w:cs="Times New Roman"/>
          <w:b/>
          <w:color w:val="auto"/>
          <w:sz w:val="48"/>
          <w:szCs w:val="48"/>
          <w:highlight w:val="none"/>
        </w:rPr>
        <w:t>新疆驰远天合有限责任会计师事务所</w:t>
      </w:r>
      <w:bookmarkEnd w:id="15"/>
      <w:bookmarkEnd w:id="16"/>
    </w:p>
    <w:p w14:paraId="12326660">
      <w:pPr>
        <w:keepNext w:val="0"/>
        <w:keepLines w:val="0"/>
        <w:pageBreakBefore w:val="0"/>
        <w:widowControl w:val="0"/>
        <w:kinsoku/>
        <w:wordWrap/>
        <w:overflowPunct/>
        <w:topLinePunct w:val="0"/>
        <w:autoSpaceDE/>
        <w:autoSpaceDN/>
        <w:bidi w:val="0"/>
        <w:adjustRightInd/>
        <w:snapToGrid/>
        <w:spacing w:line="660" w:lineRule="auto"/>
        <w:ind w:firstLine="0" w:firstLineChars="0"/>
        <w:jc w:val="center"/>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Xinjiang Chiyuantianhe Certified Public Accountants Co.,Ltd.</w:t>
      </w:r>
    </w:p>
    <w:p w14:paraId="2B0C9F46">
      <w:pPr>
        <w:pageBreakBefore w:val="0"/>
        <w:kinsoku/>
        <w:wordWrap/>
        <w:overflowPunct/>
        <w:topLinePunct w:val="0"/>
        <w:autoSpaceDE/>
        <w:autoSpaceDN/>
        <w:bidi w:val="0"/>
        <w:adjustRightInd/>
        <w:snapToGrid w:val="0"/>
        <w:spacing w:line="360" w:lineRule="auto"/>
        <w:ind w:firstLine="0" w:firstLineChars="0"/>
        <w:jc w:val="center"/>
        <w:outlineLvl w:val="0"/>
        <w:rPr>
          <w:rFonts w:ascii="Times New Roman" w:hAnsi="Times New Roman" w:eastAsia="宋体" w:cs="Times New Roman"/>
          <w:color w:val="auto"/>
        </w:rPr>
      </w:pPr>
      <w:bookmarkStart w:id="22" w:name="_Toc1759961406"/>
      <w:bookmarkStart w:id="23" w:name="_Toc750271939"/>
      <w:bookmarkStart w:id="24" w:name="_Toc23718"/>
      <w:bookmarkStart w:id="25" w:name="_Toc4177"/>
      <w:bookmarkStart w:id="26" w:name="_Toc11722"/>
      <w:bookmarkStart w:id="27" w:name="_Toc21607"/>
      <w:r>
        <w:rPr>
          <w:rFonts w:ascii="Times New Roman" w:hAnsi="Times New Roman" w:eastAsia="宋体" w:cs="Times New Roman"/>
          <w:b/>
          <w:color w:val="auto"/>
          <w:spacing w:val="66"/>
          <w:kern w:val="0"/>
          <w:sz w:val="44"/>
          <w:szCs w:val="44"/>
          <w:fitText w:val="3300" w:id="1901816557"/>
        </w:rPr>
        <w:t>绩效评价报</w:t>
      </w:r>
      <w:r>
        <w:rPr>
          <w:rFonts w:ascii="Times New Roman" w:hAnsi="Times New Roman" w:eastAsia="宋体" w:cs="Times New Roman"/>
          <w:b/>
          <w:color w:val="auto"/>
          <w:spacing w:val="0"/>
          <w:kern w:val="0"/>
          <w:sz w:val="44"/>
          <w:szCs w:val="44"/>
          <w:fitText w:val="3300" w:id="1901816557"/>
        </w:rPr>
        <w:t>告</w:t>
      </w:r>
      <w:bookmarkEnd w:id="22"/>
      <w:bookmarkEnd w:id="23"/>
    </w:p>
    <w:bookmarkEnd w:id="17"/>
    <w:bookmarkEnd w:id="18"/>
    <w:bookmarkEnd w:id="19"/>
    <w:bookmarkEnd w:id="20"/>
    <w:bookmarkEnd w:id="21"/>
    <w:bookmarkEnd w:id="24"/>
    <w:bookmarkEnd w:id="25"/>
    <w:bookmarkEnd w:id="26"/>
    <w:bookmarkEnd w:id="27"/>
    <w:p w14:paraId="6BF7D88F">
      <w:pPr>
        <w:keepNext w:val="0"/>
        <w:keepLines w:val="0"/>
        <w:pageBreakBefore w:val="0"/>
        <w:widowControl/>
        <w:kinsoku/>
        <w:wordWrap/>
        <w:overflowPunct/>
        <w:topLinePunct w:val="0"/>
        <w:autoSpaceDE/>
        <w:autoSpaceDN/>
        <w:bidi w:val="0"/>
        <w:adjustRightInd/>
        <w:snapToGrid/>
        <w:spacing w:before="0" w:beforeLines="-2147483648" w:line="240" w:lineRule="auto"/>
        <w:ind w:firstLine="0" w:firstLineChars="0"/>
        <w:jc w:val="center"/>
        <w:textAlignment w:val="auto"/>
        <w:outlineLvl w:val="9"/>
        <w:rPr>
          <w:rFonts w:hint="eastAsia" w:asciiTheme="minorEastAsia" w:hAnsiTheme="minorEastAsia" w:eastAsiaTheme="minorEastAsia" w:cstheme="minorEastAsia"/>
          <w:b w:val="0"/>
          <w:color w:val="auto"/>
          <w:kern w:val="2"/>
        </w:rPr>
      </w:pPr>
      <w:r>
        <w:rPr>
          <w:rFonts w:hint="eastAsia" w:asciiTheme="minorEastAsia" w:hAnsiTheme="minorEastAsia" w:eastAsiaTheme="minorEastAsia" w:cstheme="minorEastAsia"/>
          <w:b w:val="0"/>
          <w:color w:val="auto"/>
          <w:kern w:val="2"/>
        </w:rPr>
        <w:t>驰天会咨字[2025]1-0138号</w:t>
      </w:r>
    </w:p>
    <w:p w14:paraId="622A1703">
      <w:pPr>
        <w:spacing w:line="360" w:lineRule="auto"/>
        <w:ind w:firstLine="0" w:firstLineChars="0"/>
        <w:rPr>
          <w:rFonts w:hint="default" w:ascii="Times New Roman" w:hAnsi="Times New Roman" w:cs="Times New Roman"/>
          <w:bCs/>
          <w:color w:val="auto"/>
          <w:highlight w:val="none"/>
        </w:rPr>
      </w:pPr>
    </w:p>
    <w:p w14:paraId="42D7A5EE">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lang w:val="en-US" w:eastAsia="zh-CN"/>
        </w:rPr>
        <w:t>伊宁县财政局</w:t>
      </w:r>
      <w:r>
        <w:rPr>
          <w:rFonts w:hint="eastAsia" w:ascii="Times New Roman" w:hAnsi="Times New Roman" w:eastAsia="宋体" w:cs="Times New Roman"/>
          <w:color w:val="auto"/>
          <w:highlight w:val="none"/>
        </w:rPr>
        <w:t>：</w:t>
      </w:r>
    </w:p>
    <w:p w14:paraId="6146F28C">
      <w:pPr>
        <w:keepNext w:val="0"/>
        <w:keepLines w:val="0"/>
        <w:pageBreakBefore w:val="0"/>
        <w:widowControl/>
        <w:kinsoku/>
        <w:wordWrap w:val="0"/>
        <w:overflowPunct/>
        <w:topLinePunct/>
        <w:autoSpaceDE/>
        <w:autoSpaceDN/>
        <w:bidi w:val="0"/>
        <w:adjustRightInd w:val="0"/>
        <w:snapToGrid w:val="0"/>
        <w:ind w:firstLine="420"/>
        <w:textAlignment w:val="auto"/>
        <w:rPr>
          <w:rFonts w:hint="default" w:ascii="Times New Roman" w:hAnsi="Times New Roman" w:eastAsia="宋体" w:cs="Times New Roman"/>
          <w:bCs w:val="0"/>
          <w:color w:val="auto"/>
          <w:highlight w:val="none"/>
        </w:rPr>
      </w:pPr>
      <w:r>
        <w:rPr>
          <w:rFonts w:hint="default" w:ascii="Times New Roman" w:hAnsi="Times New Roman" w:eastAsia="宋体" w:cs="Times New Roman"/>
          <w:color w:val="auto"/>
          <w:highlight w:val="none"/>
        </w:rPr>
        <w:t>为贯彻落实全面推进预算绩效管理工作的要求，完善部门预算管理，强化预算支出责任，提高</w:t>
      </w:r>
      <w:r>
        <w:rPr>
          <w:rFonts w:hint="default" w:ascii="Times New Roman" w:hAnsi="Times New Roman" w:eastAsia="宋体" w:cs="Times New Roman"/>
          <w:color w:val="auto"/>
          <w:highlight w:val="none"/>
          <w:lang w:eastAsia="zh-CN"/>
        </w:rPr>
        <w:t>财政资金使用</w:t>
      </w:r>
      <w:r>
        <w:rPr>
          <w:rFonts w:hint="default" w:ascii="Times New Roman" w:hAnsi="Times New Roman" w:eastAsia="宋体" w:cs="Times New Roman"/>
          <w:color w:val="auto"/>
          <w:highlight w:val="none"/>
        </w:rPr>
        <w:t>效益，推动提高部门和单位整体绩效水平，根据《中华人民共和国预算法》《中共中央</w:t>
      </w:r>
      <w:r>
        <w:rPr>
          <w:rFonts w:hint="default" w:ascii="Times New Roman" w:hAnsi="Times New Roman" w:eastAsia="宋体" w:cs="Times New Roman"/>
          <w:color w:val="auto"/>
          <w:highlight w:val="none"/>
          <w:lang w:val="en-US" w:eastAsia="zh-CN"/>
        </w:rPr>
        <w:t xml:space="preserve"> </w:t>
      </w:r>
      <w:r>
        <w:rPr>
          <w:rFonts w:hint="default" w:ascii="Times New Roman" w:hAnsi="Times New Roman" w:eastAsia="宋体" w:cs="Times New Roman"/>
          <w:color w:val="auto"/>
          <w:highlight w:val="none"/>
        </w:rPr>
        <w:t>国务院关于全面实施预算绩效管理的意见》（中发〔2018〕34号）、《自治区党委自治区人民政府关于全面实施预算绩效管理的实施意见》（新党发〔2018〕30号）、《关于进一步加强和规范第三方机构参与预算绩效管理的通知》（新财预〔2021〕49号）、《自治区财政支出绩效评价管理暂行办法》（新财预〔2018〕189号）等系列文件的要求，受</w:t>
      </w:r>
      <w:r>
        <w:rPr>
          <w:rFonts w:hint="default" w:ascii="Times New Roman" w:hAnsi="Times New Roman" w:eastAsia="宋体" w:cs="Times New Roman"/>
          <w:color w:val="auto"/>
          <w:highlight w:val="none"/>
          <w:lang w:val="en-US" w:eastAsia="zh-CN"/>
        </w:rPr>
        <w:t>伊宁县财政局</w:t>
      </w:r>
      <w:r>
        <w:rPr>
          <w:rFonts w:hint="default" w:ascii="Times New Roman" w:hAnsi="Times New Roman" w:eastAsia="宋体" w:cs="Times New Roman"/>
          <w:color w:val="auto"/>
          <w:highlight w:val="none"/>
        </w:rPr>
        <w:t>的委托，新疆驰远天合有限责任会计师事务所以第三方社会评价机构的身份，承担了</w:t>
      </w:r>
      <w:r>
        <w:rPr>
          <w:rFonts w:hint="default" w:ascii="Times New Roman" w:hAnsi="Times New Roman" w:eastAsia="宋体" w:cs="Times New Roman"/>
          <w:color w:val="auto"/>
          <w:highlight w:val="none"/>
          <w:lang w:val="en-US" w:eastAsia="zh-CN"/>
        </w:rPr>
        <w:t>2024</w:t>
      </w:r>
      <w:r>
        <w:rPr>
          <w:rFonts w:hint="default" w:ascii="Times New Roman" w:hAnsi="Times New Roman" w:eastAsia="宋体" w:cs="Times New Roman"/>
          <w:color w:val="auto"/>
          <w:highlight w:val="none"/>
        </w:rPr>
        <w:t>年</w:t>
      </w:r>
      <w:r>
        <w:rPr>
          <w:rFonts w:hint="default" w:ascii="Times New Roman" w:hAnsi="Times New Roman" w:eastAsia="宋体" w:cs="Times New Roman"/>
          <w:color w:val="auto"/>
          <w:highlight w:val="none"/>
          <w:lang w:val="en-US" w:eastAsia="zh-CN"/>
        </w:rPr>
        <w:t>度伊宁县农技推广中心</w:t>
      </w:r>
      <w:r>
        <w:rPr>
          <w:rFonts w:hint="default" w:ascii="Times New Roman" w:hAnsi="Times New Roman" w:eastAsia="宋体" w:cs="Times New Roman"/>
          <w:color w:val="auto"/>
          <w:highlight w:val="none"/>
        </w:rPr>
        <w:t>的部门整体支出绩效评价工作并形成绩效评价报告。</w:t>
      </w:r>
      <w:r>
        <w:rPr>
          <w:rFonts w:hint="default" w:ascii="Times New Roman" w:hAnsi="Times New Roman" w:eastAsia="宋体" w:cs="Times New Roman"/>
          <w:color w:val="auto"/>
          <w:highlight w:val="none"/>
          <w:lang w:val="en-US" w:eastAsia="zh-CN"/>
        </w:rPr>
        <w:t>伊宁县农技推广中心</w:t>
      </w:r>
      <w:r>
        <w:rPr>
          <w:rFonts w:hint="default" w:ascii="Times New Roman" w:hAnsi="Times New Roman" w:eastAsia="宋体" w:cs="Times New Roman"/>
          <w:color w:val="auto"/>
          <w:highlight w:val="none"/>
        </w:rPr>
        <w:t>负责提供与本次绩效评价相关的部门单位工作资料并保证资料的真实、合法、准确和完整，现将部门整体支出绩效评价情况报告如下：</w:t>
      </w:r>
    </w:p>
    <w:p w14:paraId="22DCC94A">
      <w:pPr>
        <w:pStyle w:val="4"/>
        <w:ind w:firstLine="640"/>
        <w:rPr>
          <w:rFonts w:hint="default" w:ascii="Times New Roman" w:hAnsi="Times New Roman" w:eastAsia="宋体" w:cs="Times New Roman"/>
          <w:color w:val="auto"/>
          <w:szCs w:val="24"/>
          <w:highlight w:val="none"/>
        </w:rPr>
      </w:pPr>
      <w:bookmarkStart w:id="28" w:name="_Toc68364657"/>
      <w:bookmarkStart w:id="29" w:name="_Toc26109"/>
      <w:r>
        <w:rPr>
          <w:rFonts w:hint="default" w:ascii="Times New Roman" w:hAnsi="Times New Roman" w:eastAsia="宋体" w:cs="Times New Roman"/>
          <w:color w:val="auto"/>
          <w:szCs w:val="24"/>
          <w:highlight w:val="none"/>
        </w:rPr>
        <w:t>一、部门基本情况</w:t>
      </w:r>
      <w:bookmarkEnd w:id="28"/>
      <w:bookmarkEnd w:id="29"/>
    </w:p>
    <w:p w14:paraId="1C17DC3B">
      <w:pPr>
        <w:pStyle w:val="5"/>
        <w:ind w:firstLine="640"/>
        <w:rPr>
          <w:rFonts w:hint="default" w:ascii="Times New Roman" w:hAnsi="Times New Roman" w:eastAsia="宋体" w:cs="Times New Roman"/>
          <w:bCs w:val="0"/>
          <w:color w:val="auto"/>
          <w:sz w:val="24"/>
          <w:szCs w:val="24"/>
          <w:highlight w:val="none"/>
        </w:rPr>
      </w:pPr>
      <w:bookmarkStart w:id="30" w:name="_Toc68364658"/>
      <w:bookmarkStart w:id="31" w:name="_Toc29273"/>
      <w:r>
        <w:rPr>
          <w:rFonts w:hint="default" w:ascii="Times New Roman" w:hAnsi="Times New Roman" w:eastAsia="宋体" w:cs="Times New Roman"/>
          <w:bCs w:val="0"/>
          <w:color w:val="auto"/>
          <w:sz w:val="24"/>
          <w:szCs w:val="24"/>
          <w:highlight w:val="none"/>
        </w:rPr>
        <w:t>（一）单位概况</w:t>
      </w:r>
      <w:bookmarkEnd w:id="30"/>
      <w:bookmarkEnd w:id="31"/>
    </w:p>
    <w:p w14:paraId="4737A030">
      <w:pPr>
        <w:pStyle w:val="6"/>
        <w:ind w:firstLine="422"/>
        <w:rPr>
          <w:rFonts w:hint="eastAsia" w:ascii="Times New Roman" w:hAnsi="Times New Roman" w:eastAsia="宋体" w:cs="Times New Roman"/>
          <w:b/>
          <w:bCs/>
          <w:color w:val="auto"/>
          <w:highlight w:val="none"/>
        </w:rPr>
      </w:pPr>
      <w:bookmarkStart w:id="32" w:name="_Toc14859"/>
      <w:r>
        <w:rPr>
          <w:rFonts w:hint="eastAsia" w:ascii="Times New Roman" w:hAnsi="Times New Roman" w:eastAsia="宋体" w:cs="Times New Roman"/>
          <w:b/>
          <w:bCs/>
          <w:color w:val="auto"/>
          <w:highlight w:val="none"/>
        </w:rPr>
        <w:t>1.部门背景及概况</w:t>
      </w:r>
    </w:p>
    <w:p w14:paraId="7E6787C4">
      <w:pPr>
        <w:ind w:firstLine="64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伊宁县农业技术推广中心属于伊宁县农业农村局下属事业单位，正科级建制。主要承担全县农业新技术、新品种引进、试验、示范、推广，农作物病虫害综合防治和病虫害的预测预报、植物检疫、土壤化验、农业技术培训、技术指导和技术服务等工作。</w:t>
      </w:r>
    </w:p>
    <w:p w14:paraId="150D3D7E">
      <w:pPr>
        <w:pStyle w:val="6"/>
        <w:ind w:firstLine="422"/>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2.部门主要职能</w:t>
      </w:r>
    </w:p>
    <w:p w14:paraId="7C126567">
      <w:pPr>
        <w:ind w:firstLine="420"/>
        <w:rPr>
          <w:rFonts w:hint="default" w:ascii="Times New Roman" w:hAnsi="Times New Roman" w:eastAsia="宋体" w:cs="Times New Roman"/>
          <w:color w:val="auto"/>
          <w:kern w:val="2"/>
          <w:highlight w:val="none"/>
          <w:lang w:val="en-US" w:eastAsia="zh-CN"/>
        </w:rPr>
      </w:pPr>
      <w:r>
        <w:rPr>
          <w:rFonts w:hint="default" w:ascii="Times New Roman" w:hAnsi="Times New Roman" w:eastAsia="宋体" w:cs="Times New Roman"/>
          <w:color w:val="auto"/>
          <w:kern w:val="2"/>
          <w:highlight w:val="none"/>
          <w:lang w:val="en-US" w:eastAsia="zh-CN"/>
        </w:rPr>
        <w:t>（1）负责全县种植业技术推广；种植业新技术引进、试验、示范、推广；技术推广体系管理；技术培训；技术服务。</w:t>
      </w:r>
    </w:p>
    <w:p w14:paraId="009E09D7">
      <w:pPr>
        <w:ind w:firstLine="420"/>
        <w:rPr>
          <w:rFonts w:hint="default" w:ascii="Times New Roman" w:hAnsi="Times New Roman" w:eastAsia="宋体" w:cs="Times New Roman"/>
          <w:color w:val="auto"/>
          <w:kern w:val="2"/>
          <w:highlight w:val="none"/>
          <w:lang w:val="en-US" w:eastAsia="zh-CN"/>
        </w:rPr>
      </w:pPr>
      <w:r>
        <w:rPr>
          <w:rFonts w:hint="default" w:ascii="Times New Roman" w:hAnsi="Times New Roman" w:eastAsia="宋体" w:cs="Times New Roman"/>
          <w:color w:val="auto"/>
          <w:kern w:val="2"/>
          <w:highlight w:val="none"/>
          <w:lang w:val="en-US" w:eastAsia="zh-CN"/>
        </w:rPr>
        <w:t>（2）土壤肥料使用技术指导宣传；新型肥料的引进、试验、示范、推广；土壤养分分析。为农民提供科学施肥配方。</w:t>
      </w:r>
    </w:p>
    <w:p w14:paraId="6838FA9F">
      <w:pPr>
        <w:ind w:firstLine="420"/>
        <w:rPr>
          <w:rFonts w:hint="default" w:ascii="Times New Roman" w:hAnsi="Times New Roman" w:eastAsia="宋体" w:cs="Times New Roman"/>
          <w:color w:val="auto"/>
          <w:kern w:val="2"/>
          <w:highlight w:val="none"/>
          <w:lang w:val="en-US" w:eastAsia="zh-CN"/>
        </w:rPr>
      </w:pPr>
      <w:r>
        <w:rPr>
          <w:rFonts w:hint="default" w:ascii="Times New Roman" w:hAnsi="Times New Roman" w:eastAsia="宋体" w:cs="Times New Roman"/>
          <w:color w:val="auto"/>
          <w:kern w:val="2"/>
          <w:highlight w:val="none"/>
          <w:lang w:val="en-US" w:eastAsia="zh-CN"/>
        </w:rPr>
        <w:t>（3）负责全县病虫预测预报，植物检疫、病虫调查与防治。</w:t>
      </w:r>
    </w:p>
    <w:p w14:paraId="4110290B">
      <w:pPr>
        <w:ind w:firstLine="420"/>
        <w:rPr>
          <w:rFonts w:hint="default" w:ascii="Times New Roman" w:hAnsi="Times New Roman" w:eastAsia="宋体" w:cs="Times New Roman"/>
          <w:color w:val="auto"/>
          <w:kern w:val="2"/>
          <w:highlight w:val="none"/>
          <w:lang w:val="en-US" w:eastAsia="zh-CN"/>
        </w:rPr>
      </w:pPr>
      <w:r>
        <w:rPr>
          <w:rFonts w:hint="default" w:ascii="Times New Roman" w:hAnsi="Times New Roman" w:eastAsia="宋体" w:cs="Times New Roman"/>
          <w:color w:val="auto"/>
          <w:kern w:val="2"/>
          <w:highlight w:val="none"/>
          <w:lang w:val="en-US" w:eastAsia="zh-CN"/>
        </w:rPr>
        <w:t>（4）负责全县农产品生产过程中的安全检测，监测，确保生产出优质农产品。</w:t>
      </w:r>
    </w:p>
    <w:p w14:paraId="6A332EA4">
      <w:pPr>
        <w:ind w:firstLine="420"/>
        <w:rPr>
          <w:rFonts w:hint="default" w:ascii="Times New Roman" w:hAnsi="Times New Roman" w:eastAsia="宋体" w:cs="Times New Roman"/>
          <w:color w:val="auto"/>
          <w:kern w:val="2"/>
          <w:highlight w:val="none"/>
          <w:lang w:val="en-US" w:eastAsia="zh-CN"/>
        </w:rPr>
      </w:pPr>
      <w:r>
        <w:rPr>
          <w:rFonts w:hint="default" w:ascii="Times New Roman" w:hAnsi="Times New Roman" w:eastAsia="宋体" w:cs="Times New Roman"/>
          <w:color w:val="auto"/>
          <w:kern w:val="2"/>
          <w:highlight w:val="none"/>
          <w:lang w:val="en-US" w:eastAsia="zh-CN"/>
        </w:rPr>
        <w:t>（5）承办上级业务部门其他工作任务。</w:t>
      </w:r>
    </w:p>
    <w:p w14:paraId="77EFABC6">
      <w:pPr>
        <w:pStyle w:val="6"/>
        <w:ind w:firstLine="422"/>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3.部门机构设置及人员编制</w:t>
      </w:r>
    </w:p>
    <w:p w14:paraId="5B05B139">
      <w:pPr>
        <w:ind w:firstLine="420"/>
        <w:rPr>
          <w:rFonts w:hint="default" w:ascii="Times New Roman" w:hAnsi="Times New Roman" w:eastAsia="宋体" w:cs="Times New Roman"/>
          <w:color w:val="auto"/>
          <w:kern w:val="2"/>
          <w:highlight w:val="none"/>
        </w:rPr>
      </w:pPr>
      <w:r>
        <w:rPr>
          <w:rFonts w:hint="default" w:ascii="Times New Roman" w:hAnsi="Times New Roman" w:eastAsia="宋体" w:cs="Times New Roman"/>
          <w:color w:val="auto"/>
          <w:kern w:val="2"/>
          <w:highlight w:val="none"/>
        </w:rPr>
        <w:t>（1）内设机构</w:t>
      </w:r>
    </w:p>
    <w:p w14:paraId="4C21D0E5">
      <w:pPr>
        <w:ind w:firstLine="420"/>
        <w:rPr>
          <w:rFonts w:hint="default" w:ascii="Times New Roman" w:hAnsi="Times New Roman" w:eastAsia="宋体" w:cs="Times New Roman"/>
          <w:color w:val="auto"/>
          <w:kern w:val="2"/>
          <w:highlight w:val="none"/>
        </w:rPr>
      </w:pPr>
      <w:r>
        <w:rPr>
          <w:rFonts w:hint="default" w:ascii="Times New Roman" w:hAnsi="Times New Roman" w:eastAsia="宋体" w:cs="Times New Roman"/>
          <w:color w:val="auto"/>
          <w:kern w:val="2"/>
          <w:highlight w:val="none"/>
          <w:lang w:val="en-US" w:eastAsia="zh-CN"/>
        </w:rPr>
        <w:t>伊宁县农业技术推广中心无下属预算单位，下设5个科室，分别是：办公室、财务室、土肥站、栽培站、植保站。</w:t>
      </w:r>
    </w:p>
    <w:p w14:paraId="32FB90A7">
      <w:pPr>
        <w:ind w:firstLine="420"/>
        <w:rPr>
          <w:rFonts w:hint="default" w:ascii="Times New Roman" w:hAnsi="Times New Roman" w:eastAsia="宋体" w:cs="Times New Roman"/>
          <w:color w:val="auto"/>
          <w:kern w:val="2"/>
          <w:highlight w:val="none"/>
        </w:rPr>
      </w:pPr>
      <w:r>
        <w:rPr>
          <w:rFonts w:hint="default" w:ascii="Times New Roman" w:hAnsi="Times New Roman" w:eastAsia="宋体" w:cs="Times New Roman"/>
          <w:color w:val="auto"/>
          <w:kern w:val="2"/>
          <w:highlight w:val="none"/>
        </w:rPr>
        <w:t>（2）人员编制</w:t>
      </w:r>
    </w:p>
    <w:p w14:paraId="14A62B67">
      <w:pPr>
        <w:ind w:firstLine="420"/>
        <w:rPr>
          <w:rFonts w:hint="default" w:ascii="Times New Roman" w:hAnsi="Times New Roman" w:eastAsia="宋体" w:cs="Times New Roman"/>
          <w:color w:val="auto"/>
          <w:kern w:val="2"/>
          <w:highlight w:val="none"/>
          <w:lang w:val="en-US" w:eastAsia="zh-CN"/>
        </w:rPr>
      </w:pPr>
      <w:r>
        <w:rPr>
          <w:rFonts w:hint="default" w:ascii="Times New Roman" w:hAnsi="Times New Roman" w:eastAsia="宋体" w:cs="Times New Roman"/>
          <w:color w:val="auto"/>
          <w:kern w:val="2"/>
          <w:highlight w:val="none"/>
          <w:lang w:val="en-US" w:eastAsia="zh-CN"/>
        </w:rPr>
        <w:t>截至2024年12月30日，伊宁县农业技术推广中心编制数28</w:t>
      </w:r>
      <w:r>
        <w:rPr>
          <w:rFonts w:hint="eastAsia" w:ascii="Times New Roman" w:hAnsi="Times New Roman" w:eastAsia="宋体" w:cs="Times New Roman"/>
          <w:color w:val="auto"/>
          <w:kern w:val="2"/>
          <w:highlight w:val="none"/>
          <w:lang w:val="en-US" w:eastAsia="zh-CN"/>
        </w:rPr>
        <w:t>人，</w:t>
      </w:r>
      <w:r>
        <w:rPr>
          <w:rFonts w:hint="default" w:ascii="Times New Roman" w:hAnsi="Times New Roman" w:eastAsia="宋体" w:cs="Times New Roman"/>
          <w:color w:val="auto"/>
          <w:kern w:val="2"/>
          <w:highlight w:val="none"/>
          <w:lang w:val="en-US" w:eastAsia="zh-CN"/>
        </w:rPr>
        <w:t>实有人数60人，其中：在职31人，增加2人；退休29人，增加2人。</w:t>
      </w:r>
    </w:p>
    <w:p w14:paraId="208081C0">
      <w:pPr>
        <w:pStyle w:val="5"/>
        <w:ind w:firstLine="640"/>
        <w:rPr>
          <w:rFonts w:hint="default" w:ascii="Times New Roman" w:hAnsi="Times New Roman" w:eastAsia="宋体" w:cs="Times New Roman"/>
          <w:bCs w:val="0"/>
          <w:color w:val="auto"/>
          <w:sz w:val="24"/>
          <w:szCs w:val="24"/>
          <w:highlight w:val="none"/>
        </w:rPr>
      </w:pPr>
      <w:r>
        <w:rPr>
          <w:rFonts w:hint="default" w:ascii="Times New Roman" w:hAnsi="Times New Roman" w:eastAsia="宋体" w:cs="Times New Roman"/>
          <w:bCs w:val="0"/>
          <w:color w:val="auto"/>
          <w:sz w:val="24"/>
          <w:szCs w:val="24"/>
          <w:highlight w:val="none"/>
        </w:rPr>
        <w:t>（二）部门资金投入和使用情况</w:t>
      </w:r>
      <w:bookmarkEnd w:id="32"/>
    </w:p>
    <w:p w14:paraId="4403E6A1">
      <w:pPr>
        <w:pStyle w:val="6"/>
        <w:ind w:firstLine="422"/>
        <w:rPr>
          <w:rFonts w:ascii="Times New Roman" w:hAnsi="Times New Roman" w:eastAsia="宋体" w:cs="Times New Roman"/>
          <w:bCs w:val="0"/>
          <w:color w:val="auto"/>
          <w:highlight w:val="none"/>
        </w:rPr>
      </w:pPr>
      <w:bookmarkStart w:id="33" w:name="_Toc2772"/>
      <w:bookmarkStart w:id="34" w:name="_Toc68364659"/>
      <w:r>
        <w:rPr>
          <w:rFonts w:ascii="Times New Roman" w:hAnsi="Times New Roman" w:eastAsia="宋体" w:cs="Times New Roman"/>
          <w:bCs w:val="0"/>
          <w:color w:val="auto"/>
          <w:highlight w:val="none"/>
        </w:rPr>
        <w:t>1.部门年度收入预算情况</w:t>
      </w:r>
    </w:p>
    <w:p w14:paraId="412B862F">
      <w:pPr>
        <w:ind w:firstLine="420"/>
        <w:rPr>
          <w:rFonts w:hint="default" w:ascii="Times New Roman" w:hAnsi="Times New Roman" w:eastAsia="宋体" w:cs="Times New Roman"/>
          <w:b w:val="0"/>
          <w:bCs w:val="0"/>
          <w:color w:val="auto"/>
          <w:kern w:val="2"/>
          <w:szCs w:val="21"/>
          <w:highlight w:val="none"/>
          <w:lang w:eastAsia="zh-CN" w:bidi="ar-SA"/>
        </w:rPr>
      </w:pPr>
      <w:r>
        <w:rPr>
          <w:rFonts w:hint="default" w:ascii="Times New Roman" w:hAnsi="Times New Roman" w:eastAsia="宋体" w:cs="Times New Roman"/>
          <w:b w:val="0"/>
          <w:bCs w:val="0"/>
          <w:color w:val="auto"/>
          <w:kern w:val="2"/>
          <w:szCs w:val="21"/>
          <w:highlight w:val="none"/>
        </w:rPr>
        <w:t>20</w:t>
      </w:r>
      <w:r>
        <w:rPr>
          <w:rFonts w:hint="default" w:ascii="Times New Roman" w:hAnsi="Times New Roman" w:eastAsia="宋体" w:cs="Times New Roman"/>
          <w:b w:val="0"/>
          <w:bCs w:val="0"/>
          <w:color w:val="auto"/>
          <w:kern w:val="2"/>
          <w:szCs w:val="21"/>
          <w:highlight w:val="none"/>
          <w:lang w:val="en-US" w:eastAsia="zh-CN"/>
        </w:rPr>
        <w:t>24</w:t>
      </w:r>
      <w:r>
        <w:rPr>
          <w:rFonts w:hint="default" w:ascii="Times New Roman" w:hAnsi="Times New Roman" w:eastAsia="宋体" w:cs="Times New Roman"/>
          <w:b w:val="0"/>
          <w:bCs w:val="0"/>
          <w:color w:val="auto"/>
          <w:kern w:val="2"/>
          <w:szCs w:val="21"/>
          <w:highlight w:val="none"/>
        </w:rPr>
        <w:t>年度单位决算报表数据显示，</w:t>
      </w:r>
      <w:r>
        <w:rPr>
          <w:rFonts w:hint="default" w:ascii="Times New Roman" w:hAnsi="Times New Roman" w:eastAsia="宋体" w:cs="Times New Roman"/>
          <w:b w:val="0"/>
          <w:bCs w:val="0"/>
          <w:color w:val="auto"/>
          <w:kern w:val="2"/>
          <w:szCs w:val="21"/>
          <w:highlight w:val="none"/>
          <w:lang w:val="en-US" w:eastAsia="zh-CN"/>
        </w:rPr>
        <w:t>伊宁县农业技术推广中心</w:t>
      </w:r>
      <w:r>
        <w:rPr>
          <w:rFonts w:hint="default" w:ascii="Times New Roman" w:hAnsi="Times New Roman" w:eastAsia="宋体" w:cs="Times New Roman"/>
          <w:b w:val="0"/>
          <w:bCs w:val="0"/>
          <w:color w:val="auto"/>
          <w:kern w:val="2"/>
          <w:szCs w:val="21"/>
          <w:highlight w:val="none"/>
        </w:rPr>
        <w:t>202</w:t>
      </w:r>
      <w:r>
        <w:rPr>
          <w:rFonts w:hint="default" w:ascii="Times New Roman" w:hAnsi="Times New Roman" w:eastAsia="宋体" w:cs="Times New Roman"/>
          <w:b w:val="0"/>
          <w:bCs w:val="0"/>
          <w:color w:val="auto"/>
          <w:kern w:val="2"/>
          <w:sz w:val="21"/>
          <w:szCs w:val="21"/>
          <w:highlight w:val="none"/>
          <w:lang w:eastAsia="zh-CN"/>
        </w:rPr>
        <w:t>4</w:t>
      </w:r>
      <w:r>
        <w:rPr>
          <w:rFonts w:hint="default" w:ascii="Times New Roman" w:hAnsi="Times New Roman" w:eastAsia="宋体" w:cs="Times New Roman"/>
          <w:b w:val="0"/>
          <w:bCs w:val="0"/>
          <w:color w:val="auto"/>
          <w:kern w:val="2"/>
          <w:szCs w:val="21"/>
          <w:highlight w:val="none"/>
        </w:rPr>
        <w:t>年度部门年初收入预算</w:t>
      </w:r>
      <w:r>
        <w:rPr>
          <w:rFonts w:hint="default" w:ascii="Times New Roman" w:hAnsi="Times New Roman" w:eastAsia="宋体" w:cs="Times New Roman"/>
          <w:b w:val="0"/>
          <w:bCs w:val="0"/>
          <w:color w:val="auto"/>
          <w:kern w:val="2"/>
          <w:szCs w:val="21"/>
          <w:highlight w:val="none"/>
          <w:lang w:val="en-US" w:eastAsia="zh-CN"/>
        </w:rPr>
        <w:t>577.41</w:t>
      </w:r>
      <w:r>
        <w:rPr>
          <w:rFonts w:hint="default" w:ascii="Times New Roman" w:hAnsi="Times New Roman" w:eastAsia="宋体" w:cs="Times New Roman"/>
          <w:b w:val="0"/>
          <w:bCs w:val="0"/>
          <w:color w:val="auto"/>
          <w:kern w:val="2"/>
          <w:szCs w:val="21"/>
          <w:highlight w:val="none"/>
        </w:rPr>
        <w:t>万元，调整后部门收入预算为</w:t>
      </w:r>
      <w:r>
        <w:rPr>
          <w:rFonts w:hint="default" w:ascii="Times New Roman" w:hAnsi="Times New Roman" w:eastAsia="宋体" w:cs="Times New Roman"/>
          <w:b w:val="0"/>
          <w:bCs w:val="0"/>
          <w:color w:val="auto"/>
          <w:kern w:val="2"/>
          <w:szCs w:val="21"/>
          <w:highlight w:val="none"/>
          <w:lang w:val="en-US" w:eastAsia="zh-CN"/>
        </w:rPr>
        <w:t>1,245.85</w:t>
      </w:r>
      <w:r>
        <w:rPr>
          <w:rFonts w:hint="default" w:ascii="Times New Roman" w:hAnsi="Times New Roman" w:eastAsia="宋体" w:cs="Times New Roman"/>
          <w:b w:val="0"/>
          <w:bCs w:val="0"/>
          <w:color w:val="auto"/>
          <w:kern w:val="2"/>
          <w:szCs w:val="21"/>
          <w:highlight w:val="none"/>
        </w:rPr>
        <w:t>万元，</w:t>
      </w:r>
      <w:r>
        <w:rPr>
          <w:rFonts w:hint="eastAsia" w:ascii="Times New Roman" w:hAnsi="Times New Roman" w:eastAsia="宋体" w:cs="Times New Roman"/>
          <w:b w:val="0"/>
          <w:bCs w:val="0"/>
          <w:color w:val="auto"/>
          <w:kern w:val="2"/>
          <w:szCs w:val="21"/>
          <w:highlight w:val="none"/>
          <w:lang w:val="en-US" w:eastAsia="zh-CN"/>
        </w:rPr>
        <w:t>其</w:t>
      </w:r>
      <w:r>
        <w:rPr>
          <w:rFonts w:hint="default" w:ascii="Times New Roman" w:hAnsi="Times New Roman" w:eastAsia="宋体" w:cs="Times New Roman"/>
          <w:b w:val="0"/>
          <w:bCs w:val="0"/>
          <w:color w:val="auto"/>
          <w:kern w:val="2"/>
          <w:szCs w:val="21"/>
          <w:highlight w:val="none"/>
          <w:lang w:val="en-US" w:eastAsia="zh-CN"/>
        </w:rPr>
        <w:t>中：</w:t>
      </w:r>
      <w:r>
        <w:rPr>
          <w:rFonts w:hint="default" w:ascii="Times New Roman" w:hAnsi="Times New Roman" w:eastAsia="宋体" w:cs="Times New Roman"/>
          <w:b w:val="0"/>
          <w:bCs w:val="0"/>
          <w:color w:val="auto"/>
          <w:kern w:val="2"/>
          <w:szCs w:val="21"/>
          <w:highlight w:val="none"/>
        </w:rPr>
        <w:t>一般公共预算财政拨款收入</w:t>
      </w:r>
      <w:r>
        <w:rPr>
          <w:rFonts w:hint="default" w:ascii="Times New Roman" w:hAnsi="Times New Roman" w:eastAsia="宋体" w:cs="Times New Roman"/>
          <w:b w:val="0"/>
          <w:bCs w:val="0"/>
          <w:color w:val="auto"/>
          <w:kern w:val="2"/>
          <w:szCs w:val="21"/>
          <w:highlight w:val="none"/>
          <w:lang w:val="en-US" w:eastAsia="zh-CN"/>
        </w:rPr>
        <w:t>1,245.17万元，其他收入0.68万元</w:t>
      </w:r>
      <w:r>
        <w:rPr>
          <w:rFonts w:hint="default" w:ascii="Times New Roman" w:hAnsi="Times New Roman" w:eastAsia="宋体" w:cs="Times New Roman"/>
          <w:b w:val="0"/>
          <w:bCs w:val="0"/>
          <w:color w:val="auto"/>
          <w:kern w:val="2"/>
          <w:szCs w:val="21"/>
          <w:highlight w:val="none"/>
        </w:rPr>
        <w:t>。预算</w:t>
      </w:r>
      <w:r>
        <w:rPr>
          <w:rFonts w:hint="default" w:ascii="Times New Roman" w:hAnsi="Times New Roman" w:eastAsia="宋体" w:cs="Times New Roman"/>
          <w:b w:val="0"/>
          <w:bCs w:val="0"/>
          <w:color w:val="auto"/>
          <w:kern w:val="2"/>
          <w:szCs w:val="21"/>
          <w:highlight w:val="none"/>
          <w:lang w:val="en-US" w:eastAsia="zh-CN"/>
        </w:rPr>
        <w:t>调整668.43</w:t>
      </w:r>
      <w:r>
        <w:rPr>
          <w:rFonts w:hint="default" w:ascii="Times New Roman" w:hAnsi="Times New Roman" w:eastAsia="宋体" w:cs="Times New Roman"/>
          <w:b w:val="0"/>
          <w:bCs w:val="0"/>
          <w:color w:val="auto"/>
          <w:kern w:val="2"/>
          <w:szCs w:val="21"/>
          <w:highlight w:val="none"/>
        </w:rPr>
        <w:t>万元，收入预算调整率为</w:t>
      </w:r>
      <w:r>
        <w:rPr>
          <w:rFonts w:hint="default" w:ascii="Times New Roman" w:hAnsi="Times New Roman" w:eastAsia="宋体" w:cs="Times New Roman"/>
          <w:b w:val="0"/>
          <w:bCs w:val="0"/>
          <w:color w:val="auto"/>
          <w:kern w:val="2"/>
          <w:szCs w:val="21"/>
          <w:highlight w:val="none"/>
          <w:lang w:val="en-US" w:eastAsia="zh-CN" w:bidi="ar-SA"/>
        </w:rPr>
        <w:t>115.76</w:t>
      </w:r>
      <w:r>
        <w:rPr>
          <w:rFonts w:hint="default" w:ascii="Times New Roman" w:hAnsi="Times New Roman" w:eastAsia="宋体" w:cs="Times New Roman"/>
          <w:b w:val="0"/>
          <w:bCs w:val="0"/>
          <w:color w:val="auto"/>
          <w:kern w:val="2"/>
          <w:szCs w:val="21"/>
          <w:highlight w:val="none"/>
          <w:lang w:bidi="ar-SA"/>
        </w:rPr>
        <w:t>%</w:t>
      </w:r>
      <w:r>
        <w:rPr>
          <w:rFonts w:hint="default" w:ascii="Times New Roman" w:hAnsi="Times New Roman" w:eastAsia="宋体" w:cs="Times New Roman"/>
          <w:b w:val="0"/>
          <w:bCs w:val="0"/>
          <w:color w:val="auto"/>
          <w:kern w:val="2"/>
          <w:szCs w:val="21"/>
          <w:highlight w:val="none"/>
          <w:lang w:eastAsia="zh-CN" w:bidi="ar-SA"/>
        </w:rPr>
        <w:t>。</w:t>
      </w:r>
    </w:p>
    <w:p w14:paraId="2B1F06EC">
      <w:pPr>
        <w:pStyle w:val="6"/>
        <w:ind w:firstLine="422"/>
        <w:rPr>
          <w:rFonts w:ascii="Times New Roman" w:hAnsi="Times New Roman" w:eastAsia="宋体" w:cs="Times New Roman"/>
          <w:color w:val="auto"/>
          <w:highlight w:val="none"/>
        </w:rPr>
      </w:pPr>
      <w:r>
        <w:rPr>
          <w:rFonts w:ascii="Times New Roman" w:hAnsi="Times New Roman" w:eastAsia="宋体" w:cs="Times New Roman"/>
          <w:color w:val="auto"/>
          <w:highlight w:val="none"/>
        </w:rPr>
        <w:t>2.202</w:t>
      </w:r>
      <w:r>
        <w:rPr>
          <w:rFonts w:hint="default" w:ascii="Times New Roman" w:hAnsi="Times New Roman" w:eastAsia="宋体" w:cs="Times New Roman"/>
          <w:bCs w:val="0"/>
          <w:color w:val="auto"/>
          <w:highlight w:val="none"/>
          <w:lang w:val="en-US" w:eastAsia="zh-CN"/>
        </w:rPr>
        <w:t>4</w:t>
      </w:r>
      <w:r>
        <w:rPr>
          <w:rFonts w:ascii="Times New Roman" w:hAnsi="Times New Roman" w:eastAsia="宋体" w:cs="Times New Roman"/>
          <w:color w:val="auto"/>
          <w:highlight w:val="none"/>
        </w:rPr>
        <w:t>年度部门支出预决算情况</w:t>
      </w:r>
    </w:p>
    <w:p w14:paraId="2D8A22B0">
      <w:pPr>
        <w:ind w:firstLine="420"/>
        <w:rPr>
          <w:rFonts w:hint="default" w:ascii="Times New Roman" w:hAnsi="Times New Roman" w:eastAsia="宋体" w:cs="Times New Roman"/>
          <w:bCs w:val="0"/>
          <w:color w:val="auto"/>
          <w:kern w:val="2"/>
          <w:highlight w:val="none"/>
        </w:rPr>
      </w:pPr>
      <w:r>
        <w:rPr>
          <w:rFonts w:hint="default" w:ascii="Times New Roman" w:hAnsi="Times New Roman" w:eastAsia="宋体" w:cs="Times New Roman"/>
          <w:bCs w:val="0"/>
          <w:color w:val="auto"/>
          <w:kern w:val="2"/>
          <w:highlight w:val="none"/>
        </w:rPr>
        <w:t>202</w:t>
      </w:r>
      <w:r>
        <w:rPr>
          <w:rFonts w:hint="default" w:ascii="Times New Roman" w:hAnsi="Times New Roman" w:eastAsia="宋体" w:cs="Times New Roman"/>
          <w:bCs w:val="0"/>
          <w:color w:val="auto"/>
          <w:kern w:val="2"/>
          <w:highlight w:val="none"/>
          <w:lang w:val="en-US" w:eastAsia="zh-CN"/>
        </w:rPr>
        <w:t>4</w:t>
      </w:r>
      <w:r>
        <w:rPr>
          <w:rFonts w:hint="default" w:ascii="Times New Roman" w:hAnsi="Times New Roman" w:eastAsia="宋体" w:cs="Times New Roman"/>
          <w:bCs w:val="0"/>
          <w:color w:val="auto"/>
          <w:kern w:val="2"/>
          <w:highlight w:val="none"/>
        </w:rPr>
        <w:t>年度单位决算报表数据显示，</w:t>
      </w:r>
      <w:r>
        <w:rPr>
          <w:rFonts w:hint="default" w:ascii="Times New Roman" w:hAnsi="Times New Roman" w:eastAsia="宋体" w:cs="Times New Roman"/>
          <w:color w:val="auto"/>
          <w:kern w:val="2"/>
          <w:highlight w:val="none"/>
          <w:lang w:val="en-US" w:eastAsia="zh-CN"/>
        </w:rPr>
        <w:t>伊宁县农业技术推广中心</w:t>
      </w:r>
      <w:r>
        <w:rPr>
          <w:rFonts w:hint="default" w:ascii="Times New Roman" w:hAnsi="Times New Roman" w:eastAsia="宋体" w:cs="Times New Roman"/>
          <w:bCs w:val="0"/>
          <w:color w:val="auto"/>
          <w:kern w:val="2"/>
          <w:highlight w:val="none"/>
        </w:rPr>
        <w:t>202</w:t>
      </w:r>
      <w:r>
        <w:rPr>
          <w:rFonts w:hint="default" w:ascii="Times New Roman" w:hAnsi="Times New Roman" w:eastAsia="宋体" w:cs="Times New Roman"/>
          <w:bCs w:val="0"/>
          <w:color w:val="auto"/>
          <w:kern w:val="2"/>
          <w:highlight w:val="none"/>
          <w:lang w:val="en-US" w:eastAsia="zh-CN"/>
        </w:rPr>
        <w:t>4</w:t>
      </w:r>
      <w:r>
        <w:rPr>
          <w:rFonts w:hint="default" w:ascii="Times New Roman" w:hAnsi="Times New Roman" w:eastAsia="宋体" w:cs="Times New Roman"/>
          <w:bCs w:val="0"/>
          <w:color w:val="auto"/>
          <w:kern w:val="2"/>
          <w:highlight w:val="none"/>
        </w:rPr>
        <w:t>年度部门支出年初预算</w:t>
      </w:r>
      <w:r>
        <w:rPr>
          <w:rFonts w:hint="default" w:ascii="Times New Roman" w:hAnsi="Times New Roman" w:eastAsia="宋体" w:cs="Times New Roman"/>
          <w:color w:val="auto"/>
          <w:kern w:val="2"/>
          <w:highlight w:val="none"/>
          <w:lang w:val="en-US" w:eastAsia="zh-CN"/>
        </w:rPr>
        <w:t>577.41</w:t>
      </w:r>
      <w:r>
        <w:rPr>
          <w:rFonts w:hint="default" w:ascii="Times New Roman" w:hAnsi="Times New Roman" w:eastAsia="宋体" w:cs="Times New Roman"/>
          <w:bCs w:val="0"/>
          <w:color w:val="auto"/>
          <w:kern w:val="2"/>
          <w:highlight w:val="none"/>
        </w:rPr>
        <w:t>万元，</w:t>
      </w:r>
      <w:r>
        <w:rPr>
          <w:rFonts w:hint="default" w:ascii="Times New Roman" w:hAnsi="Times New Roman" w:eastAsia="宋体" w:cs="Times New Roman"/>
          <w:bCs w:val="0"/>
          <w:color w:val="auto"/>
          <w:kern w:val="2"/>
          <w:highlight w:val="none"/>
          <w:lang w:val="en-US" w:eastAsia="zh-CN"/>
        </w:rPr>
        <w:t>其中</w:t>
      </w:r>
      <w:r>
        <w:rPr>
          <w:rFonts w:hint="default" w:ascii="Times New Roman" w:hAnsi="Times New Roman" w:eastAsia="宋体" w:cs="Times New Roman"/>
          <w:color w:val="auto"/>
          <w:kern w:val="2"/>
          <w:highlight w:val="none"/>
          <w:lang w:val="en-US" w:eastAsia="zh-CN"/>
        </w:rPr>
        <w:t>：基本支出576.61万元，项目支出0.80万元。</w:t>
      </w:r>
      <w:r>
        <w:rPr>
          <w:rFonts w:hint="default" w:ascii="Times New Roman" w:hAnsi="Times New Roman" w:eastAsia="宋体" w:cs="Times New Roman"/>
          <w:bCs w:val="0"/>
          <w:color w:val="auto"/>
          <w:kern w:val="2"/>
          <w:highlight w:val="none"/>
        </w:rPr>
        <w:t>调整后全年</w:t>
      </w:r>
      <w:r>
        <w:rPr>
          <w:rFonts w:hint="default" w:ascii="Times New Roman" w:hAnsi="Times New Roman" w:eastAsia="宋体" w:cs="Times New Roman"/>
          <w:bCs w:val="0"/>
          <w:color w:val="auto"/>
          <w:kern w:val="2"/>
          <w:highlight w:val="none"/>
          <w:lang w:val="en-US" w:eastAsia="zh-CN"/>
        </w:rPr>
        <w:t>部门支出</w:t>
      </w:r>
      <w:r>
        <w:rPr>
          <w:rFonts w:hint="default" w:ascii="Times New Roman" w:hAnsi="Times New Roman" w:eastAsia="宋体" w:cs="Times New Roman"/>
          <w:bCs w:val="0"/>
          <w:color w:val="auto"/>
          <w:kern w:val="2"/>
          <w:highlight w:val="none"/>
        </w:rPr>
        <w:t>预算为</w:t>
      </w:r>
      <w:r>
        <w:rPr>
          <w:rFonts w:hint="default" w:ascii="Times New Roman" w:hAnsi="Times New Roman" w:eastAsia="宋体" w:cs="Times New Roman"/>
          <w:bCs w:val="0"/>
          <w:color w:val="auto"/>
          <w:kern w:val="2"/>
          <w:highlight w:val="none"/>
          <w:lang w:val="en-US" w:eastAsia="zh-CN"/>
        </w:rPr>
        <w:t>1,245.85</w:t>
      </w:r>
      <w:r>
        <w:rPr>
          <w:rFonts w:hint="default" w:ascii="Times New Roman" w:hAnsi="Times New Roman" w:eastAsia="宋体" w:cs="Times New Roman"/>
          <w:bCs w:val="0"/>
          <w:color w:val="auto"/>
          <w:kern w:val="2"/>
          <w:highlight w:val="none"/>
        </w:rPr>
        <w:t>万元。</w:t>
      </w:r>
      <w:r>
        <w:rPr>
          <w:rFonts w:hint="default" w:ascii="Times New Roman" w:hAnsi="Times New Roman" w:eastAsia="宋体" w:cs="Times New Roman"/>
          <w:bCs w:val="0"/>
          <w:color w:val="auto"/>
          <w:kern w:val="2"/>
          <w:highlight w:val="none"/>
          <w:lang w:val="en-US" w:eastAsia="zh-CN"/>
        </w:rPr>
        <w:t>其中：</w:t>
      </w:r>
      <w:r>
        <w:rPr>
          <w:rFonts w:hint="default" w:ascii="Times New Roman" w:hAnsi="Times New Roman" w:eastAsia="宋体" w:cs="Times New Roman"/>
          <w:color w:val="auto"/>
          <w:kern w:val="2"/>
          <w:highlight w:val="none"/>
          <w:lang w:val="en-US" w:eastAsia="zh-CN"/>
        </w:rPr>
        <w:t>基本支出572.59万元，项目支出673.25万元</w:t>
      </w:r>
      <w:r>
        <w:rPr>
          <w:rFonts w:hint="default" w:ascii="Times New Roman" w:hAnsi="Times New Roman" w:eastAsia="宋体" w:cs="Times New Roman"/>
          <w:bCs w:val="0"/>
          <w:color w:val="auto"/>
          <w:kern w:val="2"/>
          <w:highlight w:val="none"/>
        </w:rPr>
        <w:t>。</w:t>
      </w:r>
    </w:p>
    <w:p w14:paraId="20E75500">
      <w:pPr>
        <w:ind w:firstLine="420"/>
        <w:rPr>
          <w:rFonts w:hint="default" w:ascii="Times New Roman" w:hAnsi="Times New Roman" w:eastAsia="宋体" w:cs="Times New Roman"/>
          <w:bCs w:val="0"/>
          <w:color w:val="auto"/>
          <w:kern w:val="2"/>
          <w:highlight w:val="none"/>
        </w:rPr>
      </w:pPr>
      <w:r>
        <w:rPr>
          <w:rFonts w:hint="default" w:ascii="Times New Roman" w:hAnsi="Times New Roman" w:eastAsia="宋体" w:cs="Times New Roman"/>
          <w:bCs w:val="0"/>
          <w:color w:val="auto"/>
          <w:kern w:val="2"/>
          <w:highlight w:val="none"/>
        </w:rPr>
        <w:t>202</w:t>
      </w:r>
      <w:r>
        <w:rPr>
          <w:rFonts w:hint="default" w:ascii="Times New Roman" w:hAnsi="Times New Roman" w:eastAsia="宋体" w:cs="Times New Roman"/>
          <w:bCs w:val="0"/>
          <w:color w:val="auto"/>
          <w:kern w:val="2"/>
          <w:highlight w:val="none"/>
          <w:lang w:val="en-US" w:eastAsia="zh-CN"/>
        </w:rPr>
        <w:t>4</w:t>
      </w:r>
      <w:r>
        <w:rPr>
          <w:rFonts w:hint="default" w:ascii="Times New Roman" w:hAnsi="Times New Roman" w:eastAsia="宋体" w:cs="Times New Roman"/>
          <w:bCs w:val="0"/>
          <w:color w:val="auto"/>
          <w:kern w:val="2"/>
          <w:highlight w:val="none"/>
        </w:rPr>
        <w:t>年度部门支出决算</w:t>
      </w:r>
      <w:r>
        <w:rPr>
          <w:rFonts w:hint="default" w:ascii="Times New Roman" w:hAnsi="Times New Roman" w:eastAsia="宋体" w:cs="Times New Roman"/>
          <w:bCs w:val="0"/>
          <w:color w:val="auto"/>
          <w:kern w:val="2"/>
          <w:highlight w:val="none"/>
          <w:lang w:val="en-US" w:eastAsia="zh-CN"/>
        </w:rPr>
        <w:t>1,245.85</w:t>
      </w:r>
      <w:r>
        <w:rPr>
          <w:rFonts w:hint="default" w:ascii="Times New Roman" w:hAnsi="Times New Roman" w:eastAsia="宋体" w:cs="Times New Roman"/>
          <w:bCs w:val="0"/>
          <w:color w:val="auto"/>
          <w:kern w:val="2"/>
          <w:highlight w:val="none"/>
        </w:rPr>
        <w:t>万元，其中：基本支出</w:t>
      </w:r>
      <w:r>
        <w:rPr>
          <w:rFonts w:hint="default" w:ascii="Times New Roman" w:hAnsi="Times New Roman" w:eastAsia="宋体" w:cs="Times New Roman"/>
          <w:bCs w:val="0"/>
          <w:color w:val="auto"/>
          <w:kern w:val="2"/>
          <w:highlight w:val="none"/>
          <w:lang w:val="en-US" w:eastAsia="zh-CN"/>
        </w:rPr>
        <w:t>572.59</w:t>
      </w:r>
      <w:r>
        <w:rPr>
          <w:rFonts w:hint="default" w:ascii="Times New Roman" w:hAnsi="Times New Roman" w:eastAsia="宋体" w:cs="Times New Roman"/>
          <w:bCs w:val="0"/>
          <w:color w:val="auto"/>
          <w:kern w:val="2"/>
          <w:highlight w:val="none"/>
        </w:rPr>
        <w:t>万元，项目支出</w:t>
      </w:r>
      <w:r>
        <w:rPr>
          <w:rFonts w:hint="default" w:ascii="Times New Roman" w:hAnsi="Times New Roman" w:eastAsia="宋体" w:cs="Times New Roman"/>
          <w:color w:val="auto"/>
          <w:kern w:val="2"/>
          <w:highlight w:val="none"/>
          <w:lang w:val="en-US" w:eastAsia="zh-CN"/>
        </w:rPr>
        <w:t>673.25</w:t>
      </w:r>
      <w:r>
        <w:rPr>
          <w:rFonts w:hint="default" w:ascii="Times New Roman" w:hAnsi="Times New Roman" w:eastAsia="宋体" w:cs="Times New Roman"/>
          <w:bCs w:val="0"/>
          <w:color w:val="auto"/>
          <w:kern w:val="2"/>
          <w:highlight w:val="none"/>
        </w:rPr>
        <w:t>万元，部门年度预算执行率为</w:t>
      </w:r>
      <w:r>
        <w:rPr>
          <w:rFonts w:hint="default" w:ascii="Times New Roman" w:hAnsi="Times New Roman" w:eastAsia="宋体" w:cs="Times New Roman"/>
          <w:bCs w:val="0"/>
          <w:color w:val="auto"/>
          <w:kern w:val="2"/>
          <w:highlight w:val="none"/>
          <w:lang w:val="en-US" w:eastAsia="zh-CN"/>
        </w:rPr>
        <w:t>100.00</w:t>
      </w:r>
      <w:r>
        <w:rPr>
          <w:rFonts w:hint="default" w:ascii="Times New Roman" w:hAnsi="Times New Roman" w:eastAsia="宋体" w:cs="Times New Roman"/>
          <w:bCs w:val="0"/>
          <w:color w:val="auto"/>
          <w:kern w:val="2"/>
          <w:highlight w:val="none"/>
        </w:rPr>
        <w:t>%。部门年度预算执行情况具体内容详见下表：</w:t>
      </w:r>
    </w:p>
    <w:p w14:paraId="3A3D61FE">
      <w:pPr>
        <w:ind w:firstLine="0" w:firstLineChars="0"/>
        <w:jc w:val="center"/>
        <w:rPr>
          <w:rFonts w:ascii="Times New Roman" w:hAnsi="Times New Roman" w:eastAsia="宋体" w:cs="Times New Roman"/>
          <w:b/>
          <w:bCs/>
          <w:color w:val="auto"/>
          <w:sz w:val="20"/>
          <w:szCs w:val="20"/>
          <w:highlight w:val="none"/>
        </w:rPr>
      </w:pPr>
      <w:r>
        <w:rPr>
          <w:rFonts w:ascii="Times New Roman" w:hAnsi="Times New Roman" w:eastAsia="宋体" w:cs="Times New Roman"/>
          <w:b/>
          <w:bCs/>
          <w:color w:val="auto"/>
          <w:sz w:val="20"/>
          <w:szCs w:val="20"/>
          <w:highlight w:val="none"/>
        </w:rPr>
        <w:t>表1-1：</w:t>
      </w:r>
      <w:r>
        <w:rPr>
          <w:rFonts w:hint="eastAsia" w:ascii="Times New Roman" w:hAnsi="Times New Roman" w:eastAsia="宋体" w:cs="Times New Roman"/>
          <w:b/>
          <w:bCs/>
          <w:color w:val="auto"/>
          <w:sz w:val="20"/>
          <w:szCs w:val="20"/>
          <w:highlight w:val="none"/>
          <w:lang w:val="en-US" w:eastAsia="zh-CN"/>
        </w:rPr>
        <w:t>伊宁县农业技术推广中心</w:t>
      </w:r>
      <w:r>
        <w:rPr>
          <w:rFonts w:ascii="Times New Roman" w:hAnsi="Times New Roman" w:eastAsia="宋体" w:cs="Times New Roman"/>
          <w:b/>
          <w:bCs/>
          <w:color w:val="auto"/>
          <w:sz w:val="20"/>
          <w:szCs w:val="20"/>
          <w:highlight w:val="none"/>
        </w:rPr>
        <w:t>202</w:t>
      </w:r>
      <w:r>
        <w:rPr>
          <w:rFonts w:hint="eastAsia" w:ascii="Times New Roman" w:hAnsi="Times New Roman" w:eastAsia="宋体" w:cs="Times New Roman"/>
          <w:b/>
          <w:bCs/>
          <w:color w:val="auto"/>
          <w:sz w:val="20"/>
          <w:szCs w:val="20"/>
          <w:highlight w:val="none"/>
          <w:lang w:val="en-US" w:eastAsia="zh-CN"/>
        </w:rPr>
        <w:t>4</w:t>
      </w:r>
      <w:r>
        <w:rPr>
          <w:rFonts w:ascii="Times New Roman" w:hAnsi="Times New Roman" w:eastAsia="宋体" w:cs="Times New Roman"/>
          <w:b/>
          <w:bCs/>
          <w:color w:val="auto"/>
          <w:sz w:val="20"/>
          <w:szCs w:val="20"/>
          <w:highlight w:val="none"/>
        </w:rPr>
        <w:t>年部门支出预决算情况表</w:t>
      </w:r>
    </w:p>
    <w:p w14:paraId="754CEF5E">
      <w:pPr>
        <w:ind w:firstLine="0" w:firstLineChars="0"/>
        <w:jc w:val="right"/>
        <w:rPr>
          <w:rFonts w:ascii="Times New Roman" w:hAnsi="Times New Roman" w:eastAsia="宋体" w:cs="Times New Roman"/>
          <w:b/>
          <w:color w:val="auto"/>
          <w:sz w:val="20"/>
          <w:szCs w:val="20"/>
          <w:highlight w:val="none"/>
        </w:rPr>
      </w:pPr>
      <w:r>
        <w:rPr>
          <w:rFonts w:ascii="Times New Roman" w:hAnsi="Times New Roman" w:eastAsia="宋体" w:cs="Times New Roman"/>
          <w:b/>
          <w:color w:val="auto"/>
          <w:sz w:val="20"/>
          <w:szCs w:val="20"/>
          <w:highlight w:val="none"/>
        </w:rPr>
        <w:t>单位：万元</w:t>
      </w:r>
    </w:p>
    <w:tbl>
      <w:tblPr>
        <w:tblStyle w:val="21"/>
        <w:tblW w:w="4997" w:type="pct"/>
        <w:tblInd w:w="0" w:type="dxa"/>
        <w:tblLayout w:type="autofit"/>
        <w:tblCellMar>
          <w:top w:w="0" w:type="dxa"/>
          <w:left w:w="79" w:type="dxa"/>
          <w:bottom w:w="0" w:type="dxa"/>
          <w:right w:w="79" w:type="dxa"/>
        </w:tblCellMar>
      </w:tblPr>
      <w:tblGrid>
        <w:gridCol w:w="530"/>
        <w:gridCol w:w="2358"/>
        <w:gridCol w:w="1401"/>
        <w:gridCol w:w="1401"/>
        <w:gridCol w:w="1401"/>
        <w:gridCol w:w="1368"/>
      </w:tblGrid>
      <w:tr w14:paraId="1ECDC209">
        <w:tblPrEx>
          <w:tblCellMar>
            <w:top w:w="0" w:type="dxa"/>
            <w:left w:w="79" w:type="dxa"/>
            <w:bottom w:w="0" w:type="dxa"/>
            <w:right w:w="79" w:type="dxa"/>
          </w:tblCellMar>
        </w:tblPrEx>
        <w:trPr>
          <w:trHeight w:val="454" w:hRule="atLeast"/>
          <w:tblHeader/>
        </w:trPr>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28E5D6">
            <w:pPr>
              <w:widowControl/>
              <w:spacing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sz w:val="21"/>
                <w:szCs w:val="21"/>
                <w:highlight w:val="none"/>
              </w:rPr>
              <w:t>序列</w:t>
            </w:r>
          </w:p>
        </w:tc>
        <w:tc>
          <w:tcPr>
            <w:tcW w:w="13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4BAFB5">
            <w:pPr>
              <w:widowControl/>
              <w:spacing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ascii="Times New Roman" w:hAnsi="Times New Roman" w:eastAsia="宋体" w:cs="Times New Roman"/>
                <w:b/>
                <w:color w:val="auto"/>
                <w:sz w:val="21"/>
                <w:szCs w:val="21"/>
                <w:highlight w:val="none"/>
                <w:lang w:bidi="ar"/>
              </w:rPr>
              <w:t>项目支出类别</w:t>
            </w:r>
          </w:p>
        </w:tc>
        <w:tc>
          <w:tcPr>
            <w:tcW w:w="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E018B">
            <w:pPr>
              <w:widowControl/>
              <w:spacing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ascii="Times New Roman" w:hAnsi="Times New Roman" w:eastAsia="宋体" w:cs="Times New Roman"/>
                <w:b/>
                <w:color w:val="auto"/>
                <w:sz w:val="21"/>
                <w:szCs w:val="21"/>
                <w:highlight w:val="none"/>
                <w:lang w:bidi="ar"/>
              </w:rPr>
              <w:t>年初预算数</w:t>
            </w:r>
          </w:p>
        </w:tc>
        <w:tc>
          <w:tcPr>
            <w:tcW w:w="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FC962">
            <w:pPr>
              <w:widowControl/>
              <w:spacing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ascii="Times New Roman" w:hAnsi="Times New Roman" w:eastAsia="宋体" w:cs="Times New Roman"/>
                <w:b/>
                <w:color w:val="auto"/>
                <w:sz w:val="21"/>
                <w:szCs w:val="21"/>
                <w:highlight w:val="none"/>
                <w:lang w:bidi="ar"/>
              </w:rPr>
              <w:t>全年预算数</w:t>
            </w:r>
          </w:p>
        </w:tc>
        <w:tc>
          <w:tcPr>
            <w:tcW w:w="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A11E8">
            <w:pPr>
              <w:widowControl/>
              <w:spacing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ascii="Times New Roman" w:hAnsi="Times New Roman" w:eastAsia="宋体" w:cs="Times New Roman"/>
                <w:b/>
                <w:color w:val="auto"/>
                <w:sz w:val="21"/>
                <w:szCs w:val="21"/>
                <w:highlight w:val="none"/>
                <w:lang w:bidi="ar"/>
              </w:rPr>
              <w:t>决算数</w:t>
            </w:r>
          </w:p>
        </w:tc>
        <w:tc>
          <w:tcPr>
            <w:tcW w:w="8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76608">
            <w:pPr>
              <w:widowControl/>
              <w:spacing w:line="240" w:lineRule="auto"/>
              <w:ind w:firstLine="0" w:firstLineChars="0"/>
              <w:jc w:val="center"/>
              <w:textAlignment w:val="bottom"/>
              <w:rPr>
                <w:rFonts w:ascii="Times New Roman" w:hAnsi="Times New Roman" w:eastAsia="宋体" w:cs="Times New Roman"/>
                <w:b/>
                <w:color w:val="auto"/>
                <w:sz w:val="21"/>
                <w:szCs w:val="21"/>
                <w:highlight w:val="none"/>
              </w:rPr>
            </w:pPr>
            <w:r>
              <w:rPr>
                <w:rFonts w:ascii="Times New Roman" w:hAnsi="Times New Roman" w:eastAsia="宋体" w:cs="Times New Roman"/>
                <w:b/>
                <w:color w:val="auto"/>
                <w:sz w:val="21"/>
                <w:szCs w:val="21"/>
                <w:highlight w:val="none"/>
                <w:lang w:bidi="ar"/>
              </w:rPr>
              <w:t>预算执行率</w:t>
            </w:r>
          </w:p>
        </w:tc>
      </w:tr>
      <w:tr w14:paraId="5FAB17BF">
        <w:tblPrEx>
          <w:tblCellMar>
            <w:top w:w="0" w:type="dxa"/>
            <w:left w:w="79" w:type="dxa"/>
            <w:bottom w:w="0" w:type="dxa"/>
            <w:right w:w="79" w:type="dxa"/>
          </w:tblCellMar>
        </w:tblPrEx>
        <w:trPr>
          <w:trHeight w:val="454" w:hRule="atLeast"/>
        </w:trPr>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1A6E8F">
            <w:pPr>
              <w:widowControl/>
              <w:spacing w:line="240" w:lineRule="auto"/>
              <w:ind w:firstLine="0" w:firstLineChars="0"/>
              <w:jc w:val="center"/>
              <w:textAlignment w:val="center"/>
              <w:rPr>
                <w:rFonts w:ascii="Times New Roman" w:hAnsi="Times New Roman" w:eastAsia="宋体" w:cs="Times New Roman"/>
                <w:b w:val="0"/>
                <w:bCs/>
                <w:color w:val="auto"/>
                <w:sz w:val="21"/>
                <w:szCs w:val="21"/>
                <w:highlight w:val="none"/>
              </w:rPr>
            </w:pPr>
            <w:r>
              <w:rPr>
                <w:rFonts w:ascii="Times New Roman" w:hAnsi="Times New Roman" w:eastAsia="宋体" w:cs="Times New Roman"/>
                <w:b w:val="0"/>
                <w:bCs/>
                <w:color w:val="auto"/>
                <w:sz w:val="21"/>
                <w:szCs w:val="21"/>
                <w:highlight w:val="none"/>
                <w:lang w:bidi="ar"/>
              </w:rPr>
              <w:t>1</w:t>
            </w:r>
          </w:p>
        </w:tc>
        <w:tc>
          <w:tcPr>
            <w:tcW w:w="13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0EB285">
            <w:pPr>
              <w:widowControl/>
              <w:spacing w:line="240" w:lineRule="auto"/>
              <w:ind w:firstLine="0" w:firstLineChars="0"/>
              <w:jc w:val="center"/>
              <w:textAlignment w:val="center"/>
              <w:rPr>
                <w:rFonts w:ascii="Times New Roman" w:hAnsi="Times New Roman" w:eastAsia="宋体" w:cs="Times New Roman"/>
                <w:b/>
                <w:bCs w:val="0"/>
                <w:color w:val="auto"/>
                <w:sz w:val="21"/>
                <w:szCs w:val="21"/>
                <w:highlight w:val="none"/>
              </w:rPr>
            </w:pPr>
            <w:r>
              <w:rPr>
                <w:rFonts w:hint="default" w:ascii="Times New Roman" w:hAnsi="Times New Roman" w:eastAsia="宋体" w:cs="Times New Roman"/>
                <w:b/>
                <w:bCs w:val="0"/>
                <w:color w:val="auto"/>
                <w:sz w:val="21"/>
                <w:szCs w:val="21"/>
                <w:highlight w:val="none"/>
                <w:lang w:bidi="ar"/>
              </w:rPr>
              <w:t>基本支出</w:t>
            </w:r>
          </w:p>
        </w:tc>
        <w:tc>
          <w:tcPr>
            <w:tcW w:w="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9B9CD">
            <w:pPr>
              <w:keepNext w:val="0"/>
              <w:keepLines w:val="0"/>
              <w:widowControl/>
              <w:suppressLineNumbers w:val="0"/>
              <w:spacing w:line="240" w:lineRule="auto"/>
              <w:ind w:firstLine="0" w:firstLineChars="0"/>
              <w:jc w:val="right"/>
              <w:textAlignment w:val="bottom"/>
              <w:rPr>
                <w:rFonts w:hint="eastAsia" w:ascii="Times New Roman" w:hAnsi="Times New Roman" w:eastAsia="宋体" w:cs="Times New Roman"/>
                <w:b w:val="0"/>
                <w:bCs/>
                <w:i w:val="0"/>
                <w:iCs w:val="0"/>
                <w:color w:val="auto"/>
                <w:kern w:val="0"/>
                <w:sz w:val="21"/>
                <w:szCs w:val="21"/>
                <w:highlight w:val="none"/>
                <w:u w:val="none"/>
                <w:lang w:val="en-US" w:eastAsia="zh-CN" w:bidi="ar"/>
              </w:rPr>
            </w:pPr>
            <w:r>
              <w:rPr>
                <w:rFonts w:hint="default" w:ascii="Times New Roman" w:hAnsi="Times New Roman" w:eastAsia="宋体" w:cs="Times New Roman"/>
                <w:b w:val="0"/>
                <w:bCs/>
                <w:i w:val="0"/>
                <w:iCs w:val="0"/>
                <w:color w:val="auto"/>
                <w:kern w:val="0"/>
                <w:sz w:val="21"/>
                <w:szCs w:val="21"/>
                <w:highlight w:val="none"/>
                <w:u w:val="none"/>
                <w:lang w:val="en-US" w:eastAsia="zh-CN" w:bidi="ar"/>
              </w:rPr>
              <w:t>576.61</w:t>
            </w:r>
          </w:p>
        </w:tc>
        <w:tc>
          <w:tcPr>
            <w:tcW w:w="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5AF80">
            <w:pPr>
              <w:keepNext w:val="0"/>
              <w:keepLines w:val="0"/>
              <w:widowControl/>
              <w:suppressLineNumbers w:val="0"/>
              <w:spacing w:line="240" w:lineRule="auto"/>
              <w:ind w:firstLine="0" w:firstLineChars="0"/>
              <w:jc w:val="right"/>
              <w:textAlignment w:val="bottom"/>
              <w:rPr>
                <w:rFonts w:hint="eastAsia" w:ascii="Times New Roman" w:hAnsi="Times New Roman" w:eastAsia="宋体" w:cs="Times New Roman"/>
                <w:b w:val="0"/>
                <w:bCs/>
                <w:i w:val="0"/>
                <w:iCs w:val="0"/>
                <w:color w:val="auto"/>
                <w:kern w:val="0"/>
                <w:sz w:val="21"/>
                <w:szCs w:val="21"/>
                <w:highlight w:val="none"/>
                <w:u w:val="none"/>
                <w:lang w:val="en-US" w:eastAsia="zh-CN" w:bidi="ar"/>
              </w:rPr>
            </w:pPr>
            <w:r>
              <w:rPr>
                <w:rFonts w:hint="default" w:ascii="Times New Roman" w:hAnsi="Times New Roman" w:eastAsia="宋体" w:cs="Times New Roman"/>
                <w:b w:val="0"/>
                <w:bCs/>
                <w:i w:val="0"/>
                <w:iCs w:val="0"/>
                <w:color w:val="auto"/>
                <w:kern w:val="0"/>
                <w:sz w:val="21"/>
                <w:szCs w:val="21"/>
                <w:highlight w:val="none"/>
                <w:u w:val="none"/>
                <w:lang w:val="en-US" w:eastAsia="zh-CN" w:bidi="ar"/>
              </w:rPr>
              <w:t>572.59</w:t>
            </w:r>
          </w:p>
        </w:tc>
        <w:tc>
          <w:tcPr>
            <w:tcW w:w="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60447">
            <w:pPr>
              <w:keepNext w:val="0"/>
              <w:keepLines w:val="0"/>
              <w:widowControl/>
              <w:suppressLineNumbers w:val="0"/>
              <w:spacing w:line="240" w:lineRule="auto"/>
              <w:ind w:firstLine="0" w:firstLineChars="0"/>
              <w:jc w:val="right"/>
              <w:textAlignment w:val="bottom"/>
              <w:rPr>
                <w:rFonts w:hint="eastAsia" w:ascii="Times New Roman" w:hAnsi="Times New Roman" w:eastAsia="宋体" w:cs="Times New Roman"/>
                <w:b w:val="0"/>
                <w:bCs/>
                <w:i w:val="0"/>
                <w:iCs w:val="0"/>
                <w:color w:val="auto"/>
                <w:kern w:val="0"/>
                <w:sz w:val="21"/>
                <w:szCs w:val="21"/>
                <w:highlight w:val="none"/>
                <w:u w:val="none"/>
                <w:lang w:val="en-US" w:eastAsia="zh-CN" w:bidi="ar"/>
              </w:rPr>
            </w:pPr>
            <w:r>
              <w:rPr>
                <w:rFonts w:hint="default" w:ascii="Times New Roman" w:hAnsi="Times New Roman" w:eastAsia="宋体" w:cs="Times New Roman"/>
                <w:b w:val="0"/>
                <w:bCs/>
                <w:i w:val="0"/>
                <w:iCs w:val="0"/>
                <w:color w:val="auto"/>
                <w:kern w:val="0"/>
                <w:sz w:val="21"/>
                <w:szCs w:val="21"/>
                <w:highlight w:val="none"/>
                <w:u w:val="none"/>
                <w:lang w:val="en-US" w:eastAsia="zh-CN" w:bidi="ar"/>
              </w:rPr>
              <w:t>572.59</w:t>
            </w:r>
          </w:p>
        </w:tc>
        <w:tc>
          <w:tcPr>
            <w:tcW w:w="8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CE778">
            <w:pPr>
              <w:keepNext w:val="0"/>
              <w:keepLines w:val="0"/>
              <w:widowControl/>
              <w:suppressLineNumbers w:val="0"/>
              <w:spacing w:line="240" w:lineRule="auto"/>
              <w:ind w:firstLine="0" w:firstLineChars="0"/>
              <w:jc w:val="center"/>
              <w:textAlignment w:val="bottom"/>
              <w:rPr>
                <w:rFonts w:hint="eastAsia" w:ascii="Times New Roman" w:hAnsi="Times New Roman" w:eastAsia="宋体" w:cs="Times New Roman"/>
                <w:b w:val="0"/>
                <w:bCs/>
                <w:i w:val="0"/>
                <w:iCs w:val="0"/>
                <w:color w:val="auto"/>
                <w:kern w:val="0"/>
                <w:sz w:val="21"/>
                <w:szCs w:val="21"/>
                <w:highlight w:val="none"/>
                <w:u w:val="none"/>
                <w:lang w:val="en-US" w:eastAsia="zh-CN" w:bidi="ar"/>
              </w:rPr>
            </w:pPr>
            <w:r>
              <w:rPr>
                <w:rFonts w:hint="eastAsia" w:ascii="Times New Roman" w:hAnsi="Times New Roman" w:eastAsia="宋体" w:cs="Times New Roman"/>
                <w:b w:val="0"/>
                <w:bCs/>
                <w:i w:val="0"/>
                <w:iCs w:val="0"/>
                <w:color w:val="auto"/>
                <w:kern w:val="0"/>
                <w:sz w:val="21"/>
                <w:szCs w:val="21"/>
                <w:highlight w:val="none"/>
                <w:u w:val="none"/>
                <w:lang w:val="en-US" w:eastAsia="zh-CN" w:bidi="ar"/>
              </w:rPr>
              <w:t>100.00%</w:t>
            </w:r>
          </w:p>
        </w:tc>
      </w:tr>
      <w:tr w14:paraId="56CA11C6">
        <w:tblPrEx>
          <w:tblCellMar>
            <w:top w:w="0" w:type="dxa"/>
            <w:left w:w="79" w:type="dxa"/>
            <w:bottom w:w="0" w:type="dxa"/>
            <w:right w:w="79" w:type="dxa"/>
          </w:tblCellMar>
        </w:tblPrEx>
        <w:trPr>
          <w:trHeight w:val="454" w:hRule="atLeast"/>
        </w:trPr>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2B2CB4">
            <w:pPr>
              <w:widowControl/>
              <w:spacing w:line="240" w:lineRule="auto"/>
              <w:ind w:firstLine="0" w:firstLineChars="0"/>
              <w:jc w:val="center"/>
              <w:textAlignment w:val="center"/>
              <w:rPr>
                <w:rFonts w:ascii="Times New Roman" w:hAnsi="Times New Roman" w:eastAsia="宋体" w:cs="Times New Roman"/>
                <w:b w:val="0"/>
                <w:bCs/>
                <w:color w:val="auto"/>
                <w:sz w:val="21"/>
                <w:szCs w:val="21"/>
                <w:highlight w:val="none"/>
              </w:rPr>
            </w:pPr>
            <w:r>
              <w:rPr>
                <w:rFonts w:ascii="Times New Roman" w:hAnsi="Times New Roman" w:eastAsia="宋体" w:cs="Times New Roman"/>
                <w:b w:val="0"/>
                <w:bCs/>
                <w:color w:val="auto"/>
                <w:sz w:val="21"/>
                <w:szCs w:val="21"/>
                <w:highlight w:val="none"/>
                <w:lang w:bidi="ar"/>
              </w:rPr>
              <w:t>2</w:t>
            </w:r>
          </w:p>
        </w:tc>
        <w:tc>
          <w:tcPr>
            <w:tcW w:w="13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0E0512">
            <w:pPr>
              <w:widowControl/>
              <w:spacing w:line="240" w:lineRule="auto"/>
              <w:ind w:left="0" w:leftChars="0" w:firstLine="0" w:firstLineChars="0"/>
              <w:jc w:val="center"/>
              <w:textAlignment w:val="center"/>
              <w:rPr>
                <w:rFonts w:ascii="Times New Roman" w:hAnsi="Times New Roman" w:eastAsia="宋体" w:cs="Times New Roman"/>
                <w:b/>
                <w:bCs w:val="0"/>
                <w:color w:val="auto"/>
                <w:sz w:val="21"/>
                <w:szCs w:val="21"/>
                <w:highlight w:val="none"/>
              </w:rPr>
            </w:pPr>
            <w:r>
              <w:rPr>
                <w:rFonts w:ascii="Times New Roman" w:hAnsi="Times New Roman" w:eastAsia="宋体" w:cs="Times New Roman"/>
                <w:b/>
                <w:bCs w:val="0"/>
                <w:color w:val="auto"/>
                <w:sz w:val="21"/>
                <w:szCs w:val="21"/>
                <w:highlight w:val="none"/>
                <w:lang w:bidi="ar"/>
              </w:rPr>
              <w:t>人员经费</w:t>
            </w:r>
          </w:p>
        </w:tc>
        <w:tc>
          <w:tcPr>
            <w:tcW w:w="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C18DC">
            <w:pPr>
              <w:keepNext w:val="0"/>
              <w:keepLines w:val="0"/>
              <w:widowControl/>
              <w:suppressLineNumbers w:val="0"/>
              <w:spacing w:line="240" w:lineRule="auto"/>
              <w:ind w:firstLine="0" w:firstLineChars="0"/>
              <w:jc w:val="right"/>
              <w:textAlignment w:val="bottom"/>
              <w:rPr>
                <w:rFonts w:hint="default" w:ascii="Times New Roman" w:hAnsi="Times New Roman" w:eastAsia="宋体" w:cs="Times New Roman"/>
                <w:b w:val="0"/>
                <w:bCs/>
                <w:i w:val="0"/>
                <w:iCs w:val="0"/>
                <w:color w:val="auto"/>
                <w:kern w:val="0"/>
                <w:sz w:val="21"/>
                <w:szCs w:val="21"/>
                <w:highlight w:val="none"/>
                <w:u w:val="none"/>
                <w:lang w:val="en-US" w:eastAsia="zh-CN" w:bidi="ar"/>
              </w:rPr>
            </w:pPr>
            <w:r>
              <w:rPr>
                <w:rFonts w:hint="default" w:ascii="Times New Roman" w:hAnsi="Times New Roman" w:eastAsia="宋体" w:cs="Times New Roman"/>
                <w:b w:val="0"/>
                <w:bCs/>
                <w:i w:val="0"/>
                <w:iCs w:val="0"/>
                <w:color w:val="auto"/>
                <w:kern w:val="0"/>
                <w:sz w:val="21"/>
                <w:szCs w:val="21"/>
                <w:highlight w:val="none"/>
                <w:u w:val="none"/>
                <w:lang w:val="en-US" w:eastAsia="zh-CN" w:bidi="ar"/>
              </w:rPr>
              <w:t>553.05</w:t>
            </w:r>
          </w:p>
        </w:tc>
        <w:tc>
          <w:tcPr>
            <w:tcW w:w="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A7BD3">
            <w:pPr>
              <w:keepNext w:val="0"/>
              <w:keepLines w:val="0"/>
              <w:widowControl/>
              <w:suppressLineNumbers w:val="0"/>
              <w:spacing w:line="240" w:lineRule="auto"/>
              <w:ind w:firstLine="0" w:firstLineChars="0"/>
              <w:jc w:val="right"/>
              <w:textAlignment w:val="bottom"/>
              <w:rPr>
                <w:rFonts w:hint="default" w:ascii="Times New Roman" w:hAnsi="Times New Roman" w:eastAsia="宋体" w:cs="Times New Roman"/>
                <w:b w:val="0"/>
                <w:bCs/>
                <w:i w:val="0"/>
                <w:iCs w:val="0"/>
                <w:color w:val="auto"/>
                <w:kern w:val="0"/>
                <w:sz w:val="21"/>
                <w:szCs w:val="21"/>
                <w:highlight w:val="none"/>
                <w:u w:val="none"/>
                <w:lang w:val="en-US" w:eastAsia="zh-CN" w:bidi="ar"/>
              </w:rPr>
            </w:pPr>
            <w:r>
              <w:rPr>
                <w:rFonts w:hint="default" w:ascii="Times New Roman" w:hAnsi="Times New Roman" w:eastAsia="宋体" w:cs="Times New Roman"/>
                <w:b w:val="0"/>
                <w:bCs/>
                <w:i w:val="0"/>
                <w:iCs w:val="0"/>
                <w:color w:val="auto"/>
                <w:kern w:val="0"/>
                <w:sz w:val="21"/>
                <w:szCs w:val="21"/>
                <w:highlight w:val="none"/>
                <w:u w:val="none"/>
                <w:lang w:val="en-US" w:eastAsia="zh-CN" w:bidi="ar"/>
              </w:rPr>
              <w:t>556.75</w:t>
            </w:r>
          </w:p>
        </w:tc>
        <w:tc>
          <w:tcPr>
            <w:tcW w:w="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4DF7D">
            <w:pPr>
              <w:keepNext w:val="0"/>
              <w:keepLines w:val="0"/>
              <w:widowControl/>
              <w:suppressLineNumbers w:val="0"/>
              <w:spacing w:line="240" w:lineRule="auto"/>
              <w:ind w:firstLine="0" w:firstLineChars="0"/>
              <w:jc w:val="right"/>
              <w:textAlignment w:val="bottom"/>
              <w:rPr>
                <w:rFonts w:hint="default" w:ascii="Times New Roman" w:hAnsi="Times New Roman" w:eastAsia="宋体" w:cs="Times New Roman"/>
                <w:b w:val="0"/>
                <w:bCs/>
                <w:i w:val="0"/>
                <w:iCs w:val="0"/>
                <w:color w:val="auto"/>
                <w:kern w:val="0"/>
                <w:sz w:val="21"/>
                <w:szCs w:val="21"/>
                <w:highlight w:val="none"/>
                <w:u w:val="none"/>
                <w:lang w:val="en-US" w:eastAsia="zh-CN" w:bidi="ar"/>
              </w:rPr>
            </w:pPr>
            <w:r>
              <w:rPr>
                <w:rFonts w:hint="default" w:ascii="Times New Roman" w:hAnsi="Times New Roman" w:eastAsia="宋体" w:cs="Times New Roman"/>
                <w:b w:val="0"/>
                <w:bCs/>
                <w:i w:val="0"/>
                <w:iCs w:val="0"/>
                <w:color w:val="auto"/>
                <w:kern w:val="0"/>
                <w:sz w:val="21"/>
                <w:szCs w:val="21"/>
                <w:highlight w:val="none"/>
                <w:u w:val="none"/>
                <w:lang w:val="en-US" w:eastAsia="zh-CN" w:bidi="ar"/>
              </w:rPr>
              <w:t>556.75</w:t>
            </w:r>
          </w:p>
        </w:tc>
        <w:tc>
          <w:tcPr>
            <w:tcW w:w="8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6E839">
            <w:pPr>
              <w:keepNext w:val="0"/>
              <w:keepLines w:val="0"/>
              <w:widowControl/>
              <w:suppressLineNumbers w:val="0"/>
              <w:spacing w:line="240" w:lineRule="auto"/>
              <w:ind w:firstLine="0" w:firstLineChars="0"/>
              <w:jc w:val="center"/>
              <w:textAlignment w:val="bottom"/>
              <w:rPr>
                <w:rFonts w:hint="default" w:ascii="Times New Roman" w:hAnsi="Times New Roman" w:eastAsia="宋体" w:cs="Times New Roman"/>
                <w:b w:val="0"/>
                <w:bCs/>
                <w:i w:val="0"/>
                <w:iCs w:val="0"/>
                <w:color w:val="auto"/>
                <w:kern w:val="0"/>
                <w:sz w:val="21"/>
                <w:szCs w:val="21"/>
                <w:highlight w:val="none"/>
                <w:u w:val="none"/>
                <w:lang w:val="en-US" w:eastAsia="zh-CN" w:bidi="ar"/>
              </w:rPr>
            </w:pPr>
            <w:r>
              <w:rPr>
                <w:rFonts w:hint="default" w:ascii="Times New Roman" w:hAnsi="Times New Roman" w:eastAsia="宋体" w:cs="Times New Roman"/>
                <w:b w:val="0"/>
                <w:bCs/>
                <w:i w:val="0"/>
                <w:iCs w:val="0"/>
                <w:color w:val="auto"/>
                <w:kern w:val="0"/>
                <w:sz w:val="21"/>
                <w:szCs w:val="21"/>
                <w:highlight w:val="none"/>
                <w:u w:val="none"/>
                <w:lang w:val="en-US" w:eastAsia="zh-CN" w:bidi="ar"/>
              </w:rPr>
              <w:t>100.00%</w:t>
            </w:r>
          </w:p>
        </w:tc>
      </w:tr>
      <w:tr w14:paraId="75851ED3">
        <w:tblPrEx>
          <w:tblCellMar>
            <w:top w:w="0" w:type="dxa"/>
            <w:left w:w="79" w:type="dxa"/>
            <w:bottom w:w="0" w:type="dxa"/>
            <w:right w:w="79" w:type="dxa"/>
          </w:tblCellMar>
        </w:tblPrEx>
        <w:trPr>
          <w:trHeight w:val="454" w:hRule="atLeast"/>
        </w:trPr>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91E341">
            <w:pPr>
              <w:widowControl/>
              <w:spacing w:line="240" w:lineRule="auto"/>
              <w:ind w:firstLine="0" w:firstLineChars="0"/>
              <w:jc w:val="center"/>
              <w:textAlignment w:val="center"/>
              <w:rPr>
                <w:rFonts w:ascii="Times New Roman" w:hAnsi="Times New Roman" w:eastAsia="宋体" w:cs="Times New Roman"/>
                <w:b w:val="0"/>
                <w:bCs/>
                <w:color w:val="auto"/>
                <w:sz w:val="21"/>
                <w:szCs w:val="21"/>
                <w:highlight w:val="none"/>
              </w:rPr>
            </w:pPr>
            <w:r>
              <w:rPr>
                <w:rFonts w:ascii="Times New Roman" w:hAnsi="Times New Roman" w:eastAsia="宋体" w:cs="Times New Roman"/>
                <w:b w:val="0"/>
                <w:bCs/>
                <w:color w:val="auto"/>
                <w:sz w:val="21"/>
                <w:szCs w:val="21"/>
                <w:highlight w:val="none"/>
                <w:lang w:bidi="ar"/>
              </w:rPr>
              <w:t>3</w:t>
            </w:r>
          </w:p>
        </w:tc>
        <w:tc>
          <w:tcPr>
            <w:tcW w:w="13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737169">
            <w:pPr>
              <w:widowControl/>
              <w:spacing w:line="240" w:lineRule="auto"/>
              <w:ind w:left="0" w:leftChars="0" w:firstLine="0" w:firstLineChars="0"/>
              <w:jc w:val="center"/>
              <w:textAlignment w:val="center"/>
              <w:rPr>
                <w:rFonts w:ascii="Times New Roman" w:hAnsi="Times New Roman" w:eastAsia="宋体" w:cs="Times New Roman"/>
                <w:b/>
                <w:bCs w:val="0"/>
                <w:color w:val="auto"/>
                <w:sz w:val="21"/>
                <w:szCs w:val="21"/>
                <w:highlight w:val="none"/>
              </w:rPr>
            </w:pPr>
            <w:r>
              <w:rPr>
                <w:rFonts w:ascii="Times New Roman" w:hAnsi="Times New Roman" w:eastAsia="宋体" w:cs="Times New Roman"/>
                <w:b/>
                <w:bCs w:val="0"/>
                <w:color w:val="auto"/>
                <w:sz w:val="21"/>
                <w:szCs w:val="21"/>
                <w:highlight w:val="none"/>
                <w:lang w:bidi="ar"/>
              </w:rPr>
              <w:t>公用经费</w:t>
            </w:r>
          </w:p>
        </w:tc>
        <w:tc>
          <w:tcPr>
            <w:tcW w:w="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978A4">
            <w:pPr>
              <w:keepNext w:val="0"/>
              <w:keepLines w:val="0"/>
              <w:widowControl/>
              <w:suppressLineNumbers w:val="0"/>
              <w:spacing w:line="240" w:lineRule="auto"/>
              <w:ind w:firstLine="0" w:firstLineChars="0"/>
              <w:jc w:val="right"/>
              <w:textAlignment w:val="bottom"/>
              <w:rPr>
                <w:rFonts w:hint="default" w:ascii="Times New Roman" w:hAnsi="Times New Roman" w:eastAsia="宋体" w:cs="Times New Roman"/>
                <w:b w:val="0"/>
                <w:bCs/>
                <w:i w:val="0"/>
                <w:iCs w:val="0"/>
                <w:color w:val="auto"/>
                <w:kern w:val="0"/>
                <w:sz w:val="21"/>
                <w:szCs w:val="21"/>
                <w:highlight w:val="none"/>
                <w:u w:val="none"/>
                <w:lang w:val="en-US" w:eastAsia="zh-CN" w:bidi="ar"/>
              </w:rPr>
            </w:pPr>
            <w:r>
              <w:rPr>
                <w:rFonts w:hint="default" w:ascii="Times New Roman" w:hAnsi="Times New Roman" w:eastAsia="宋体" w:cs="Times New Roman"/>
                <w:b w:val="0"/>
                <w:bCs/>
                <w:i w:val="0"/>
                <w:iCs w:val="0"/>
                <w:color w:val="auto"/>
                <w:kern w:val="0"/>
                <w:sz w:val="21"/>
                <w:szCs w:val="21"/>
                <w:highlight w:val="none"/>
                <w:u w:val="none"/>
                <w:lang w:val="en-US" w:eastAsia="zh-CN" w:bidi="ar"/>
              </w:rPr>
              <w:t>23.56</w:t>
            </w:r>
          </w:p>
        </w:tc>
        <w:tc>
          <w:tcPr>
            <w:tcW w:w="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3939B">
            <w:pPr>
              <w:keepNext w:val="0"/>
              <w:keepLines w:val="0"/>
              <w:widowControl/>
              <w:suppressLineNumbers w:val="0"/>
              <w:spacing w:line="240" w:lineRule="auto"/>
              <w:ind w:firstLine="0" w:firstLineChars="0"/>
              <w:jc w:val="right"/>
              <w:textAlignment w:val="bottom"/>
              <w:rPr>
                <w:rFonts w:hint="default" w:ascii="Times New Roman" w:hAnsi="Times New Roman" w:eastAsia="宋体" w:cs="Times New Roman"/>
                <w:b w:val="0"/>
                <w:bCs/>
                <w:i w:val="0"/>
                <w:iCs w:val="0"/>
                <w:color w:val="auto"/>
                <w:kern w:val="0"/>
                <w:sz w:val="21"/>
                <w:szCs w:val="21"/>
                <w:highlight w:val="none"/>
                <w:u w:val="none"/>
                <w:lang w:val="en-US" w:eastAsia="zh-CN" w:bidi="ar"/>
              </w:rPr>
            </w:pPr>
            <w:r>
              <w:rPr>
                <w:rFonts w:hint="default" w:ascii="Times New Roman" w:hAnsi="Times New Roman" w:eastAsia="宋体" w:cs="Times New Roman"/>
                <w:b w:val="0"/>
                <w:bCs/>
                <w:i w:val="0"/>
                <w:iCs w:val="0"/>
                <w:color w:val="auto"/>
                <w:kern w:val="0"/>
                <w:sz w:val="21"/>
                <w:szCs w:val="21"/>
                <w:highlight w:val="none"/>
                <w:u w:val="none"/>
                <w:lang w:val="en-US" w:eastAsia="zh-CN" w:bidi="ar"/>
              </w:rPr>
              <w:t>15.84</w:t>
            </w:r>
          </w:p>
        </w:tc>
        <w:tc>
          <w:tcPr>
            <w:tcW w:w="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885AF">
            <w:pPr>
              <w:keepNext w:val="0"/>
              <w:keepLines w:val="0"/>
              <w:widowControl/>
              <w:suppressLineNumbers w:val="0"/>
              <w:spacing w:line="240" w:lineRule="auto"/>
              <w:ind w:firstLine="0" w:firstLineChars="0"/>
              <w:jc w:val="right"/>
              <w:textAlignment w:val="bottom"/>
              <w:rPr>
                <w:rFonts w:hint="default" w:ascii="Times New Roman" w:hAnsi="Times New Roman" w:eastAsia="宋体" w:cs="Times New Roman"/>
                <w:b w:val="0"/>
                <w:bCs/>
                <w:i w:val="0"/>
                <w:iCs w:val="0"/>
                <w:color w:val="auto"/>
                <w:kern w:val="0"/>
                <w:sz w:val="21"/>
                <w:szCs w:val="21"/>
                <w:highlight w:val="none"/>
                <w:u w:val="none"/>
                <w:lang w:val="en-US" w:eastAsia="zh-CN" w:bidi="ar"/>
              </w:rPr>
            </w:pPr>
            <w:r>
              <w:rPr>
                <w:rFonts w:hint="default" w:ascii="Times New Roman" w:hAnsi="Times New Roman" w:eastAsia="宋体" w:cs="Times New Roman"/>
                <w:b w:val="0"/>
                <w:bCs/>
                <w:i w:val="0"/>
                <w:iCs w:val="0"/>
                <w:color w:val="auto"/>
                <w:kern w:val="0"/>
                <w:sz w:val="21"/>
                <w:szCs w:val="21"/>
                <w:highlight w:val="none"/>
                <w:u w:val="none"/>
                <w:lang w:val="en-US" w:eastAsia="zh-CN" w:bidi="ar"/>
              </w:rPr>
              <w:t>15.84</w:t>
            </w:r>
          </w:p>
        </w:tc>
        <w:tc>
          <w:tcPr>
            <w:tcW w:w="8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CFC37">
            <w:pPr>
              <w:keepNext w:val="0"/>
              <w:keepLines w:val="0"/>
              <w:widowControl/>
              <w:suppressLineNumbers w:val="0"/>
              <w:spacing w:line="240" w:lineRule="auto"/>
              <w:ind w:firstLine="0" w:firstLineChars="0"/>
              <w:jc w:val="center"/>
              <w:textAlignment w:val="bottom"/>
              <w:rPr>
                <w:rFonts w:hint="default" w:ascii="Times New Roman" w:hAnsi="Times New Roman" w:eastAsia="宋体" w:cs="Times New Roman"/>
                <w:b w:val="0"/>
                <w:bCs/>
                <w:i w:val="0"/>
                <w:iCs w:val="0"/>
                <w:color w:val="auto"/>
                <w:kern w:val="0"/>
                <w:sz w:val="21"/>
                <w:szCs w:val="21"/>
                <w:highlight w:val="none"/>
                <w:u w:val="none"/>
                <w:lang w:val="en-US" w:eastAsia="zh-CN" w:bidi="ar"/>
              </w:rPr>
            </w:pPr>
            <w:r>
              <w:rPr>
                <w:rFonts w:hint="default" w:ascii="Times New Roman" w:hAnsi="Times New Roman" w:eastAsia="宋体" w:cs="Times New Roman"/>
                <w:b w:val="0"/>
                <w:bCs/>
                <w:i w:val="0"/>
                <w:iCs w:val="0"/>
                <w:color w:val="auto"/>
                <w:kern w:val="0"/>
                <w:sz w:val="21"/>
                <w:szCs w:val="21"/>
                <w:highlight w:val="none"/>
                <w:u w:val="none"/>
                <w:lang w:val="en-US" w:eastAsia="zh-CN" w:bidi="ar"/>
              </w:rPr>
              <w:t>100.00%</w:t>
            </w:r>
          </w:p>
        </w:tc>
      </w:tr>
      <w:tr w14:paraId="74AFFD8B">
        <w:tblPrEx>
          <w:tblCellMar>
            <w:top w:w="0" w:type="dxa"/>
            <w:left w:w="79" w:type="dxa"/>
            <w:bottom w:w="0" w:type="dxa"/>
            <w:right w:w="79" w:type="dxa"/>
          </w:tblCellMar>
        </w:tblPrEx>
        <w:trPr>
          <w:trHeight w:val="454" w:hRule="atLeast"/>
        </w:trPr>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2BC030">
            <w:pPr>
              <w:widowControl/>
              <w:spacing w:line="240" w:lineRule="auto"/>
              <w:ind w:firstLine="0" w:firstLineChars="0"/>
              <w:jc w:val="center"/>
              <w:textAlignment w:val="center"/>
              <w:rPr>
                <w:rFonts w:ascii="Times New Roman" w:hAnsi="Times New Roman" w:eastAsia="宋体" w:cs="Times New Roman"/>
                <w:b w:val="0"/>
                <w:bCs/>
                <w:color w:val="auto"/>
                <w:sz w:val="21"/>
                <w:szCs w:val="21"/>
                <w:highlight w:val="none"/>
              </w:rPr>
            </w:pPr>
            <w:r>
              <w:rPr>
                <w:rFonts w:ascii="Times New Roman" w:hAnsi="Times New Roman" w:eastAsia="宋体" w:cs="Times New Roman"/>
                <w:b w:val="0"/>
                <w:bCs/>
                <w:color w:val="auto"/>
                <w:sz w:val="21"/>
                <w:szCs w:val="21"/>
                <w:highlight w:val="none"/>
                <w:lang w:bidi="ar"/>
              </w:rPr>
              <w:t>4</w:t>
            </w:r>
          </w:p>
        </w:tc>
        <w:tc>
          <w:tcPr>
            <w:tcW w:w="13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ED9980">
            <w:pPr>
              <w:widowControl/>
              <w:spacing w:line="240" w:lineRule="auto"/>
              <w:ind w:firstLine="0" w:firstLineChars="0"/>
              <w:jc w:val="center"/>
              <w:textAlignment w:val="center"/>
              <w:rPr>
                <w:rFonts w:ascii="Times New Roman" w:hAnsi="Times New Roman" w:eastAsia="宋体" w:cs="Times New Roman"/>
                <w:b/>
                <w:bCs w:val="0"/>
                <w:color w:val="auto"/>
                <w:sz w:val="21"/>
                <w:szCs w:val="21"/>
                <w:highlight w:val="none"/>
              </w:rPr>
            </w:pPr>
            <w:r>
              <w:rPr>
                <w:rFonts w:ascii="Times New Roman" w:hAnsi="Times New Roman" w:eastAsia="宋体" w:cs="Times New Roman"/>
                <w:b/>
                <w:bCs w:val="0"/>
                <w:color w:val="auto"/>
                <w:sz w:val="21"/>
                <w:szCs w:val="21"/>
                <w:highlight w:val="none"/>
                <w:lang w:bidi="ar"/>
              </w:rPr>
              <w:t>项目支出</w:t>
            </w:r>
          </w:p>
        </w:tc>
        <w:tc>
          <w:tcPr>
            <w:tcW w:w="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6812D">
            <w:pPr>
              <w:keepNext w:val="0"/>
              <w:keepLines w:val="0"/>
              <w:widowControl/>
              <w:suppressLineNumbers w:val="0"/>
              <w:spacing w:line="240" w:lineRule="auto"/>
              <w:ind w:firstLine="0" w:firstLineChars="0"/>
              <w:jc w:val="right"/>
              <w:textAlignment w:val="bottom"/>
              <w:rPr>
                <w:rFonts w:hint="default" w:ascii="Times New Roman" w:hAnsi="Times New Roman" w:eastAsia="宋体" w:cs="Times New Roman"/>
                <w:b w:val="0"/>
                <w:bCs/>
                <w:i w:val="0"/>
                <w:iCs w:val="0"/>
                <w:color w:val="auto"/>
                <w:kern w:val="0"/>
                <w:sz w:val="21"/>
                <w:szCs w:val="21"/>
                <w:highlight w:val="none"/>
                <w:u w:val="none"/>
                <w:lang w:val="en-US" w:eastAsia="zh-CN" w:bidi="ar"/>
              </w:rPr>
            </w:pPr>
            <w:r>
              <w:rPr>
                <w:rFonts w:hint="default" w:ascii="Times New Roman" w:hAnsi="Times New Roman" w:eastAsia="宋体" w:cs="Times New Roman"/>
                <w:b w:val="0"/>
                <w:bCs/>
                <w:i w:val="0"/>
                <w:iCs w:val="0"/>
                <w:color w:val="auto"/>
                <w:kern w:val="0"/>
                <w:sz w:val="21"/>
                <w:szCs w:val="21"/>
                <w:highlight w:val="none"/>
                <w:u w:val="none"/>
                <w:lang w:val="en-US" w:eastAsia="zh-CN" w:bidi="ar"/>
              </w:rPr>
              <w:t>0.80</w:t>
            </w:r>
          </w:p>
        </w:tc>
        <w:tc>
          <w:tcPr>
            <w:tcW w:w="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35FA5">
            <w:pPr>
              <w:keepNext w:val="0"/>
              <w:keepLines w:val="0"/>
              <w:widowControl/>
              <w:suppressLineNumbers w:val="0"/>
              <w:spacing w:line="240" w:lineRule="auto"/>
              <w:ind w:firstLine="0" w:firstLineChars="0"/>
              <w:jc w:val="right"/>
              <w:textAlignment w:val="bottom"/>
              <w:rPr>
                <w:rFonts w:hint="default" w:ascii="Times New Roman" w:hAnsi="Times New Roman" w:eastAsia="宋体" w:cs="Times New Roman"/>
                <w:b w:val="0"/>
                <w:bCs/>
                <w:i w:val="0"/>
                <w:iCs w:val="0"/>
                <w:color w:val="auto"/>
                <w:kern w:val="0"/>
                <w:sz w:val="21"/>
                <w:szCs w:val="21"/>
                <w:highlight w:val="none"/>
                <w:u w:val="none"/>
                <w:lang w:val="en-US" w:eastAsia="zh-CN" w:bidi="ar"/>
              </w:rPr>
            </w:pPr>
            <w:r>
              <w:rPr>
                <w:rFonts w:hint="default" w:ascii="Times New Roman" w:hAnsi="Times New Roman" w:eastAsia="宋体" w:cs="Times New Roman"/>
                <w:b w:val="0"/>
                <w:bCs/>
                <w:i w:val="0"/>
                <w:iCs w:val="0"/>
                <w:color w:val="auto"/>
                <w:kern w:val="0"/>
                <w:sz w:val="21"/>
                <w:szCs w:val="21"/>
                <w:highlight w:val="none"/>
                <w:u w:val="none"/>
                <w:lang w:val="en-US" w:eastAsia="zh-CN" w:bidi="ar"/>
              </w:rPr>
              <w:t>673.25</w:t>
            </w:r>
          </w:p>
        </w:tc>
        <w:tc>
          <w:tcPr>
            <w:tcW w:w="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361B3">
            <w:pPr>
              <w:keepNext w:val="0"/>
              <w:keepLines w:val="0"/>
              <w:widowControl/>
              <w:suppressLineNumbers w:val="0"/>
              <w:spacing w:line="240" w:lineRule="auto"/>
              <w:ind w:firstLine="0" w:firstLineChars="0"/>
              <w:jc w:val="right"/>
              <w:textAlignment w:val="bottom"/>
              <w:rPr>
                <w:rFonts w:hint="default" w:ascii="Times New Roman" w:hAnsi="Times New Roman" w:eastAsia="宋体" w:cs="Times New Roman"/>
                <w:b w:val="0"/>
                <w:bCs/>
                <w:i w:val="0"/>
                <w:iCs w:val="0"/>
                <w:color w:val="auto"/>
                <w:kern w:val="0"/>
                <w:sz w:val="21"/>
                <w:szCs w:val="21"/>
                <w:highlight w:val="none"/>
                <w:u w:val="none"/>
                <w:lang w:val="en-US" w:eastAsia="zh-CN" w:bidi="ar"/>
              </w:rPr>
            </w:pPr>
            <w:r>
              <w:rPr>
                <w:rFonts w:hint="default" w:ascii="Times New Roman" w:hAnsi="Times New Roman" w:eastAsia="宋体" w:cs="Times New Roman"/>
                <w:b w:val="0"/>
                <w:bCs/>
                <w:i w:val="0"/>
                <w:iCs w:val="0"/>
                <w:color w:val="auto"/>
                <w:kern w:val="0"/>
                <w:sz w:val="21"/>
                <w:szCs w:val="21"/>
                <w:highlight w:val="none"/>
                <w:u w:val="none"/>
                <w:lang w:val="en-US" w:eastAsia="zh-CN" w:bidi="ar"/>
              </w:rPr>
              <w:t>673.25</w:t>
            </w:r>
          </w:p>
        </w:tc>
        <w:tc>
          <w:tcPr>
            <w:tcW w:w="8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EF600">
            <w:pPr>
              <w:keepNext w:val="0"/>
              <w:keepLines w:val="0"/>
              <w:widowControl/>
              <w:suppressLineNumbers w:val="0"/>
              <w:spacing w:line="240" w:lineRule="auto"/>
              <w:ind w:firstLine="0" w:firstLineChars="0"/>
              <w:jc w:val="center"/>
              <w:textAlignment w:val="bottom"/>
              <w:rPr>
                <w:rFonts w:hint="default" w:ascii="Times New Roman" w:hAnsi="Times New Roman" w:eastAsia="宋体" w:cs="Times New Roman"/>
                <w:b w:val="0"/>
                <w:bCs/>
                <w:i w:val="0"/>
                <w:iCs w:val="0"/>
                <w:color w:val="auto"/>
                <w:kern w:val="0"/>
                <w:sz w:val="21"/>
                <w:szCs w:val="21"/>
                <w:highlight w:val="none"/>
                <w:u w:val="none"/>
                <w:lang w:val="en-US" w:eastAsia="zh-CN" w:bidi="ar"/>
              </w:rPr>
            </w:pPr>
            <w:r>
              <w:rPr>
                <w:rFonts w:hint="eastAsia" w:ascii="Times New Roman" w:hAnsi="Times New Roman" w:eastAsia="宋体" w:cs="Times New Roman"/>
                <w:b w:val="0"/>
                <w:bCs/>
                <w:i w:val="0"/>
                <w:iCs w:val="0"/>
                <w:color w:val="auto"/>
                <w:kern w:val="0"/>
                <w:sz w:val="21"/>
                <w:szCs w:val="21"/>
                <w:highlight w:val="none"/>
                <w:u w:val="none"/>
                <w:lang w:val="en-US" w:eastAsia="zh-CN" w:bidi="ar"/>
              </w:rPr>
              <w:t>100.00%</w:t>
            </w:r>
          </w:p>
        </w:tc>
      </w:tr>
      <w:tr w14:paraId="5DABC40D">
        <w:tblPrEx>
          <w:tblCellMar>
            <w:top w:w="0" w:type="dxa"/>
            <w:left w:w="79" w:type="dxa"/>
            <w:bottom w:w="0" w:type="dxa"/>
            <w:right w:w="79" w:type="dxa"/>
          </w:tblCellMar>
        </w:tblPrEx>
        <w:trPr>
          <w:trHeight w:val="454" w:hRule="atLeast"/>
        </w:trPr>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17F89E">
            <w:pPr>
              <w:widowControl/>
              <w:spacing w:line="240" w:lineRule="auto"/>
              <w:ind w:firstLine="0" w:firstLineChars="0"/>
              <w:jc w:val="center"/>
              <w:textAlignment w:val="center"/>
              <w:rPr>
                <w:rFonts w:hint="eastAsia" w:ascii="Times New Roman" w:hAnsi="Times New Roman" w:eastAsia="宋体" w:cs="Times New Roman"/>
                <w:b w:val="0"/>
                <w:bCs/>
                <w:color w:val="auto"/>
                <w:sz w:val="21"/>
                <w:szCs w:val="21"/>
                <w:highlight w:val="none"/>
                <w:lang w:eastAsia="zh-CN"/>
              </w:rPr>
            </w:pPr>
            <w:r>
              <w:rPr>
                <w:rFonts w:hint="eastAsia" w:ascii="Times New Roman" w:hAnsi="Times New Roman" w:eastAsia="宋体" w:cs="Times New Roman"/>
                <w:b w:val="0"/>
                <w:bCs/>
                <w:color w:val="auto"/>
                <w:sz w:val="21"/>
                <w:szCs w:val="21"/>
                <w:highlight w:val="none"/>
                <w:lang w:val="en-US" w:eastAsia="zh-CN" w:bidi="ar"/>
              </w:rPr>
              <w:t>5</w:t>
            </w:r>
          </w:p>
        </w:tc>
        <w:tc>
          <w:tcPr>
            <w:tcW w:w="13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F7B1C5">
            <w:pPr>
              <w:widowControl/>
              <w:spacing w:line="240" w:lineRule="auto"/>
              <w:ind w:firstLine="0" w:firstLineChars="0"/>
              <w:jc w:val="center"/>
              <w:textAlignment w:val="center"/>
              <w:rPr>
                <w:rFonts w:ascii="Times New Roman" w:hAnsi="Times New Roman" w:eastAsia="宋体" w:cs="Times New Roman"/>
                <w:b/>
                <w:bCs w:val="0"/>
                <w:color w:val="auto"/>
                <w:sz w:val="21"/>
                <w:szCs w:val="21"/>
                <w:highlight w:val="none"/>
              </w:rPr>
            </w:pPr>
            <w:r>
              <w:rPr>
                <w:rFonts w:ascii="Times New Roman" w:hAnsi="Times New Roman" w:eastAsia="宋体" w:cs="Times New Roman"/>
                <w:b/>
                <w:bCs w:val="0"/>
                <w:color w:val="auto"/>
                <w:sz w:val="21"/>
                <w:szCs w:val="21"/>
                <w:highlight w:val="none"/>
                <w:lang w:bidi="ar"/>
              </w:rPr>
              <w:t>本年支出合计</w:t>
            </w:r>
          </w:p>
        </w:tc>
        <w:tc>
          <w:tcPr>
            <w:tcW w:w="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54897">
            <w:pPr>
              <w:keepNext w:val="0"/>
              <w:keepLines w:val="0"/>
              <w:widowControl/>
              <w:suppressLineNumbers w:val="0"/>
              <w:spacing w:line="240" w:lineRule="auto"/>
              <w:ind w:firstLine="0" w:firstLineChars="0"/>
              <w:jc w:val="right"/>
              <w:textAlignment w:val="bottom"/>
              <w:rPr>
                <w:rFonts w:hint="default" w:ascii="Times New Roman" w:hAnsi="Times New Roman" w:eastAsia="宋体" w:cs="Times New Roman"/>
                <w:b w:val="0"/>
                <w:bCs/>
                <w:i w:val="0"/>
                <w:iCs w:val="0"/>
                <w:color w:val="auto"/>
                <w:kern w:val="0"/>
                <w:sz w:val="21"/>
                <w:szCs w:val="21"/>
                <w:highlight w:val="none"/>
                <w:u w:val="none"/>
                <w:lang w:val="en-US" w:eastAsia="zh-CN" w:bidi="ar"/>
              </w:rPr>
            </w:pPr>
            <w:r>
              <w:rPr>
                <w:rFonts w:hint="eastAsia" w:ascii="Times New Roman" w:hAnsi="Times New Roman" w:eastAsia="宋体" w:cs="Times New Roman"/>
                <w:b w:val="0"/>
                <w:bCs/>
                <w:i w:val="0"/>
                <w:iCs w:val="0"/>
                <w:color w:val="auto"/>
                <w:kern w:val="0"/>
                <w:sz w:val="21"/>
                <w:szCs w:val="21"/>
                <w:highlight w:val="none"/>
                <w:u w:val="none"/>
                <w:lang w:val="en-US" w:eastAsia="zh-CN" w:bidi="ar"/>
              </w:rPr>
              <w:t>577.41</w:t>
            </w:r>
          </w:p>
        </w:tc>
        <w:tc>
          <w:tcPr>
            <w:tcW w:w="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A4E31">
            <w:pPr>
              <w:keepNext w:val="0"/>
              <w:keepLines w:val="0"/>
              <w:widowControl/>
              <w:suppressLineNumbers w:val="0"/>
              <w:spacing w:line="240" w:lineRule="auto"/>
              <w:ind w:firstLine="0" w:firstLineChars="0"/>
              <w:jc w:val="right"/>
              <w:textAlignment w:val="bottom"/>
              <w:rPr>
                <w:rFonts w:hint="default" w:ascii="Times New Roman" w:hAnsi="Times New Roman" w:eastAsia="宋体" w:cs="Times New Roman"/>
                <w:b w:val="0"/>
                <w:bCs/>
                <w:i w:val="0"/>
                <w:iCs w:val="0"/>
                <w:color w:val="auto"/>
                <w:kern w:val="0"/>
                <w:sz w:val="21"/>
                <w:szCs w:val="21"/>
                <w:highlight w:val="none"/>
                <w:u w:val="none"/>
                <w:lang w:val="en-US" w:eastAsia="zh-CN" w:bidi="ar"/>
              </w:rPr>
            </w:pPr>
            <w:r>
              <w:rPr>
                <w:rFonts w:hint="eastAsia" w:ascii="Times New Roman" w:hAnsi="Times New Roman" w:eastAsia="宋体" w:cs="Times New Roman"/>
                <w:b w:val="0"/>
                <w:bCs/>
                <w:i w:val="0"/>
                <w:iCs w:val="0"/>
                <w:color w:val="auto"/>
                <w:kern w:val="0"/>
                <w:sz w:val="21"/>
                <w:szCs w:val="21"/>
                <w:highlight w:val="none"/>
                <w:u w:val="none"/>
                <w:lang w:val="en-US" w:eastAsia="zh-CN" w:bidi="ar"/>
              </w:rPr>
              <w:t>1,245.85</w:t>
            </w:r>
          </w:p>
        </w:tc>
        <w:tc>
          <w:tcPr>
            <w:tcW w:w="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2BB1B">
            <w:pPr>
              <w:keepNext w:val="0"/>
              <w:keepLines w:val="0"/>
              <w:widowControl/>
              <w:suppressLineNumbers w:val="0"/>
              <w:spacing w:line="240" w:lineRule="auto"/>
              <w:ind w:firstLine="0" w:firstLineChars="0"/>
              <w:jc w:val="right"/>
              <w:textAlignment w:val="bottom"/>
              <w:rPr>
                <w:rFonts w:hint="default" w:ascii="Times New Roman" w:hAnsi="Times New Roman" w:eastAsia="宋体" w:cs="Times New Roman"/>
                <w:b w:val="0"/>
                <w:bCs/>
                <w:i w:val="0"/>
                <w:iCs w:val="0"/>
                <w:color w:val="auto"/>
                <w:kern w:val="0"/>
                <w:sz w:val="21"/>
                <w:szCs w:val="21"/>
                <w:highlight w:val="none"/>
                <w:u w:val="none"/>
                <w:lang w:val="en-US" w:eastAsia="zh-CN" w:bidi="ar"/>
              </w:rPr>
            </w:pPr>
            <w:r>
              <w:rPr>
                <w:rFonts w:hint="eastAsia" w:ascii="Times New Roman" w:hAnsi="Times New Roman" w:eastAsia="宋体" w:cs="Times New Roman"/>
                <w:b w:val="0"/>
                <w:bCs/>
                <w:i w:val="0"/>
                <w:iCs w:val="0"/>
                <w:color w:val="auto"/>
                <w:kern w:val="0"/>
                <w:sz w:val="21"/>
                <w:szCs w:val="21"/>
                <w:highlight w:val="none"/>
                <w:u w:val="none"/>
                <w:lang w:val="en-US" w:eastAsia="zh-CN" w:bidi="ar"/>
              </w:rPr>
              <w:t>1,245.85</w:t>
            </w:r>
          </w:p>
        </w:tc>
        <w:tc>
          <w:tcPr>
            <w:tcW w:w="8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A4C97">
            <w:pPr>
              <w:keepNext w:val="0"/>
              <w:keepLines w:val="0"/>
              <w:widowControl/>
              <w:suppressLineNumbers w:val="0"/>
              <w:spacing w:line="240" w:lineRule="auto"/>
              <w:ind w:firstLine="0" w:firstLineChars="0"/>
              <w:jc w:val="center"/>
              <w:textAlignment w:val="bottom"/>
              <w:rPr>
                <w:rFonts w:hint="default" w:ascii="Times New Roman" w:hAnsi="Times New Roman" w:eastAsia="宋体" w:cs="Times New Roman"/>
                <w:b w:val="0"/>
                <w:bCs/>
                <w:i w:val="0"/>
                <w:iCs w:val="0"/>
                <w:color w:val="auto"/>
                <w:kern w:val="0"/>
                <w:sz w:val="21"/>
                <w:szCs w:val="21"/>
                <w:highlight w:val="none"/>
                <w:u w:val="none"/>
                <w:lang w:val="en-US" w:eastAsia="zh-CN" w:bidi="ar"/>
              </w:rPr>
            </w:pPr>
            <w:r>
              <w:rPr>
                <w:rFonts w:hint="eastAsia" w:ascii="Times New Roman" w:hAnsi="Times New Roman" w:eastAsia="宋体" w:cs="Times New Roman"/>
                <w:b w:val="0"/>
                <w:bCs/>
                <w:i w:val="0"/>
                <w:iCs w:val="0"/>
                <w:color w:val="auto"/>
                <w:kern w:val="0"/>
                <w:sz w:val="21"/>
                <w:szCs w:val="21"/>
                <w:highlight w:val="none"/>
                <w:u w:val="none"/>
                <w:lang w:val="en-US" w:eastAsia="zh-CN" w:bidi="ar"/>
              </w:rPr>
              <w:t>100.00%</w:t>
            </w:r>
          </w:p>
        </w:tc>
      </w:tr>
    </w:tbl>
    <w:p w14:paraId="3E7BDC1B">
      <w:pPr>
        <w:ind w:firstLine="420"/>
        <w:jc w:val="left"/>
        <w:rPr>
          <w:rFonts w:ascii="Times New Roman" w:hAnsi="Times New Roman" w:eastAsia="宋体" w:cs="Times New Roman"/>
          <w:bCs/>
          <w:color w:val="auto"/>
          <w:highlight w:val="none"/>
        </w:rPr>
      </w:pPr>
    </w:p>
    <w:p w14:paraId="58BD1729">
      <w:pPr>
        <w:ind w:firstLine="422"/>
        <w:jc w:val="left"/>
        <w:rPr>
          <w:rFonts w:ascii="Times New Roman" w:hAnsi="Times New Roman" w:eastAsia="宋体" w:cs="Times New Roman"/>
          <w:b/>
          <w:color w:val="auto"/>
          <w:highlight w:val="none"/>
        </w:rPr>
      </w:pPr>
      <w:r>
        <w:rPr>
          <w:rFonts w:ascii="Times New Roman" w:hAnsi="Times New Roman" w:eastAsia="宋体" w:cs="Times New Roman"/>
          <w:b/>
          <w:color w:val="auto"/>
          <w:highlight w:val="none"/>
        </w:rPr>
        <w:t>（1）基本支出资金安排及执行情况</w:t>
      </w:r>
    </w:p>
    <w:p w14:paraId="3960662A">
      <w:pPr>
        <w:ind w:firstLine="420"/>
        <w:jc w:val="left"/>
        <w:rPr>
          <w:rFonts w:hint="default" w:ascii="Times New Roman" w:hAnsi="Times New Roman" w:eastAsia="宋体" w:cs="Times New Roman"/>
          <w:bCs w:val="0"/>
          <w:color w:val="auto"/>
          <w:kern w:val="2"/>
          <w:highlight w:val="none"/>
        </w:rPr>
      </w:pPr>
      <w:r>
        <w:rPr>
          <w:rFonts w:hint="default" w:ascii="Times New Roman" w:hAnsi="Times New Roman" w:eastAsia="宋体" w:cs="Times New Roman"/>
          <w:bCs w:val="0"/>
          <w:color w:val="auto"/>
          <w:kern w:val="2"/>
          <w:highlight w:val="none"/>
        </w:rPr>
        <w:t>基本支出预算分为人员经费支出和公用经费支出。202</w:t>
      </w:r>
      <w:r>
        <w:rPr>
          <w:rFonts w:hint="default" w:ascii="Times New Roman" w:hAnsi="Times New Roman" w:eastAsia="宋体" w:cs="Times New Roman"/>
          <w:bCs w:val="0"/>
          <w:color w:val="auto"/>
          <w:kern w:val="2"/>
          <w:highlight w:val="none"/>
          <w:lang w:val="en-US" w:eastAsia="zh-CN"/>
        </w:rPr>
        <w:t>4</w:t>
      </w:r>
      <w:r>
        <w:rPr>
          <w:rFonts w:hint="default" w:ascii="Times New Roman" w:hAnsi="Times New Roman" w:eastAsia="宋体" w:cs="Times New Roman"/>
          <w:bCs w:val="0"/>
          <w:color w:val="auto"/>
          <w:kern w:val="2"/>
          <w:highlight w:val="none"/>
        </w:rPr>
        <w:t>年</w:t>
      </w:r>
      <w:r>
        <w:rPr>
          <w:rFonts w:hint="default" w:ascii="Times New Roman" w:hAnsi="Times New Roman" w:eastAsia="宋体" w:cs="Times New Roman"/>
          <w:bCs w:val="0"/>
          <w:color w:val="auto"/>
          <w:kern w:val="2"/>
          <w:highlight w:val="none"/>
          <w:lang w:val="en-US" w:eastAsia="zh-CN"/>
        </w:rPr>
        <w:t>伊宁县农业技术推广中心</w:t>
      </w:r>
      <w:r>
        <w:rPr>
          <w:rFonts w:hint="default" w:ascii="Times New Roman" w:hAnsi="Times New Roman" w:eastAsia="宋体" w:cs="Times New Roman"/>
          <w:bCs w:val="0"/>
          <w:color w:val="auto"/>
          <w:kern w:val="2"/>
          <w:highlight w:val="none"/>
        </w:rPr>
        <w:t>部门基本支出年初预算安排</w:t>
      </w:r>
      <w:r>
        <w:rPr>
          <w:rFonts w:hint="default" w:ascii="Times New Roman" w:hAnsi="Times New Roman" w:eastAsia="宋体" w:cs="Times New Roman"/>
          <w:bCs w:val="0"/>
          <w:color w:val="auto"/>
          <w:kern w:val="2"/>
          <w:highlight w:val="none"/>
          <w:lang w:val="en-US" w:eastAsia="zh-CN"/>
        </w:rPr>
        <w:t>576.61</w:t>
      </w:r>
      <w:r>
        <w:rPr>
          <w:rFonts w:hint="default" w:ascii="Times New Roman" w:hAnsi="Times New Roman" w:eastAsia="宋体" w:cs="Times New Roman"/>
          <w:bCs w:val="0"/>
          <w:color w:val="auto"/>
          <w:kern w:val="2"/>
          <w:highlight w:val="none"/>
        </w:rPr>
        <w:t>万元，全年预算总额</w:t>
      </w:r>
      <w:r>
        <w:rPr>
          <w:rFonts w:hint="default" w:ascii="Times New Roman" w:hAnsi="Times New Roman" w:eastAsia="宋体" w:cs="Times New Roman"/>
          <w:bCs w:val="0"/>
          <w:color w:val="auto"/>
          <w:kern w:val="2"/>
          <w:highlight w:val="none"/>
          <w:lang w:val="en-US" w:eastAsia="zh-CN"/>
        </w:rPr>
        <w:t>572.59</w:t>
      </w:r>
      <w:r>
        <w:rPr>
          <w:rFonts w:hint="default" w:ascii="Times New Roman" w:hAnsi="Times New Roman" w:eastAsia="宋体" w:cs="Times New Roman"/>
          <w:bCs w:val="0"/>
          <w:color w:val="auto"/>
          <w:kern w:val="2"/>
          <w:highlight w:val="none"/>
        </w:rPr>
        <w:t>万元，全年实际支出</w:t>
      </w:r>
      <w:r>
        <w:rPr>
          <w:rFonts w:hint="default" w:ascii="Times New Roman" w:hAnsi="Times New Roman" w:eastAsia="宋体" w:cs="Times New Roman"/>
          <w:bCs w:val="0"/>
          <w:color w:val="auto"/>
          <w:kern w:val="2"/>
          <w:highlight w:val="none"/>
          <w:lang w:val="en-US" w:eastAsia="zh-CN"/>
        </w:rPr>
        <w:t>572.59</w:t>
      </w:r>
      <w:r>
        <w:rPr>
          <w:rFonts w:hint="default" w:ascii="Times New Roman" w:hAnsi="Times New Roman" w:eastAsia="宋体" w:cs="Times New Roman"/>
          <w:bCs w:val="0"/>
          <w:color w:val="auto"/>
          <w:kern w:val="2"/>
          <w:highlight w:val="none"/>
        </w:rPr>
        <w:t>万元，预算执行率</w:t>
      </w:r>
      <w:r>
        <w:rPr>
          <w:rFonts w:hint="default" w:ascii="Times New Roman" w:hAnsi="Times New Roman" w:eastAsia="宋体" w:cs="Times New Roman"/>
          <w:bCs w:val="0"/>
          <w:color w:val="auto"/>
          <w:kern w:val="2"/>
          <w:highlight w:val="none"/>
          <w:lang w:val="en-US" w:eastAsia="zh-CN"/>
        </w:rPr>
        <w:t>100.00%</w:t>
      </w:r>
      <w:r>
        <w:rPr>
          <w:rFonts w:hint="default" w:ascii="Times New Roman" w:hAnsi="Times New Roman" w:eastAsia="宋体" w:cs="Times New Roman"/>
          <w:bCs w:val="0"/>
          <w:color w:val="auto"/>
          <w:kern w:val="2"/>
          <w:highlight w:val="none"/>
        </w:rPr>
        <w:t>。其中：</w:t>
      </w:r>
    </w:p>
    <w:p w14:paraId="1C963AAA">
      <w:pPr>
        <w:ind w:firstLine="420"/>
        <w:jc w:val="left"/>
        <w:rPr>
          <w:rFonts w:hint="default" w:ascii="Times New Roman" w:hAnsi="Times New Roman" w:eastAsia="宋体" w:cs="Times New Roman"/>
          <w:bCs w:val="0"/>
          <w:color w:val="auto"/>
          <w:kern w:val="2"/>
          <w:highlight w:val="none"/>
        </w:rPr>
      </w:pPr>
      <w:r>
        <w:rPr>
          <w:rFonts w:hint="default" w:ascii="Times New Roman" w:hAnsi="Times New Roman" w:eastAsia="宋体" w:cs="Times New Roman"/>
          <w:bCs w:val="0"/>
          <w:color w:val="auto"/>
          <w:kern w:val="2"/>
          <w:highlight w:val="none"/>
        </w:rPr>
        <w:t>人员经费支出</w:t>
      </w:r>
      <w:r>
        <w:rPr>
          <w:rFonts w:hint="default" w:ascii="Times New Roman" w:hAnsi="Times New Roman" w:eastAsia="宋体" w:cs="Times New Roman"/>
          <w:bCs w:val="0"/>
          <w:color w:val="auto"/>
          <w:kern w:val="2"/>
          <w:highlight w:val="none"/>
          <w:lang w:val="en-US" w:eastAsia="zh-CN"/>
        </w:rPr>
        <w:t>556.75</w:t>
      </w:r>
      <w:r>
        <w:rPr>
          <w:rFonts w:hint="default" w:ascii="Times New Roman" w:hAnsi="Times New Roman" w:eastAsia="宋体" w:cs="Times New Roman"/>
          <w:bCs w:val="0"/>
          <w:color w:val="auto"/>
          <w:kern w:val="2"/>
          <w:highlight w:val="none"/>
        </w:rPr>
        <w:t>万元，主要包括：</w:t>
      </w:r>
      <w:r>
        <w:rPr>
          <w:rFonts w:hint="default" w:ascii="Times New Roman" w:hAnsi="Times New Roman" w:eastAsia="宋体" w:cs="Times New Roman"/>
          <w:bCs w:val="0"/>
          <w:color w:val="auto"/>
          <w:kern w:val="2"/>
          <w:highlight w:val="none"/>
          <w:lang w:val="en-US" w:eastAsia="zh-CN"/>
        </w:rPr>
        <w:t>基本工资、津贴补贴、奖金、绩效工资、机关事业单位基本养老保险缴费、职工基本医疗保险缴费、公务员医疗补助缴费、其他社会保障缴费、住房公积金、退休费、生活补助。</w:t>
      </w:r>
    </w:p>
    <w:p w14:paraId="7EDBED90">
      <w:pPr>
        <w:ind w:firstLine="420"/>
        <w:jc w:val="left"/>
        <w:rPr>
          <w:rFonts w:hint="default" w:ascii="Times New Roman" w:hAnsi="Times New Roman" w:eastAsia="宋体" w:cs="Times New Roman"/>
          <w:bCs w:val="0"/>
          <w:color w:val="auto"/>
          <w:kern w:val="2"/>
          <w:highlight w:val="none"/>
        </w:rPr>
      </w:pPr>
      <w:r>
        <w:rPr>
          <w:rFonts w:hint="default" w:ascii="Times New Roman" w:hAnsi="Times New Roman" w:eastAsia="宋体" w:cs="Times New Roman"/>
          <w:bCs w:val="0"/>
          <w:color w:val="auto"/>
          <w:kern w:val="2"/>
          <w:highlight w:val="none"/>
        </w:rPr>
        <w:t>公用经费支出</w:t>
      </w:r>
      <w:r>
        <w:rPr>
          <w:rFonts w:hint="default" w:ascii="Times New Roman" w:hAnsi="Times New Roman" w:eastAsia="宋体" w:cs="Times New Roman"/>
          <w:bCs w:val="0"/>
          <w:color w:val="auto"/>
          <w:kern w:val="2"/>
          <w:highlight w:val="none"/>
          <w:lang w:val="en-US" w:eastAsia="zh-CN"/>
        </w:rPr>
        <w:t>15.84</w:t>
      </w:r>
      <w:r>
        <w:rPr>
          <w:rFonts w:hint="default" w:ascii="Times New Roman" w:hAnsi="Times New Roman" w:eastAsia="宋体" w:cs="Times New Roman"/>
          <w:bCs w:val="0"/>
          <w:color w:val="auto"/>
          <w:kern w:val="2"/>
          <w:highlight w:val="none"/>
        </w:rPr>
        <w:t>万元，主要包括：</w:t>
      </w:r>
      <w:r>
        <w:rPr>
          <w:rFonts w:hint="default" w:ascii="Times New Roman" w:hAnsi="Times New Roman" w:eastAsia="宋体" w:cs="Times New Roman"/>
          <w:bCs w:val="0"/>
          <w:color w:val="auto"/>
          <w:kern w:val="2"/>
          <w:highlight w:val="none"/>
          <w:lang w:val="en-US" w:eastAsia="zh-CN"/>
        </w:rPr>
        <w:t>办公费、水费、电费、邮电费、取暖费、差旅费、公务接待费、工会经费、福利费、公务用车运行维护费。</w:t>
      </w:r>
    </w:p>
    <w:p w14:paraId="6E8B1EAF">
      <w:pPr>
        <w:ind w:firstLine="422"/>
        <w:jc w:val="left"/>
        <w:rPr>
          <w:rFonts w:hint="default" w:ascii="Times New Roman" w:hAnsi="Times New Roman" w:eastAsia="宋体" w:cs="Times New Roman"/>
          <w:b/>
          <w:color w:val="auto"/>
          <w:highlight w:val="none"/>
        </w:rPr>
      </w:pPr>
      <w:r>
        <w:rPr>
          <w:rFonts w:hint="eastAsia" w:ascii="Times New Roman" w:hAnsi="Times New Roman" w:eastAsia="宋体" w:cs="Times New Roman"/>
          <w:b/>
          <w:color w:val="auto"/>
          <w:highlight w:val="none"/>
          <w:lang w:eastAsia="zh-CN"/>
        </w:rPr>
        <w:t>（</w:t>
      </w:r>
      <w:r>
        <w:rPr>
          <w:rFonts w:hint="default" w:ascii="Times New Roman" w:hAnsi="Times New Roman" w:eastAsia="宋体" w:cs="Times New Roman"/>
          <w:b/>
          <w:color w:val="auto"/>
          <w:highlight w:val="none"/>
        </w:rPr>
        <w:t>2</w:t>
      </w:r>
      <w:r>
        <w:rPr>
          <w:rFonts w:hint="eastAsia" w:ascii="Times New Roman" w:hAnsi="Times New Roman" w:eastAsia="宋体" w:cs="Times New Roman"/>
          <w:b/>
          <w:color w:val="auto"/>
          <w:highlight w:val="none"/>
          <w:lang w:eastAsia="zh-CN"/>
        </w:rPr>
        <w:t>）</w:t>
      </w:r>
      <w:r>
        <w:rPr>
          <w:rFonts w:hint="default" w:ascii="Times New Roman" w:hAnsi="Times New Roman" w:eastAsia="宋体" w:cs="Times New Roman"/>
          <w:b/>
          <w:color w:val="auto"/>
          <w:highlight w:val="none"/>
        </w:rPr>
        <w:t>项目支出资金安排及执行情况</w:t>
      </w:r>
    </w:p>
    <w:p w14:paraId="7E27AA16">
      <w:pPr>
        <w:pStyle w:val="2"/>
        <w:rPr>
          <w:rFonts w:hint="default" w:ascii="Times New Roman" w:hAnsi="Times New Roman" w:eastAsia="宋体" w:cs="Times New Roman"/>
          <w:bCs w:val="0"/>
          <w:color w:val="auto"/>
          <w:kern w:val="2"/>
          <w:sz w:val="21"/>
          <w:szCs w:val="21"/>
          <w:highlight w:val="none"/>
          <w:lang w:val="en-US" w:eastAsia="zh-CN" w:bidi="ar-SA"/>
        </w:rPr>
      </w:pPr>
      <w:r>
        <w:rPr>
          <w:rFonts w:hint="eastAsia" w:ascii="Times New Roman" w:hAnsi="Times New Roman" w:eastAsia="宋体" w:cs="Times New Roman"/>
          <w:color w:val="auto"/>
          <w:highlight w:val="none"/>
          <w:lang w:val="en-US" w:eastAsia="zh-CN"/>
        </w:rPr>
        <w:t>经</w:t>
      </w:r>
      <w:r>
        <w:rPr>
          <w:rFonts w:hint="default" w:ascii="Times New Roman" w:hAnsi="Times New Roman" w:eastAsia="宋体" w:cs="Times New Roman"/>
          <w:color w:val="auto"/>
          <w:kern w:val="2"/>
          <w:highlight w:val="none"/>
          <w:lang w:val="en-US" w:eastAsia="zh-CN"/>
        </w:rPr>
        <w:t>查阅伊宁县农</w:t>
      </w:r>
      <w:r>
        <w:rPr>
          <w:rFonts w:hint="default" w:ascii="Times New Roman" w:hAnsi="Times New Roman" w:eastAsia="宋体" w:cs="Times New Roman"/>
          <w:bCs w:val="0"/>
          <w:color w:val="auto"/>
          <w:kern w:val="2"/>
          <w:sz w:val="21"/>
          <w:szCs w:val="21"/>
          <w:highlight w:val="none"/>
          <w:lang w:val="en-US" w:eastAsia="zh-CN" w:bidi="ar-SA"/>
        </w:rPr>
        <w:t>业技术推广中心2024年度决算报表，2024年伊宁县农业技术推广中心项目支出年初预算0.80万元，项目支出全年预算数673.25万元，项目支出决算数673.25万元，预算执行率100.00%。</w:t>
      </w:r>
      <w:r>
        <w:rPr>
          <w:rFonts w:hint="default" w:ascii="Times New Roman" w:hAnsi="Times New Roman" w:eastAsia="宋体" w:cs="Times New Roman"/>
          <w:color w:val="auto"/>
          <w:kern w:val="2"/>
          <w:highlight w:val="none"/>
        </w:rPr>
        <w:t>项目支出预决算情况</w:t>
      </w:r>
      <w:r>
        <w:rPr>
          <w:rFonts w:hint="default" w:ascii="Times New Roman" w:hAnsi="Times New Roman" w:eastAsia="宋体" w:cs="Times New Roman"/>
          <w:color w:val="auto"/>
          <w:kern w:val="2"/>
          <w:highlight w:val="none"/>
          <w:lang w:val="en-US" w:eastAsia="zh-CN"/>
        </w:rPr>
        <w:t>如下：</w:t>
      </w:r>
    </w:p>
    <w:p w14:paraId="188288A8">
      <w:pPr>
        <w:ind w:firstLine="0" w:firstLineChars="0"/>
        <w:jc w:val="center"/>
        <w:rPr>
          <w:rFonts w:ascii="Times New Roman" w:hAnsi="Times New Roman" w:eastAsia="宋体" w:cs="Times New Roman"/>
          <w:b/>
          <w:bCs/>
          <w:color w:val="auto"/>
          <w:sz w:val="20"/>
          <w:szCs w:val="20"/>
          <w:highlight w:val="none"/>
        </w:rPr>
      </w:pPr>
      <w:r>
        <w:rPr>
          <w:rFonts w:ascii="Times New Roman" w:hAnsi="Times New Roman" w:eastAsia="宋体" w:cs="Times New Roman"/>
          <w:b/>
          <w:bCs/>
          <w:color w:val="auto"/>
          <w:sz w:val="20"/>
          <w:szCs w:val="20"/>
          <w:highlight w:val="none"/>
        </w:rPr>
        <w:t>表1-</w:t>
      </w:r>
      <w:r>
        <w:rPr>
          <w:rFonts w:hint="eastAsia" w:ascii="Times New Roman" w:hAnsi="Times New Roman" w:eastAsia="宋体" w:cs="Times New Roman"/>
          <w:b/>
          <w:bCs/>
          <w:color w:val="auto"/>
          <w:sz w:val="20"/>
          <w:szCs w:val="20"/>
          <w:highlight w:val="none"/>
          <w:lang w:val="en-US" w:eastAsia="zh-CN"/>
        </w:rPr>
        <w:t>2</w:t>
      </w:r>
      <w:r>
        <w:rPr>
          <w:rFonts w:ascii="Times New Roman" w:hAnsi="Times New Roman" w:eastAsia="宋体" w:cs="Times New Roman"/>
          <w:b/>
          <w:bCs/>
          <w:color w:val="auto"/>
          <w:sz w:val="20"/>
          <w:szCs w:val="20"/>
          <w:highlight w:val="none"/>
        </w:rPr>
        <w:t>：</w:t>
      </w:r>
      <w:r>
        <w:rPr>
          <w:rFonts w:hint="eastAsia" w:ascii="Times New Roman" w:hAnsi="Times New Roman" w:eastAsia="宋体" w:cs="Times New Roman"/>
          <w:b/>
          <w:bCs/>
          <w:color w:val="auto"/>
          <w:sz w:val="20"/>
          <w:szCs w:val="20"/>
          <w:highlight w:val="none"/>
          <w:lang w:val="en-US" w:eastAsia="zh-CN"/>
        </w:rPr>
        <w:t>伊宁县农业技术推广中心</w:t>
      </w:r>
      <w:r>
        <w:rPr>
          <w:rFonts w:ascii="Times New Roman" w:hAnsi="Times New Roman" w:eastAsia="宋体" w:cs="Times New Roman"/>
          <w:b/>
          <w:bCs/>
          <w:color w:val="auto"/>
          <w:sz w:val="20"/>
          <w:szCs w:val="20"/>
          <w:highlight w:val="none"/>
        </w:rPr>
        <w:t>202</w:t>
      </w:r>
      <w:r>
        <w:rPr>
          <w:rFonts w:hint="eastAsia" w:ascii="Times New Roman" w:hAnsi="Times New Roman" w:eastAsia="宋体" w:cs="Times New Roman"/>
          <w:b/>
          <w:bCs/>
          <w:color w:val="auto"/>
          <w:sz w:val="20"/>
          <w:szCs w:val="20"/>
          <w:highlight w:val="none"/>
          <w:lang w:val="en-US" w:eastAsia="zh-CN"/>
        </w:rPr>
        <w:t>4</w:t>
      </w:r>
      <w:r>
        <w:rPr>
          <w:rFonts w:ascii="Times New Roman" w:hAnsi="Times New Roman" w:eastAsia="宋体" w:cs="Times New Roman"/>
          <w:b/>
          <w:bCs/>
          <w:color w:val="auto"/>
          <w:sz w:val="20"/>
          <w:szCs w:val="20"/>
          <w:highlight w:val="none"/>
        </w:rPr>
        <w:t>年</w:t>
      </w:r>
      <w:r>
        <w:rPr>
          <w:rFonts w:hint="eastAsia" w:ascii="Times New Roman" w:hAnsi="Times New Roman" w:eastAsia="宋体" w:cs="Times New Roman"/>
          <w:b/>
          <w:bCs/>
          <w:color w:val="auto"/>
          <w:sz w:val="20"/>
          <w:szCs w:val="20"/>
          <w:highlight w:val="none"/>
          <w:lang w:val="en-US" w:eastAsia="zh-CN"/>
        </w:rPr>
        <w:t>项目</w:t>
      </w:r>
      <w:r>
        <w:rPr>
          <w:rFonts w:ascii="Times New Roman" w:hAnsi="Times New Roman" w:eastAsia="宋体" w:cs="Times New Roman"/>
          <w:b/>
          <w:bCs/>
          <w:color w:val="auto"/>
          <w:sz w:val="20"/>
          <w:szCs w:val="20"/>
          <w:highlight w:val="none"/>
        </w:rPr>
        <w:t>支出预决算情况表</w:t>
      </w:r>
    </w:p>
    <w:p w14:paraId="5960E5BC">
      <w:pPr>
        <w:ind w:firstLine="0" w:firstLineChars="0"/>
        <w:jc w:val="right"/>
        <w:rPr>
          <w:rFonts w:ascii="Times New Roman" w:hAnsi="Times New Roman" w:eastAsia="宋体" w:cs="Times New Roman"/>
          <w:b/>
          <w:color w:val="auto"/>
          <w:sz w:val="20"/>
          <w:szCs w:val="20"/>
          <w:highlight w:val="none"/>
        </w:rPr>
      </w:pPr>
      <w:r>
        <w:rPr>
          <w:rFonts w:ascii="Times New Roman" w:hAnsi="Times New Roman" w:eastAsia="宋体" w:cs="Times New Roman"/>
          <w:b/>
          <w:color w:val="auto"/>
          <w:sz w:val="20"/>
          <w:szCs w:val="20"/>
          <w:highlight w:val="none"/>
        </w:rPr>
        <w:t>单位：万元</w:t>
      </w:r>
    </w:p>
    <w:tbl>
      <w:tblPr>
        <w:tblStyle w:val="21"/>
        <w:tblW w:w="4997" w:type="pct"/>
        <w:tblInd w:w="0" w:type="dxa"/>
        <w:tblLayout w:type="autofit"/>
        <w:tblCellMar>
          <w:top w:w="0" w:type="dxa"/>
          <w:left w:w="79" w:type="dxa"/>
          <w:bottom w:w="0" w:type="dxa"/>
          <w:right w:w="79" w:type="dxa"/>
        </w:tblCellMar>
      </w:tblPr>
      <w:tblGrid>
        <w:gridCol w:w="530"/>
        <w:gridCol w:w="2358"/>
        <w:gridCol w:w="1401"/>
        <w:gridCol w:w="1401"/>
        <w:gridCol w:w="1401"/>
        <w:gridCol w:w="1368"/>
      </w:tblGrid>
      <w:tr w14:paraId="1FA29312">
        <w:tblPrEx>
          <w:tblCellMar>
            <w:top w:w="0" w:type="dxa"/>
            <w:left w:w="79" w:type="dxa"/>
            <w:bottom w:w="0" w:type="dxa"/>
            <w:right w:w="79" w:type="dxa"/>
          </w:tblCellMar>
        </w:tblPrEx>
        <w:trPr>
          <w:trHeight w:val="544" w:hRule="atLeast"/>
          <w:tblHeader/>
        </w:trPr>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EE887C">
            <w:pPr>
              <w:widowControl/>
              <w:spacing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sz w:val="21"/>
                <w:szCs w:val="21"/>
                <w:highlight w:val="none"/>
              </w:rPr>
              <w:t>序列</w:t>
            </w:r>
          </w:p>
        </w:tc>
        <w:tc>
          <w:tcPr>
            <w:tcW w:w="13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F54071">
            <w:pPr>
              <w:widowControl/>
              <w:spacing w:line="240" w:lineRule="auto"/>
              <w:ind w:firstLine="0" w:firstLineChars="0"/>
              <w:jc w:val="center"/>
              <w:textAlignment w:val="center"/>
              <w:rPr>
                <w:rFonts w:hint="eastAsia" w:ascii="Times New Roman" w:hAnsi="Times New Roman" w:eastAsia="宋体" w:cs="Times New Roman"/>
                <w:b/>
                <w:color w:val="auto"/>
                <w:sz w:val="21"/>
                <w:szCs w:val="21"/>
                <w:highlight w:val="none"/>
                <w:lang w:eastAsia="zh-CN"/>
              </w:rPr>
            </w:pPr>
            <w:r>
              <w:rPr>
                <w:rFonts w:ascii="Times New Roman" w:hAnsi="Times New Roman" w:eastAsia="宋体" w:cs="Times New Roman"/>
                <w:b/>
                <w:color w:val="auto"/>
                <w:sz w:val="21"/>
                <w:szCs w:val="21"/>
                <w:highlight w:val="none"/>
                <w:lang w:bidi="ar"/>
              </w:rPr>
              <w:t>项目</w:t>
            </w:r>
            <w:r>
              <w:rPr>
                <w:rFonts w:hint="eastAsia" w:ascii="Times New Roman" w:hAnsi="Times New Roman" w:eastAsia="宋体" w:cs="Times New Roman"/>
                <w:b/>
                <w:color w:val="auto"/>
                <w:sz w:val="21"/>
                <w:szCs w:val="21"/>
                <w:highlight w:val="none"/>
                <w:lang w:val="en-US" w:eastAsia="zh-CN" w:bidi="ar"/>
              </w:rPr>
              <w:t>名称</w:t>
            </w:r>
          </w:p>
        </w:tc>
        <w:tc>
          <w:tcPr>
            <w:tcW w:w="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39BDC">
            <w:pPr>
              <w:widowControl/>
              <w:spacing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ascii="Times New Roman" w:hAnsi="Times New Roman" w:eastAsia="宋体" w:cs="Times New Roman"/>
                <w:b/>
                <w:color w:val="auto"/>
                <w:sz w:val="21"/>
                <w:szCs w:val="21"/>
                <w:highlight w:val="none"/>
                <w:lang w:bidi="ar"/>
              </w:rPr>
              <w:t>年初预算数</w:t>
            </w:r>
          </w:p>
        </w:tc>
        <w:tc>
          <w:tcPr>
            <w:tcW w:w="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E8877">
            <w:pPr>
              <w:widowControl/>
              <w:spacing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ascii="Times New Roman" w:hAnsi="Times New Roman" w:eastAsia="宋体" w:cs="Times New Roman"/>
                <w:b/>
                <w:color w:val="auto"/>
                <w:sz w:val="21"/>
                <w:szCs w:val="21"/>
                <w:highlight w:val="none"/>
                <w:lang w:bidi="ar"/>
              </w:rPr>
              <w:t>全年预算数</w:t>
            </w:r>
          </w:p>
        </w:tc>
        <w:tc>
          <w:tcPr>
            <w:tcW w:w="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BFABF">
            <w:pPr>
              <w:widowControl/>
              <w:spacing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ascii="Times New Roman" w:hAnsi="Times New Roman" w:eastAsia="宋体" w:cs="Times New Roman"/>
                <w:b/>
                <w:color w:val="auto"/>
                <w:sz w:val="21"/>
                <w:szCs w:val="21"/>
                <w:highlight w:val="none"/>
                <w:lang w:bidi="ar"/>
              </w:rPr>
              <w:t>决算数</w:t>
            </w:r>
          </w:p>
        </w:tc>
        <w:tc>
          <w:tcPr>
            <w:tcW w:w="8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67BA2">
            <w:pPr>
              <w:widowControl/>
              <w:spacing w:line="240" w:lineRule="auto"/>
              <w:ind w:firstLine="0" w:firstLineChars="0"/>
              <w:jc w:val="center"/>
              <w:textAlignment w:val="bottom"/>
              <w:rPr>
                <w:rFonts w:ascii="Times New Roman" w:hAnsi="Times New Roman" w:eastAsia="宋体" w:cs="Times New Roman"/>
                <w:b/>
                <w:color w:val="auto"/>
                <w:sz w:val="21"/>
                <w:szCs w:val="21"/>
                <w:highlight w:val="none"/>
              </w:rPr>
            </w:pPr>
            <w:r>
              <w:rPr>
                <w:rFonts w:ascii="Times New Roman" w:hAnsi="Times New Roman" w:eastAsia="宋体" w:cs="Times New Roman"/>
                <w:b/>
                <w:color w:val="auto"/>
                <w:sz w:val="21"/>
                <w:szCs w:val="21"/>
                <w:highlight w:val="none"/>
                <w:lang w:bidi="ar"/>
              </w:rPr>
              <w:t>预算执行率</w:t>
            </w:r>
          </w:p>
        </w:tc>
      </w:tr>
      <w:tr w14:paraId="2E5F7260">
        <w:tblPrEx>
          <w:tblCellMar>
            <w:top w:w="0" w:type="dxa"/>
            <w:left w:w="79" w:type="dxa"/>
            <w:bottom w:w="0" w:type="dxa"/>
            <w:right w:w="79" w:type="dxa"/>
          </w:tblCellMar>
        </w:tblPrEx>
        <w:trPr>
          <w:trHeight w:val="544" w:hRule="atLeast"/>
        </w:trPr>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0A2EA3">
            <w:pPr>
              <w:widowControl/>
              <w:spacing w:line="240" w:lineRule="auto"/>
              <w:ind w:firstLine="0" w:firstLineChars="0"/>
              <w:jc w:val="center"/>
              <w:textAlignment w:val="center"/>
              <w:rPr>
                <w:rFonts w:ascii="Times New Roman" w:hAnsi="Times New Roman" w:eastAsia="宋体" w:cs="Times New Roman"/>
                <w:bCs/>
                <w:color w:val="auto"/>
                <w:sz w:val="21"/>
                <w:szCs w:val="21"/>
                <w:highlight w:val="none"/>
              </w:rPr>
            </w:pPr>
            <w:r>
              <w:rPr>
                <w:rFonts w:ascii="Times New Roman" w:hAnsi="Times New Roman" w:eastAsia="宋体" w:cs="Times New Roman"/>
                <w:bCs/>
                <w:color w:val="auto"/>
                <w:sz w:val="21"/>
                <w:szCs w:val="21"/>
                <w:highlight w:val="none"/>
                <w:lang w:bidi="ar"/>
              </w:rPr>
              <w:t>1</w:t>
            </w:r>
          </w:p>
        </w:tc>
        <w:tc>
          <w:tcPr>
            <w:tcW w:w="13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F36465">
            <w:pPr>
              <w:widowControl/>
              <w:spacing w:line="240" w:lineRule="auto"/>
              <w:ind w:firstLine="0" w:firstLineChars="0"/>
              <w:jc w:val="left"/>
              <w:textAlignment w:val="center"/>
              <w:rPr>
                <w:rFonts w:hint="eastAsia" w:ascii="Times New Roman" w:hAnsi="Times New Roman" w:eastAsia="宋体" w:cs="Times New Roman"/>
                <w:bCs w:val="0"/>
                <w:color w:val="auto"/>
                <w:kern w:val="2"/>
                <w:sz w:val="21"/>
                <w:szCs w:val="21"/>
                <w:highlight w:val="none"/>
                <w:lang w:val="en-US" w:eastAsia="zh-CN" w:bidi="ar-SA"/>
              </w:rPr>
            </w:pPr>
            <w:r>
              <w:rPr>
                <w:rFonts w:hint="eastAsia" w:ascii="Times New Roman" w:hAnsi="Times New Roman" w:eastAsia="宋体" w:cs="Times New Roman"/>
                <w:bCs w:val="0"/>
                <w:color w:val="auto"/>
                <w:kern w:val="2"/>
                <w:sz w:val="21"/>
                <w:szCs w:val="21"/>
                <w:highlight w:val="none"/>
                <w:lang w:val="en-US" w:eastAsia="zh-CN" w:bidi="ar-SA"/>
              </w:rPr>
              <w:t>2024年中央粮油生产保障资金项目</w:t>
            </w:r>
          </w:p>
        </w:tc>
        <w:tc>
          <w:tcPr>
            <w:tcW w:w="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21B57">
            <w:pPr>
              <w:keepNext w:val="0"/>
              <w:keepLines w:val="0"/>
              <w:widowControl/>
              <w:suppressLineNumbers w:val="0"/>
              <w:spacing w:line="240" w:lineRule="auto"/>
              <w:ind w:firstLine="0" w:firstLineChars="0"/>
              <w:jc w:val="right"/>
              <w:textAlignment w:val="bottom"/>
              <w:rPr>
                <w:rFonts w:hint="default" w:ascii="Times New Roman" w:hAnsi="Times New Roman" w:eastAsia="宋体" w:cs="Times New Roman"/>
                <w:b w:val="0"/>
                <w:bCs w:val="0"/>
                <w:i w:val="0"/>
                <w:iCs w:val="0"/>
                <w:color w:val="auto"/>
                <w:kern w:val="0"/>
                <w:sz w:val="21"/>
                <w:szCs w:val="21"/>
                <w:highlight w:val="none"/>
                <w:u w:val="none"/>
                <w:lang w:val="en-US" w:eastAsia="zh-CN" w:bidi="ar"/>
              </w:rPr>
            </w:pPr>
            <w:r>
              <w:rPr>
                <w:rFonts w:hint="eastAsia" w:ascii="Times New Roman" w:hAnsi="Times New Roman" w:eastAsia="宋体" w:cs="Times New Roman"/>
                <w:bCs w:val="0"/>
                <w:color w:val="auto"/>
                <w:sz w:val="21"/>
                <w:szCs w:val="21"/>
                <w:highlight w:val="none"/>
                <w:u w:val="none"/>
                <w:lang w:val="en-US" w:eastAsia="zh-CN" w:bidi="ar"/>
              </w:rPr>
              <w:t>0.00</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63F36">
            <w:pPr>
              <w:keepNext w:val="0"/>
              <w:keepLines w:val="0"/>
              <w:widowControl/>
              <w:suppressLineNumbers w:val="0"/>
              <w:spacing w:line="240" w:lineRule="auto"/>
              <w:ind w:firstLine="0" w:firstLineChars="0"/>
              <w:jc w:val="right"/>
              <w:textAlignment w:val="bottom"/>
              <w:rPr>
                <w:rFonts w:hint="default" w:ascii="Times New Roman" w:hAnsi="Times New Roman" w:eastAsia="宋体" w:cs="Times New Roman"/>
                <w:b w:val="0"/>
                <w:bCs w:val="0"/>
                <w:i w:val="0"/>
                <w:iCs w:val="0"/>
                <w:color w:val="auto"/>
                <w:kern w:val="0"/>
                <w:sz w:val="21"/>
                <w:szCs w:val="21"/>
                <w:highlight w:val="none"/>
                <w:u w:val="none"/>
                <w:lang w:val="en-US" w:eastAsia="zh-CN" w:bidi="ar"/>
              </w:rPr>
            </w:pPr>
            <w:r>
              <w:rPr>
                <w:rFonts w:hint="default" w:ascii="Times New Roman" w:hAnsi="Times New Roman" w:eastAsia="宋体" w:cs="Times New Roman"/>
                <w:bCs w:val="0"/>
                <w:color w:val="auto"/>
                <w:sz w:val="21"/>
                <w:szCs w:val="21"/>
                <w:highlight w:val="none"/>
                <w:u w:val="none"/>
                <w:lang w:val="en-US" w:eastAsia="zh-CN" w:bidi="ar"/>
              </w:rPr>
              <w:t>532.63</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DE323">
            <w:pPr>
              <w:keepNext w:val="0"/>
              <w:keepLines w:val="0"/>
              <w:widowControl/>
              <w:suppressLineNumbers w:val="0"/>
              <w:spacing w:line="240" w:lineRule="auto"/>
              <w:ind w:firstLine="0" w:firstLineChars="0"/>
              <w:jc w:val="right"/>
              <w:textAlignment w:val="bottom"/>
              <w:rPr>
                <w:rFonts w:hint="default" w:ascii="Times New Roman" w:hAnsi="Times New Roman" w:eastAsia="宋体" w:cs="Times New Roman"/>
                <w:b w:val="0"/>
                <w:bCs w:val="0"/>
                <w:i w:val="0"/>
                <w:iCs w:val="0"/>
                <w:color w:val="auto"/>
                <w:kern w:val="0"/>
                <w:sz w:val="21"/>
                <w:szCs w:val="21"/>
                <w:highlight w:val="none"/>
                <w:u w:val="none"/>
                <w:lang w:val="en-US" w:eastAsia="zh-CN" w:bidi="ar"/>
              </w:rPr>
            </w:pPr>
            <w:r>
              <w:rPr>
                <w:rFonts w:hint="default" w:ascii="Times New Roman" w:hAnsi="Times New Roman" w:eastAsia="宋体" w:cs="Times New Roman"/>
                <w:bCs w:val="0"/>
                <w:color w:val="auto"/>
                <w:sz w:val="21"/>
                <w:szCs w:val="21"/>
                <w:highlight w:val="none"/>
                <w:u w:val="none"/>
                <w:lang w:val="en-US" w:eastAsia="zh-CN" w:bidi="ar"/>
              </w:rPr>
              <w:t>532.63</w:t>
            </w:r>
          </w:p>
        </w:tc>
        <w:tc>
          <w:tcPr>
            <w:tcW w:w="8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50F67">
            <w:pPr>
              <w:keepNext w:val="0"/>
              <w:keepLines w:val="0"/>
              <w:widowControl/>
              <w:suppressLineNumbers w:val="0"/>
              <w:spacing w:line="240" w:lineRule="auto"/>
              <w:ind w:firstLine="0" w:firstLineChars="0"/>
              <w:jc w:val="right"/>
              <w:textAlignment w:val="bottom"/>
              <w:rPr>
                <w:rFonts w:hint="eastAsia" w:ascii="Times New Roman" w:hAnsi="Times New Roman" w:eastAsia="宋体" w:cs="Times New Roman"/>
                <w:b w:val="0"/>
                <w:bCs w:val="0"/>
                <w:i w:val="0"/>
                <w:iCs w:val="0"/>
                <w:color w:val="auto"/>
                <w:kern w:val="0"/>
                <w:sz w:val="21"/>
                <w:szCs w:val="21"/>
                <w:highlight w:val="none"/>
                <w:u w:val="none"/>
                <w:lang w:val="en-US" w:eastAsia="zh-CN" w:bidi="ar"/>
              </w:rPr>
            </w:pPr>
            <w:r>
              <w:rPr>
                <w:rFonts w:hint="eastAsia" w:ascii="Times New Roman" w:hAnsi="Times New Roman" w:eastAsia="宋体" w:cs="Times New Roman"/>
                <w:b w:val="0"/>
                <w:bCs w:val="0"/>
                <w:i w:val="0"/>
                <w:iCs w:val="0"/>
                <w:color w:val="auto"/>
                <w:kern w:val="0"/>
                <w:sz w:val="21"/>
                <w:szCs w:val="21"/>
                <w:highlight w:val="none"/>
                <w:u w:val="none"/>
                <w:lang w:val="en-US" w:eastAsia="zh-CN" w:bidi="ar"/>
              </w:rPr>
              <w:t>100.00%</w:t>
            </w:r>
          </w:p>
        </w:tc>
      </w:tr>
      <w:tr w14:paraId="570ED4C1">
        <w:tblPrEx>
          <w:tblCellMar>
            <w:top w:w="0" w:type="dxa"/>
            <w:left w:w="79" w:type="dxa"/>
            <w:bottom w:w="0" w:type="dxa"/>
            <w:right w:w="79" w:type="dxa"/>
          </w:tblCellMar>
        </w:tblPrEx>
        <w:trPr>
          <w:trHeight w:val="544" w:hRule="atLeast"/>
        </w:trPr>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24A4A9">
            <w:pPr>
              <w:widowControl/>
              <w:spacing w:line="240" w:lineRule="auto"/>
              <w:ind w:firstLine="0" w:firstLineChars="0"/>
              <w:jc w:val="center"/>
              <w:textAlignment w:val="center"/>
              <w:rPr>
                <w:rFonts w:ascii="Times New Roman" w:hAnsi="Times New Roman" w:eastAsia="宋体" w:cs="Times New Roman"/>
                <w:bCs/>
                <w:color w:val="auto"/>
                <w:sz w:val="21"/>
                <w:szCs w:val="21"/>
                <w:highlight w:val="none"/>
              </w:rPr>
            </w:pPr>
            <w:r>
              <w:rPr>
                <w:rFonts w:ascii="Times New Roman" w:hAnsi="Times New Roman" w:eastAsia="宋体" w:cs="Times New Roman"/>
                <w:bCs/>
                <w:color w:val="auto"/>
                <w:sz w:val="21"/>
                <w:szCs w:val="21"/>
                <w:highlight w:val="none"/>
                <w:lang w:bidi="ar"/>
              </w:rPr>
              <w:t>2</w:t>
            </w:r>
          </w:p>
        </w:tc>
        <w:tc>
          <w:tcPr>
            <w:tcW w:w="13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FFC06C">
            <w:pPr>
              <w:widowControl/>
              <w:spacing w:line="240" w:lineRule="auto"/>
              <w:ind w:left="0" w:leftChars="0" w:firstLine="0" w:firstLineChars="0"/>
              <w:jc w:val="left"/>
              <w:textAlignment w:val="center"/>
              <w:rPr>
                <w:rFonts w:hint="eastAsia" w:ascii="Times New Roman" w:hAnsi="Times New Roman" w:eastAsia="宋体" w:cs="Times New Roman"/>
                <w:bCs w:val="0"/>
                <w:color w:val="auto"/>
                <w:kern w:val="2"/>
                <w:sz w:val="21"/>
                <w:szCs w:val="21"/>
                <w:highlight w:val="none"/>
                <w:lang w:val="en-US" w:eastAsia="zh-CN" w:bidi="ar-SA"/>
              </w:rPr>
            </w:pPr>
            <w:r>
              <w:rPr>
                <w:rFonts w:hint="eastAsia" w:ascii="Times New Roman" w:hAnsi="Times New Roman" w:eastAsia="宋体" w:cs="Times New Roman"/>
                <w:bCs w:val="0"/>
                <w:color w:val="auto"/>
                <w:kern w:val="2"/>
                <w:sz w:val="21"/>
                <w:szCs w:val="21"/>
                <w:highlight w:val="none"/>
                <w:lang w:val="en-US" w:eastAsia="zh-CN" w:bidi="ar-SA"/>
              </w:rPr>
              <w:t>2024年中央农业经营主体能力提升项目</w:t>
            </w:r>
          </w:p>
        </w:tc>
        <w:tc>
          <w:tcPr>
            <w:tcW w:w="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211D2">
            <w:pPr>
              <w:keepNext w:val="0"/>
              <w:keepLines w:val="0"/>
              <w:widowControl/>
              <w:suppressLineNumbers w:val="0"/>
              <w:spacing w:line="240" w:lineRule="auto"/>
              <w:ind w:firstLine="0" w:firstLineChars="0"/>
              <w:jc w:val="right"/>
              <w:textAlignment w:val="bottom"/>
              <w:rPr>
                <w:rFonts w:hint="default" w:ascii="Times New Roman" w:hAnsi="Times New Roman" w:eastAsia="宋体" w:cs="Times New Roman"/>
                <w:b w:val="0"/>
                <w:bCs w:val="0"/>
                <w:i w:val="0"/>
                <w:iCs w:val="0"/>
                <w:color w:val="auto"/>
                <w:kern w:val="0"/>
                <w:sz w:val="21"/>
                <w:szCs w:val="21"/>
                <w:highlight w:val="none"/>
                <w:u w:val="none"/>
                <w:lang w:val="en-US" w:eastAsia="zh-CN" w:bidi="ar"/>
              </w:rPr>
            </w:pPr>
            <w:r>
              <w:rPr>
                <w:rFonts w:hint="eastAsia" w:ascii="Times New Roman" w:hAnsi="Times New Roman" w:eastAsia="宋体" w:cs="Times New Roman"/>
                <w:bCs w:val="0"/>
                <w:color w:val="auto"/>
                <w:sz w:val="21"/>
                <w:szCs w:val="21"/>
                <w:highlight w:val="none"/>
                <w:u w:val="none"/>
                <w:lang w:val="en-US" w:eastAsia="zh-CN" w:bidi="ar"/>
              </w:rPr>
              <w:t>0.00</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1A842">
            <w:pPr>
              <w:keepNext w:val="0"/>
              <w:keepLines w:val="0"/>
              <w:widowControl/>
              <w:suppressLineNumbers w:val="0"/>
              <w:spacing w:line="240" w:lineRule="auto"/>
              <w:ind w:firstLine="0" w:firstLineChars="0"/>
              <w:jc w:val="right"/>
              <w:textAlignment w:val="bottom"/>
              <w:rPr>
                <w:rFonts w:hint="default" w:ascii="Times New Roman" w:hAnsi="Times New Roman" w:eastAsia="宋体" w:cs="Times New Roman"/>
                <w:b w:val="0"/>
                <w:bCs w:val="0"/>
                <w:i w:val="0"/>
                <w:iCs w:val="0"/>
                <w:color w:val="auto"/>
                <w:kern w:val="0"/>
                <w:sz w:val="21"/>
                <w:szCs w:val="21"/>
                <w:highlight w:val="none"/>
                <w:u w:val="none"/>
                <w:lang w:val="en-US" w:eastAsia="zh-CN" w:bidi="ar"/>
              </w:rPr>
            </w:pPr>
            <w:r>
              <w:rPr>
                <w:rFonts w:hint="default" w:ascii="Times New Roman" w:hAnsi="Times New Roman" w:eastAsia="宋体" w:cs="Times New Roman"/>
                <w:bCs w:val="0"/>
                <w:color w:val="auto"/>
                <w:sz w:val="21"/>
                <w:szCs w:val="21"/>
                <w:highlight w:val="none"/>
                <w:u w:val="none"/>
                <w:lang w:val="en-US" w:eastAsia="zh-CN" w:bidi="ar"/>
              </w:rPr>
              <w:t>138.57</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A7B77">
            <w:pPr>
              <w:keepNext w:val="0"/>
              <w:keepLines w:val="0"/>
              <w:widowControl/>
              <w:suppressLineNumbers w:val="0"/>
              <w:spacing w:line="240" w:lineRule="auto"/>
              <w:ind w:firstLine="0" w:firstLineChars="0"/>
              <w:jc w:val="right"/>
              <w:textAlignment w:val="bottom"/>
              <w:rPr>
                <w:rFonts w:hint="default" w:ascii="Times New Roman" w:hAnsi="Times New Roman" w:eastAsia="宋体" w:cs="Times New Roman"/>
                <w:b w:val="0"/>
                <w:bCs w:val="0"/>
                <w:i w:val="0"/>
                <w:iCs w:val="0"/>
                <w:color w:val="auto"/>
                <w:kern w:val="0"/>
                <w:sz w:val="21"/>
                <w:szCs w:val="21"/>
                <w:highlight w:val="none"/>
                <w:u w:val="none"/>
                <w:lang w:val="en-US" w:eastAsia="zh-CN" w:bidi="ar"/>
              </w:rPr>
            </w:pPr>
            <w:r>
              <w:rPr>
                <w:rFonts w:hint="default" w:ascii="Times New Roman" w:hAnsi="Times New Roman" w:eastAsia="宋体" w:cs="Times New Roman"/>
                <w:bCs w:val="0"/>
                <w:color w:val="auto"/>
                <w:sz w:val="21"/>
                <w:szCs w:val="21"/>
                <w:highlight w:val="none"/>
                <w:u w:val="none"/>
                <w:lang w:val="en-US" w:eastAsia="zh-CN" w:bidi="ar"/>
              </w:rPr>
              <w:t>138.57</w:t>
            </w:r>
          </w:p>
        </w:tc>
        <w:tc>
          <w:tcPr>
            <w:tcW w:w="8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EF680">
            <w:pPr>
              <w:keepNext w:val="0"/>
              <w:keepLines w:val="0"/>
              <w:widowControl/>
              <w:suppressLineNumbers w:val="0"/>
              <w:spacing w:line="240" w:lineRule="auto"/>
              <w:ind w:firstLine="0" w:firstLineChars="0"/>
              <w:jc w:val="right"/>
              <w:textAlignment w:val="bottom"/>
              <w:rPr>
                <w:rFonts w:hint="default" w:ascii="Times New Roman" w:hAnsi="Times New Roman" w:eastAsia="宋体" w:cs="Times New Roman"/>
                <w:b w:val="0"/>
                <w:bCs w:val="0"/>
                <w:i w:val="0"/>
                <w:iCs w:val="0"/>
                <w:color w:val="auto"/>
                <w:kern w:val="0"/>
                <w:sz w:val="21"/>
                <w:szCs w:val="21"/>
                <w:highlight w:val="none"/>
                <w:u w:val="none"/>
                <w:lang w:val="en-US" w:eastAsia="zh-CN" w:bidi="ar"/>
              </w:rPr>
            </w:pPr>
            <w:r>
              <w:rPr>
                <w:rFonts w:hint="default" w:ascii="Times New Roman" w:hAnsi="Times New Roman" w:eastAsia="宋体" w:cs="Times New Roman"/>
                <w:b w:val="0"/>
                <w:bCs w:val="0"/>
                <w:i w:val="0"/>
                <w:iCs w:val="0"/>
                <w:color w:val="auto"/>
                <w:kern w:val="0"/>
                <w:sz w:val="21"/>
                <w:szCs w:val="21"/>
                <w:highlight w:val="none"/>
                <w:u w:val="none"/>
                <w:lang w:val="en-US" w:eastAsia="zh-CN" w:bidi="ar"/>
              </w:rPr>
              <w:t>100.00%</w:t>
            </w:r>
          </w:p>
        </w:tc>
      </w:tr>
      <w:tr w14:paraId="7C334630">
        <w:tblPrEx>
          <w:tblCellMar>
            <w:top w:w="0" w:type="dxa"/>
            <w:left w:w="79" w:type="dxa"/>
            <w:bottom w:w="0" w:type="dxa"/>
            <w:right w:w="79" w:type="dxa"/>
          </w:tblCellMar>
        </w:tblPrEx>
        <w:trPr>
          <w:trHeight w:val="544" w:hRule="atLeast"/>
        </w:trPr>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21F691">
            <w:pPr>
              <w:widowControl/>
              <w:spacing w:line="240" w:lineRule="auto"/>
              <w:ind w:firstLine="0" w:firstLineChars="0"/>
              <w:jc w:val="center"/>
              <w:textAlignment w:val="center"/>
              <w:rPr>
                <w:rFonts w:ascii="Times New Roman" w:hAnsi="Times New Roman" w:eastAsia="宋体" w:cs="Times New Roman"/>
                <w:bCs/>
                <w:color w:val="auto"/>
                <w:sz w:val="21"/>
                <w:szCs w:val="21"/>
                <w:highlight w:val="none"/>
              </w:rPr>
            </w:pPr>
            <w:r>
              <w:rPr>
                <w:rFonts w:ascii="Times New Roman" w:hAnsi="Times New Roman" w:eastAsia="宋体" w:cs="Times New Roman"/>
                <w:bCs/>
                <w:color w:val="auto"/>
                <w:sz w:val="21"/>
                <w:szCs w:val="21"/>
                <w:highlight w:val="none"/>
                <w:lang w:bidi="ar"/>
              </w:rPr>
              <w:t>3</w:t>
            </w:r>
          </w:p>
        </w:tc>
        <w:tc>
          <w:tcPr>
            <w:tcW w:w="13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DA6257">
            <w:pPr>
              <w:widowControl/>
              <w:spacing w:line="240" w:lineRule="auto"/>
              <w:ind w:left="0" w:leftChars="0" w:firstLine="0" w:firstLineChars="0"/>
              <w:jc w:val="left"/>
              <w:textAlignment w:val="center"/>
              <w:rPr>
                <w:rFonts w:hint="eastAsia" w:ascii="Times New Roman" w:hAnsi="Times New Roman" w:eastAsia="宋体" w:cs="Times New Roman"/>
                <w:bCs w:val="0"/>
                <w:color w:val="auto"/>
                <w:kern w:val="2"/>
                <w:sz w:val="21"/>
                <w:szCs w:val="21"/>
                <w:highlight w:val="none"/>
                <w:lang w:val="en-US" w:eastAsia="zh-CN" w:bidi="ar-SA"/>
              </w:rPr>
            </w:pPr>
            <w:r>
              <w:rPr>
                <w:rFonts w:hint="eastAsia" w:ascii="Times New Roman" w:hAnsi="Times New Roman" w:eastAsia="宋体" w:cs="Times New Roman"/>
                <w:bCs w:val="0"/>
                <w:color w:val="auto"/>
                <w:kern w:val="2"/>
                <w:sz w:val="21"/>
                <w:szCs w:val="21"/>
                <w:highlight w:val="none"/>
                <w:lang w:val="en-US" w:eastAsia="zh-CN" w:bidi="ar-SA"/>
              </w:rPr>
              <w:t>化肥减量增资项目</w:t>
            </w:r>
          </w:p>
        </w:tc>
        <w:tc>
          <w:tcPr>
            <w:tcW w:w="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4794B">
            <w:pPr>
              <w:keepNext w:val="0"/>
              <w:keepLines w:val="0"/>
              <w:widowControl/>
              <w:suppressLineNumbers w:val="0"/>
              <w:spacing w:line="240" w:lineRule="auto"/>
              <w:ind w:firstLine="0" w:firstLineChars="0"/>
              <w:jc w:val="right"/>
              <w:textAlignment w:val="bottom"/>
              <w:rPr>
                <w:rFonts w:hint="default" w:ascii="Times New Roman" w:hAnsi="Times New Roman" w:eastAsia="宋体" w:cs="Times New Roman"/>
                <w:b w:val="0"/>
                <w:bCs w:val="0"/>
                <w:i w:val="0"/>
                <w:iCs w:val="0"/>
                <w:color w:val="auto"/>
                <w:kern w:val="0"/>
                <w:sz w:val="21"/>
                <w:szCs w:val="21"/>
                <w:highlight w:val="none"/>
                <w:u w:val="none"/>
                <w:lang w:val="en-US" w:eastAsia="zh-CN" w:bidi="ar"/>
              </w:rPr>
            </w:pPr>
            <w:r>
              <w:rPr>
                <w:rFonts w:hint="eastAsia" w:ascii="Times New Roman" w:hAnsi="Times New Roman" w:eastAsia="宋体" w:cs="Times New Roman"/>
                <w:bCs w:val="0"/>
                <w:color w:val="auto"/>
                <w:sz w:val="21"/>
                <w:szCs w:val="21"/>
                <w:highlight w:val="none"/>
                <w:u w:val="none"/>
                <w:lang w:val="en-US" w:eastAsia="zh-CN" w:bidi="ar"/>
              </w:rPr>
              <w:t>0.80</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571B2">
            <w:pPr>
              <w:keepNext w:val="0"/>
              <w:keepLines w:val="0"/>
              <w:widowControl/>
              <w:suppressLineNumbers w:val="0"/>
              <w:spacing w:line="240" w:lineRule="auto"/>
              <w:ind w:firstLine="0" w:firstLineChars="0"/>
              <w:jc w:val="right"/>
              <w:textAlignment w:val="bottom"/>
              <w:rPr>
                <w:rFonts w:hint="default" w:ascii="Times New Roman" w:hAnsi="Times New Roman" w:eastAsia="宋体" w:cs="Times New Roman"/>
                <w:b w:val="0"/>
                <w:bCs w:val="0"/>
                <w:i w:val="0"/>
                <w:iCs w:val="0"/>
                <w:color w:val="auto"/>
                <w:kern w:val="0"/>
                <w:sz w:val="21"/>
                <w:szCs w:val="21"/>
                <w:highlight w:val="none"/>
                <w:u w:val="none"/>
                <w:lang w:val="en-US" w:eastAsia="zh-CN" w:bidi="ar"/>
              </w:rPr>
            </w:pPr>
            <w:r>
              <w:rPr>
                <w:rFonts w:hint="default" w:ascii="Times New Roman" w:hAnsi="Times New Roman" w:eastAsia="宋体" w:cs="Times New Roman"/>
                <w:bCs w:val="0"/>
                <w:color w:val="auto"/>
                <w:sz w:val="21"/>
                <w:szCs w:val="21"/>
                <w:highlight w:val="none"/>
                <w:u w:val="none"/>
                <w:lang w:val="en-US" w:eastAsia="zh-CN" w:bidi="ar"/>
              </w:rPr>
              <w:t>2.05</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87B3B">
            <w:pPr>
              <w:keepNext w:val="0"/>
              <w:keepLines w:val="0"/>
              <w:widowControl/>
              <w:suppressLineNumbers w:val="0"/>
              <w:spacing w:line="240" w:lineRule="auto"/>
              <w:ind w:firstLine="0" w:firstLineChars="0"/>
              <w:jc w:val="right"/>
              <w:textAlignment w:val="bottom"/>
              <w:rPr>
                <w:rFonts w:hint="default" w:ascii="Times New Roman" w:hAnsi="Times New Roman" w:eastAsia="宋体" w:cs="Times New Roman"/>
                <w:b w:val="0"/>
                <w:bCs w:val="0"/>
                <w:i w:val="0"/>
                <w:iCs w:val="0"/>
                <w:color w:val="auto"/>
                <w:kern w:val="0"/>
                <w:sz w:val="21"/>
                <w:szCs w:val="21"/>
                <w:highlight w:val="none"/>
                <w:u w:val="none"/>
                <w:lang w:val="en-US" w:eastAsia="zh-CN" w:bidi="ar"/>
              </w:rPr>
            </w:pPr>
            <w:r>
              <w:rPr>
                <w:rFonts w:hint="default" w:ascii="Times New Roman" w:hAnsi="Times New Roman" w:eastAsia="宋体" w:cs="Times New Roman"/>
                <w:bCs w:val="0"/>
                <w:color w:val="auto"/>
                <w:sz w:val="21"/>
                <w:szCs w:val="21"/>
                <w:highlight w:val="none"/>
                <w:u w:val="none"/>
                <w:lang w:val="en-US" w:eastAsia="zh-CN" w:bidi="ar"/>
              </w:rPr>
              <w:t>2.05</w:t>
            </w:r>
          </w:p>
        </w:tc>
        <w:tc>
          <w:tcPr>
            <w:tcW w:w="8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DBA4A">
            <w:pPr>
              <w:keepNext w:val="0"/>
              <w:keepLines w:val="0"/>
              <w:widowControl/>
              <w:suppressLineNumbers w:val="0"/>
              <w:spacing w:line="240" w:lineRule="auto"/>
              <w:ind w:firstLine="0" w:firstLineChars="0"/>
              <w:jc w:val="right"/>
              <w:textAlignment w:val="bottom"/>
              <w:rPr>
                <w:rFonts w:hint="default" w:ascii="Times New Roman" w:hAnsi="Times New Roman" w:eastAsia="宋体" w:cs="Times New Roman"/>
                <w:b w:val="0"/>
                <w:bCs w:val="0"/>
                <w:i w:val="0"/>
                <w:iCs w:val="0"/>
                <w:color w:val="auto"/>
                <w:kern w:val="0"/>
                <w:sz w:val="21"/>
                <w:szCs w:val="21"/>
                <w:highlight w:val="none"/>
                <w:u w:val="none"/>
                <w:lang w:val="en-US" w:eastAsia="zh-CN" w:bidi="ar"/>
              </w:rPr>
            </w:pPr>
            <w:r>
              <w:rPr>
                <w:rFonts w:hint="default" w:ascii="Times New Roman" w:hAnsi="Times New Roman" w:eastAsia="宋体" w:cs="Times New Roman"/>
                <w:b w:val="0"/>
                <w:bCs w:val="0"/>
                <w:i w:val="0"/>
                <w:iCs w:val="0"/>
                <w:color w:val="auto"/>
                <w:kern w:val="0"/>
                <w:sz w:val="21"/>
                <w:szCs w:val="21"/>
                <w:highlight w:val="none"/>
                <w:u w:val="none"/>
                <w:lang w:val="en-US" w:eastAsia="zh-CN" w:bidi="ar"/>
              </w:rPr>
              <w:t>100.00%</w:t>
            </w:r>
          </w:p>
        </w:tc>
      </w:tr>
      <w:tr w14:paraId="29554C81">
        <w:tblPrEx>
          <w:tblCellMar>
            <w:top w:w="0" w:type="dxa"/>
            <w:left w:w="79" w:type="dxa"/>
            <w:bottom w:w="0" w:type="dxa"/>
            <w:right w:w="79" w:type="dxa"/>
          </w:tblCellMar>
        </w:tblPrEx>
        <w:trPr>
          <w:trHeight w:val="544" w:hRule="atLeast"/>
        </w:trPr>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2D462C">
            <w:pPr>
              <w:widowControl/>
              <w:spacing w:line="240" w:lineRule="auto"/>
              <w:ind w:firstLine="0" w:firstLineChars="0"/>
              <w:jc w:val="center"/>
              <w:textAlignment w:val="center"/>
              <w:rPr>
                <w:rFonts w:ascii="Times New Roman" w:hAnsi="Times New Roman" w:eastAsia="宋体" w:cs="Times New Roman"/>
                <w:bCs/>
                <w:color w:val="auto"/>
                <w:sz w:val="21"/>
                <w:szCs w:val="21"/>
                <w:highlight w:val="none"/>
              </w:rPr>
            </w:pPr>
          </w:p>
        </w:tc>
        <w:tc>
          <w:tcPr>
            <w:tcW w:w="13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5E2D5D">
            <w:pPr>
              <w:widowControl/>
              <w:spacing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ascii="Times New Roman" w:hAnsi="Times New Roman" w:eastAsia="宋体" w:cs="Times New Roman"/>
                <w:b/>
                <w:color w:val="auto"/>
                <w:sz w:val="21"/>
                <w:szCs w:val="21"/>
                <w:highlight w:val="none"/>
                <w:lang w:bidi="ar"/>
              </w:rPr>
              <w:t>本年支出合计</w:t>
            </w:r>
          </w:p>
        </w:tc>
        <w:tc>
          <w:tcPr>
            <w:tcW w:w="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A56F8">
            <w:pPr>
              <w:keepNext w:val="0"/>
              <w:keepLines w:val="0"/>
              <w:widowControl/>
              <w:suppressLineNumbers w:val="0"/>
              <w:spacing w:line="240" w:lineRule="auto"/>
              <w:ind w:firstLine="0" w:firstLineChars="0"/>
              <w:jc w:val="right"/>
              <w:textAlignment w:val="bottom"/>
              <w:rPr>
                <w:rFonts w:hint="default" w:ascii="Times New Roman" w:hAnsi="Times New Roman" w:eastAsia="宋体" w:cs="Times New Roman"/>
                <w:b w:val="0"/>
                <w:bCs w:val="0"/>
                <w:i w:val="0"/>
                <w:iCs w:val="0"/>
                <w:color w:val="auto"/>
                <w:kern w:val="0"/>
                <w:sz w:val="21"/>
                <w:szCs w:val="21"/>
                <w:highlight w:val="none"/>
                <w:u w:val="none"/>
                <w:lang w:val="en-US" w:eastAsia="zh-CN" w:bidi="ar"/>
              </w:rPr>
            </w:pPr>
            <w:r>
              <w:rPr>
                <w:rFonts w:hint="eastAsia" w:ascii="Times New Roman" w:hAnsi="Times New Roman" w:eastAsia="宋体" w:cs="Times New Roman"/>
                <w:bCs w:val="0"/>
                <w:color w:val="auto"/>
                <w:sz w:val="21"/>
                <w:szCs w:val="21"/>
                <w:highlight w:val="none"/>
                <w:u w:val="none"/>
                <w:lang w:val="en-US" w:eastAsia="zh-CN" w:bidi="ar"/>
              </w:rPr>
              <w:t>0.80</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284E3">
            <w:pPr>
              <w:keepNext w:val="0"/>
              <w:keepLines w:val="0"/>
              <w:widowControl/>
              <w:suppressLineNumbers w:val="0"/>
              <w:spacing w:line="240" w:lineRule="auto"/>
              <w:ind w:firstLine="0" w:firstLineChars="0"/>
              <w:jc w:val="right"/>
              <w:textAlignment w:val="bottom"/>
              <w:rPr>
                <w:rFonts w:hint="default" w:ascii="Times New Roman" w:hAnsi="Times New Roman" w:eastAsia="宋体" w:cs="Times New Roman"/>
                <w:b w:val="0"/>
                <w:bCs w:val="0"/>
                <w:i w:val="0"/>
                <w:iCs w:val="0"/>
                <w:color w:val="auto"/>
                <w:kern w:val="0"/>
                <w:sz w:val="21"/>
                <w:szCs w:val="21"/>
                <w:highlight w:val="none"/>
                <w:u w:val="none"/>
                <w:lang w:val="en-US" w:eastAsia="zh-CN" w:bidi="ar"/>
              </w:rPr>
            </w:pPr>
            <w:r>
              <w:rPr>
                <w:rFonts w:hint="default" w:ascii="Times New Roman" w:hAnsi="Times New Roman" w:eastAsia="宋体" w:cs="Times New Roman"/>
                <w:bCs w:val="0"/>
                <w:color w:val="auto"/>
                <w:sz w:val="21"/>
                <w:szCs w:val="21"/>
                <w:highlight w:val="none"/>
                <w:u w:val="none"/>
                <w:lang w:val="en-US" w:eastAsia="zh-CN" w:bidi="ar"/>
              </w:rPr>
              <w:t>673.25</w:t>
            </w:r>
          </w:p>
        </w:tc>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F6D98">
            <w:pPr>
              <w:keepNext w:val="0"/>
              <w:keepLines w:val="0"/>
              <w:widowControl/>
              <w:suppressLineNumbers w:val="0"/>
              <w:spacing w:line="240" w:lineRule="auto"/>
              <w:ind w:firstLine="0" w:firstLineChars="0"/>
              <w:jc w:val="right"/>
              <w:textAlignment w:val="bottom"/>
              <w:rPr>
                <w:rFonts w:hint="default" w:ascii="Times New Roman" w:hAnsi="Times New Roman" w:eastAsia="宋体" w:cs="Times New Roman"/>
                <w:b w:val="0"/>
                <w:bCs w:val="0"/>
                <w:i w:val="0"/>
                <w:iCs w:val="0"/>
                <w:color w:val="auto"/>
                <w:kern w:val="0"/>
                <w:sz w:val="21"/>
                <w:szCs w:val="21"/>
                <w:highlight w:val="none"/>
                <w:u w:val="none"/>
                <w:lang w:val="en-US" w:eastAsia="zh-CN" w:bidi="ar"/>
              </w:rPr>
            </w:pPr>
            <w:r>
              <w:rPr>
                <w:rFonts w:hint="default" w:ascii="Times New Roman" w:hAnsi="Times New Roman" w:eastAsia="宋体" w:cs="Times New Roman"/>
                <w:bCs w:val="0"/>
                <w:color w:val="auto"/>
                <w:sz w:val="21"/>
                <w:szCs w:val="21"/>
                <w:highlight w:val="none"/>
                <w:u w:val="none"/>
                <w:lang w:val="en-US" w:eastAsia="zh-CN" w:bidi="ar"/>
              </w:rPr>
              <w:t>673.25</w:t>
            </w:r>
          </w:p>
        </w:tc>
        <w:tc>
          <w:tcPr>
            <w:tcW w:w="8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98976">
            <w:pPr>
              <w:keepNext w:val="0"/>
              <w:keepLines w:val="0"/>
              <w:widowControl/>
              <w:suppressLineNumbers w:val="0"/>
              <w:spacing w:line="240" w:lineRule="auto"/>
              <w:ind w:firstLine="0" w:firstLineChars="0"/>
              <w:jc w:val="right"/>
              <w:textAlignment w:val="bottom"/>
              <w:rPr>
                <w:rFonts w:hint="default" w:ascii="Times New Roman" w:hAnsi="Times New Roman" w:eastAsia="宋体" w:cs="Times New Roman"/>
                <w:b w:val="0"/>
                <w:bCs w:val="0"/>
                <w:i w:val="0"/>
                <w:iCs w:val="0"/>
                <w:color w:val="auto"/>
                <w:kern w:val="0"/>
                <w:sz w:val="21"/>
                <w:szCs w:val="21"/>
                <w:highlight w:val="none"/>
                <w:u w:val="none"/>
                <w:lang w:val="en-US" w:eastAsia="zh-CN" w:bidi="ar"/>
              </w:rPr>
            </w:pPr>
            <w:r>
              <w:rPr>
                <w:rFonts w:hint="eastAsia" w:ascii="Times New Roman" w:hAnsi="Times New Roman" w:eastAsia="宋体" w:cs="Times New Roman"/>
                <w:b w:val="0"/>
                <w:bCs w:val="0"/>
                <w:i w:val="0"/>
                <w:iCs w:val="0"/>
                <w:color w:val="auto"/>
                <w:kern w:val="0"/>
                <w:sz w:val="21"/>
                <w:szCs w:val="21"/>
                <w:highlight w:val="none"/>
                <w:u w:val="none"/>
                <w:lang w:val="en-US" w:eastAsia="zh-CN" w:bidi="ar"/>
              </w:rPr>
              <w:t>100.00%</w:t>
            </w:r>
          </w:p>
        </w:tc>
      </w:tr>
    </w:tbl>
    <w:p w14:paraId="2CCCF314">
      <w:pPr>
        <w:pStyle w:val="19"/>
        <w:rPr>
          <w:rFonts w:hint="eastAsia" w:ascii="Times New Roman" w:hAnsi="Times New Roman" w:eastAsia="宋体" w:cs="Times New Roman"/>
          <w:highlight w:val="none"/>
          <w:lang w:val="en-US" w:eastAsia="zh-CN"/>
        </w:rPr>
      </w:pPr>
    </w:p>
    <w:p w14:paraId="7487ABC1">
      <w:pPr>
        <w:pStyle w:val="6"/>
        <w:ind w:firstLine="422"/>
        <w:rPr>
          <w:rFonts w:ascii="Times New Roman" w:hAnsi="Times New Roman" w:eastAsia="宋体" w:cs="Times New Roman"/>
          <w:color w:val="auto"/>
          <w:highlight w:val="none"/>
        </w:rPr>
      </w:pPr>
      <w:r>
        <w:rPr>
          <w:rFonts w:ascii="Times New Roman" w:hAnsi="Times New Roman" w:eastAsia="宋体" w:cs="Times New Roman"/>
          <w:color w:val="auto"/>
          <w:highlight w:val="none"/>
        </w:rPr>
        <w:t>3.部门</w:t>
      </w:r>
      <w:r>
        <w:rPr>
          <w:rFonts w:hint="eastAsia" w:ascii="Times New Roman" w:hAnsi="Times New Roman" w:eastAsia="宋体" w:cs="Times New Roman"/>
          <w:color w:val="auto"/>
          <w:highlight w:val="none"/>
          <w:lang w:eastAsia="zh-CN"/>
        </w:rPr>
        <w:t>“三公”经费</w:t>
      </w:r>
      <w:r>
        <w:rPr>
          <w:rFonts w:ascii="Times New Roman" w:hAnsi="Times New Roman" w:eastAsia="宋体" w:cs="Times New Roman"/>
          <w:color w:val="auto"/>
          <w:highlight w:val="none"/>
        </w:rPr>
        <w:t>执行情况</w:t>
      </w:r>
    </w:p>
    <w:p w14:paraId="6BA1DE12">
      <w:pPr>
        <w:bidi w:val="0"/>
        <w:rPr>
          <w:rFonts w:hint="default"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kern w:val="2"/>
          <w:highlight w:val="none"/>
          <w:lang w:val="en-US" w:eastAsia="zh-CN"/>
        </w:rPr>
        <w:t>伊宁县农业技术推广中心</w:t>
      </w:r>
      <w:r>
        <w:rPr>
          <w:rFonts w:hint="default" w:ascii="Times New Roman" w:hAnsi="Times New Roman" w:eastAsia="宋体" w:cs="Times New Roman"/>
          <w:color w:val="auto"/>
          <w:kern w:val="2"/>
          <w:highlight w:val="none"/>
        </w:rPr>
        <w:t>贯彻落实中央、自治区、</w:t>
      </w:r>
      <w:r>
        <w:rPr>
          <w:rFonts w:hint="default" w:ascii="Times New Roman" w:hAnsi="Times New Roman" w:eastAsia="宋体" w:cs="Times New Roman"/>
          <w:color w:val="auto"/>
          <w:kern w:val="2"/>
          <w:highlight w:val="none"/>
          <w:lang w:val="en-US" w:eastAsia="zh-CN"/>
        </w:rPr>
        <w:t>伊犁州</w:t>
      </w:r>
      <w:r>
        <w:rPr>
          <w:rFonts w:hint="default" w:ascii="Times New Roman" w:hAnsi="Times New Roman" w:eastAsia="宋体" w:cs="Times New Roman"/>
          <w:color w:val="auto"/>
          <w:kern w:val="2"/>
          <w:highlight w:val="none"/>
        </w:rPr>
        <w:t>厉行勤俭办公的工作要求，提倡本单位全体干部职工，勤俭节约，切实降低行政运行成本，确保了每年</w:t>
      </w:r>
      <w:r>
        <w:rPr>
          <w:rFonts w:hint="default" w:ascii="Times New Roman" w:hAnsi="Times New Roman" w:eastAsia="宋体" w:cs="Times New Roman"/>
          <w:color w:val="auto"/>
          <w:kern w:val="2"/>
          <w:highlight w:val="none"/>
          <w:lang w:eastAsia="zh-CN"/>
        </w:rPr>
        <w:t>“三公”经费</w:t>
      </w:r>
      <w:r>
        <w:rPr>
          <w:rFonts w:hint="default" w:ascii="Times New Roman" w:hAnsi="Times New Roman" w:eastAsia="宋体" w:cs="Times New Roman"/>
          <w:color w:val="auto"/>
          <w:kern w:val="2"/>
          <w:highlight w:val="none"/>
        </w:rPr>
        <w:t>只减不增。部门单位20</w:t>
      </w:r>
      <w:r>
        <w:rPr>
          <w:rFonts w:hint="default" w:ascii="Times New Roman" w:hAnsi="Times New Roman" w:eastAsia="宋体" w:cs="Times New Roman"/>
          <w:color w:val="auto"/>
          <w:kern w:val="2"/>
          <w:highlight w:val="none"/>
          <w:lang w:val="en-US" w:eastAsia="zh-CN"/>
        </w:rPr>
        <w:t>24</w:t>
      </w:r>
      <w:r>
        <w:rPr>
          <w:rFonts w:hint="default" w:ascii="Times New Roman" w:hAnsi="Times New Roman" w:eastAsia="宋体" w:cs="Times New Roman"/>
          <w:color w:val="auto"/>
          <w:kern w:val="2"/>
          <w:highlight w:val="none"/>
        </w:rPr>
        <w:t>年度</w:t>
      </w:r>
      <w:r>
        <w:rPr>
          <w:rFonts w:hint="default" w:ascii="Times New Roman" w:hAnsi="Times New Roman" w:eastAsia="宋体" w:cs="Times New Roman"/>
          <w:color w:val="auto"/>
          <w:kern w:val="2"/>
          <w:highlight w:val="none"/>
          <w:lang w:eastAsia="zh-CN"/>
        </w:rPr>
        <w:t>“三公”经费预算</w:t>
      </w:r>
      <w:r>
        <w:rPr>
          <w:rFonts w:hint="default" w:ascii="Times New Roman" w:hAnsi="Times New Roman" w:eastAsia="宋体" w:cs="Times New Roman"/>
          <w:color w:val="auto"/>
          <w:kern w:val="2"/>
          <w:highlight w:val="none"/>
        </w:rPr>
        <w:t>为</w:t>
      </w:r>
      <w:r>
        <w:rPr>
          <w:rFonts w:hint="default" w:ascii="Times New Roman" w:hAnsi="Times New Roman" w:eastAsia="宋体" w:cs="Times New Roman"/>
          <w:color w:val="auto"/>
          <w:kern w:val="2"/>
          <w:highlight w:val="none"/>
          <w:lang w:val="en-US" w:eastAsia="zh-CN"/>
        </w:rPr>
        <w:t>6</w:t>
      </w:r>
      <w:r>
        <w:rPr>
          <w:rFonts w:hint="default" w:ascii="Times New Roman" w:hAnsi="Times New Roman" w:eastAsia="宋体" w:cs="Times New Roman"/>
          <w:color w:val="auto"/>
          <w:kern w:val="2"/>
          <w:highlight w:val="none"/>
        </w:rPr>
        <w:t>.00万元，实际支出</w:t>
      </w:r>
      <w:r>
        <w:rPr>
          <w:rFonts w:hint="default" w:ascii="Times New Roman" w:hAnsi="Times New Roman" w:eastAsia="宋体" w:cs="Times New Roman"/>
          <w:color w:val="auto"/>
          <w:kern w:val="2"/>
          <w:highlight w:val="none"/>
          <w:lang w:val="en-US" w:eastAsia="zh-CN"/>
        </w:rPr>
        <w:t>4.75</w:t>
      </w:r>
      <w:r>
        <w:rPr>
          <w:rFonts w:hint="default" w:ascii="Times New Roman" w:hAnsi="Times New Roman" w:eastAsia="宋体" w:cs="Times New Roman"/>
          <w:color w:val="auto"/>
          <w:kern w:val="2"/>
          <w:highlight w:val="none"/>
        </w:rPr>
        <w:t>万元，</w:t>
      </w:r>
      <w:r>
        <w:rPr>
          <w:rFonts w:hint="default" w:ascii="Times New Roman" w:hAnsi="Times New Roman" w:eastAsia="宋体" w:cs="Times New Roman"/>
          <w:color w:val="auto"/>
          <w:kern w:val="2"/>
          <w:highlight w:val="none"/>
          <w:lang w:eastAsia="zh-CN"/>
        </w:rPr>
        <w:t>“三公”经费</w:t>
      </w:r>
      <w:r>
        <w:rPr>
          <w:rFonts w:hint="default" w:ascii="Times New Roman" w:hAnsi="Times New Roman" w:eastAsia="宋体" w:cs="Times New Roman"/>
          <w:color w:val="auto"/>
          <w:kern w:val="2"/>
          <w:highlight w:val="none"/>
        </w:rPr>
        <w:t>控制率为</w:t>
      </w:r>
      <w:r>
        <w:rPr>
          <w:rFonts w:hint="default" w:ascii="Times New Roman" w:hAnsi="Times New Roman" w:eastAsia="宋体" w:cs="Times New Roman"/>
          <w:color w:val="auto"/>
          <w:kern w:val="2"/>
          <w:highlight w:val="none"/>
          <w:lang w:val="en-US" w:eastAsia="zh-CN"/>
        </w:rPr>
        <w:t>79.17</w:t>
      </w:r>
      <w:r>
        <w:rPr>
          <w:rFonts w:hint="default" w:ascii="Times New Roman" w:hAnsi="Times New Roman" w:eastAsia="宋体" w:cs="Times New Roman"/>
          <w:color w:val="auto"/>
          <w:kern w:val="2"/>
          <w:highlight w:val="none"/>
        </w:rPr>
        <w:t>%</w:t>
      </w:r>
      <w:r>
        <w:rPr>
          <w:rFonts w:hint="default" w:ascii="Times New Roman" w:hAnsi="Times New Roman" w:eastAsia="宋体" w:cs="Times New Roman"/>
          <w:color w:val="auto"/>
          <w:kern w:val="2"/>
          <w:highlight w:val="none"/>
          <w:lang w:eastAsia="zh-CN"/>
        </w:rPr>
        <w:t>，</w:t>
      </w:r>
      <w:r>
        <w:rPr>
          <w:rFonts w:hint="default" w:ascii="Times New Roman" w:hAnsi="Times New Roman" w:eastAsia="宋体" w:cs="Times New Roman"/>
          <w:color w:val="auto"/>
          <w:kern w:val="2"/>
          <w:highlight w:val="none"/>
          <w:lang w:val="en-US" w:eastAsia="zh-CN"/>
        </w:rPr>
        <w:t>“三公经费”支出控制较好。其中：</w:t>
      </w:r>
    </w:p>
    <w:p w14:paraId="2CECCF0B">
      <w:pPr>
        <w:bidi w:val="0"/>
        <w:rPr>
          <w:rFonts w:hint="default" w:ascii="Times New Roman" w:hAnsi="Times New Roman" w:eastAsia="宋体" w:cs="Times New Roman"/>
          <w:color w:val="auto"/>
          <w:kern w:val="2"/>
          <w:highlight w:val="none"/>
          <w:lang w:val="en-US" w:eastAsia="zh-CN"/>
        </w:rPr>
      </w:pPr>
      <w:r>
        <w:rPr>
          <w:rFonts w:hint="default" w:ascii="Times New Roman" w:hAnsi="Times New Roman" w:eastAsia="宋体" w:cs="Times New Roman"/>
          <w:color w:val="auto"/>
          <w:highlight w:val="none"/>
          <w:lang w:val="en-US" w:eastAsia="zh-CN"/>
        </w:rPr>
        <w:t>（</w:t>
      </w:r>
      <w:r>
        <w:rPr>
          <w:rFonts w:hint="default" w:ascii="Times New Roman" w:hAnsi="Times New Roman" w:eastAsia="宋体" w:cs="Times New Roman"/>
          <w:color w:val="auto"/>
          <w:kern w:val="2"/>
          <w:highlight w:val="none"/>
          <w:lang w:val="en-US" w:eastAsia="zh-CN"/>
        </w:rPr>
        <w:t>1）无因公出国（境）情况；</w:t>
      </w:r>
    </w:p>
    <w:p w14:paraId="3689FC96">
      <w:pPr>
        <w:bidi w:val="0"/>
        <w:rPr>
          <w:rFonts w:hint="default" w:ascii="Times New Roman" w:hAnsi="Times New Roman" w:eastAsia="宋体" w:cs="Times New Roman"/>
          <w:color w:val="auto"/>
          <w:kern w:val="2"/>
          <w:highlight w:val="none"/>
          <w:lang w:val="en-US" w:eastAsia="zh-CN"/>
        </w:rPr>
      </w:pPr>
      <w:r>
        <w:rPr>
          <w:rFonts w:hint="default" w:ascii="Times New Roman" w:hAnsi="Times New Roman" w:eastAsia="宋体" w:cs="Times New Roman"/>
          <w:color w:val="auto"/>
          <w:kern w:val="2"/>
          <w:highlight w:val="none"/>
          <w:lang w:val="en-US" w:eastAsia="zh-CN"/>
        </w:rPr>
        <w:t>（2）无公务接待费支出；</w:t>
      </w:r>
    </w:p>
    <w:p w14:paraId="12510963">
      <w:pPr>
        <w:bidi w:val="0"/>
        <w:rPr>
          <w:rFonts w:hint="default" w:ascii="Times New Roman" w:hAnsi="Times New Roman" w:eastAsia="宋体" w:cs="Times New Roman"/>
          <w:color w:val="auto"/>
          <w:kern w:val="2"/>
          <w:highlight w:val="none"/>
          <w:lang w:val="en-US" w:eastAsia="zh-CN"/>
        </w:rPr>
      </w:pPr>
      <w:r>
        <w:rPr>
          <w:rFonts w:hint="default" w:ascii="Times New Roman" w:hAnsi="Times New Roman" w:eastAsia="宋体" w:cs="Times New Roman"/>
          <w:color w:val="auto"/>
          <w:kern w:val="2"/>
          <w:highlight w:val="none"/>
          <w:lang w:val="en-US" w:eastAsia="zh-CN"/>
        </w:rPr>
        <w:t>（3）公务用车购置及运维费预算为6.00万元，</w:t>
      </w:r>
      <w:r>
        <w:rPr>
          <w:rFonts w:hint="default" w:ascii="Times New Roman" w:hAnsi="Times New Roman" w:eastAsia="宋体" w:cs="Times New Roman"/>
          <w:color w:val="auto"/>
          <w:kern w:val="2"/>
          <w:highlight w:val="none"/>
        </w:rPr>
        <w:t>实际支出</w:t>
      </w:r>
      <w:r>
        <w:rPr>
          <w:rFonts w:hint="default" w:ascii="Times New Roman" w:hAnsi="Times New Roman" w:eastAsia="宋体" w:cs="Times New Roman"/>
          <w:color w:val="auto"/>
          <w:kern w:val="2"/>
          <w:highlight w:val="none"/>
          <w:lang w:val="en-US" w:eastAsia="zh-CN"/>
        </w:rPr>
        <w:t>4.75</w:t>
      </w:r>
      <w:r>
        <w:rPr>
          <w:rFonts w:hint="default" w:ascii="Times New Roman" w:hAnsi="Times New Roman" w:eastAsia="宋体" w:cs="Times New Roman"/>
          <w:color w:val="auto"/>
          <w:kern w:val="2"/>
          <w:highlight w:val="none"/>
        </w:rPr>
        <w:t>万元</w:t>
      </w:r>
      <w:r>
        <w:rPr>
          <w:rFonts w:hint="default" w:ascii="Times New Roman" w:hAnsi="Times New Roman" w:eastAsia="宋体" w:cs="Times New Roman"/>
          <w:color w:val="auto"/>
          <w:kern w:val="2"/>
          <w:highlight w:val="none"/>
          <w:lang w:val="en-US" w:eastAsia="zh-CN"/>
        </w:rPr>
        <w:t>。</w:t>
      </w:r>
    </w:p>
    <w:p w14:paraId="36486E6F">
      <w:pPr>
        <w:pStyle w:val="5"/>
        <w:ind w:firstLine="640"/>
        <w:rPr>
          <w:rFonts w:hint="default" w:ascii="Times New Roman" w:hAnsi="Times New Roman" w:eastAsia="宋体" w:cs="Times New Roman"/>
          <w:bCs w:val="0"/>
          <w:color w:val="auto"/>
          <w:sz w:val="24"/>
          <w:szCs w:val="24"/>
          <w:highlight w:val="none"/>
        </w:rPr>
      </w:pPr>
      <w:r>
        <w:rPr>
          <w:rFonts w:hint="default" w:ascii="Times New Roman" w:hAnsi="Times New Roman" w:eastAsia="宋体" w:cs="Times New Roman"/>
          <w:bCs w:val="0"/>
          <w:color w:val="auto"/>
          <w:sz w:val="24"/>
          <w:szCs w:val="24"/>
          <w:highlight w:val="none"/>
        </w:rPr>
        <w:t>（</w:t>
      </w:r>
      <w:r>
        <w:rPr>
          <w:rFonts w:hint="eastAsia" w:ascii="Times New Roman" w:hAnsi="Times New Roman" w:eastAsia="宋体" w:cs="Times New Roman"/>
          <w:bCs w:val="0"/>
          <w:color w:val="auto"/>
          <w:sz w:val="24"/>
          <w:szCs w:val="24"/>
          <w:highlight w:val="none"/>
          <w:lang w:val="en-US" w:eastAsia="zh-CN"/>
        </w:rPr>
        <w:t>三</w:t>
      </w:r>
      <w:r>
        <w:rPr>
          <w:rFonts w:hint="default" w:ascii="Times New Roman" w:hAnsi="Times New Roman" w:eastAsia="宋体" w:cs="Times New Roman"/>
          <w:bCs w:val="0"/>
          <w:color w:val="auto"/>
          <w:sz w:val="24"/>
          <w:szCs w:val="24"/>
          <w:highlight w:val="none"/>
        </w:rPr>
        <w:t>）部门</w:t>
      </w:r>
      <w:r>
        <w:rPr>
          <w:rFonts w:hint="eastAsia" w:ascii="Times New Roman" w:hAnsi="Times New Roman" w:eastAsia="宋体" w:cs="Times New Roman"/>
          <w:bCs w:val="0"/>
          <w:color w:val="auto"/>
          <w:sz w:val="24"/>
          <w:szCs w:val="24"/>
          <w:highlight w:val="none"/>
          <w:lang w:val="en-US" w:eastAsia="zh-CN"/>
        </w:rPr>
        <w:t>资产</w:t>
      </w:r>
      <w:r>
        <w:rPr>
          <w:rFonts w:hint="default" w:ascii="Times New Roman" w:hAnsi="Times New Roman" w:eastAsia="宋体" w:cs="Times New Roman"/>
          <w:bCs w:val="0"/>
          <w:color w:val="auto"/>
          <w:sz w:val="24"/>
          <w:szCs w:val="24"/>
          <w:highlight w:val="none"/>
        </w:rPr>
        <w:t>情况</w:t>
      </w:r>
      <w:bookmarkEnd w:id="33"/>
    </w:p>
    <w:p w14:paraId="3EFC1DFC">
      <w:pPr>
        <w:ind w:firstLine="0"/>
        <w:rPr>
          <w:rFonts w:hint="default" w:ascii="Times New Roman" w:hAnsi="Times New Roman" w:eastAsia="宋体" w:cs="Times New Roman"/>
          <w:color w:val="auto"/>
          <w:kern w:val="2"/>
          <w:highlight w:val="none"/>
          <w:lang w:val="en-US" w:eastAsia="zh-CN"/>
        </w:rPr>
      </w:pPr>
      <w:bookmarkStart w:id="35" w:name="_Toc5709"/>
      <w:r>
        <w:rPr>
          <w:rFonts w:hint="default" w:ascii="Times New Roman" w:hAnsi="Times New Roman" w:eastAsia="宋体" w:cs="Times New Roman"/>
          <w:color w:val="auto"/>
          <w:kern w:val="2"/>
          <w:highlight w:val="none"/>
          <w:lang w:val="en-US" w:eastAsia="zh-CN"/>
        </w:rPr>
        <w:t>伊宁县农业技术推广中心 2024 年末资产总额130.03万元，其中：</w:t>
      </w:r>
    </w:p>
    <w:p w14:paraId="1394DF45">
      <w:pPr>
        <w:ind w:firstLine="0"/>
        <w:rPr>
          <w:rFonts w:hint="default" w:ascii="Times New Roman" w:hAnsi="Times New Roman" w:eastAsia="宋体" w:cs="Times New Roman"/>
          <w:color w:val="auto"/>
          <w:kern w:val="2"/>
          <w:highlight w:val="none"/>
          <w:lang w:val="en-US" w:eastAsia="zh-CN"/>
        </w:rPr>
      </w:pPr>
      <w:r>
        <w:rPr>
          <w:rFonts w:hint="default" w:ascii="Times New Roman" w:hAnsi="Times New Roman" w:eastAsia="宋体" w:cs="Times New Roman"/>
          <w:color w:val="auto"/>
          <w:kern w:val="2"/>
          <w:highlight w:val="none"/>
          <w:lang w:val="en-US" w:eastAsia="zh-CN"/>
        </w:rPr>
        <w:t>（1）流动资产11.64万元，其中：货币资金7.87万元，其他应收款净额3.77万元。</w:t>
      </w:r>
    </w:p>
    <w:p w14:paraId="13A1E8D3">
      <w:pPr>
        <w:ind w:firstLine="0"/>
        <w:rPr>
          <w:rFonts w:hint="default" w:ascii="Times New Roman" w:hAnsi="Times New Roman" w:eastAsia="宋体" w:cs="Times New Roman"/>
          <w:color w:val="auto"/>
          <w:kern w:val="2"/>
          <w:highlight w:val="none"/>
          <w:lang w:val="en-US" w:eastAsia="zh-CN"/>
        </w:rPr>
      </w:pPr>
      <w:r>
        <w:rPr>
          <w:rFonts w:hint="default" w:ascii="Times New Roman" w:hAnsi="Times New Roman" w:eastAsia="宋体" w:cs="Times New Roman"/>
          <w:color w:val="auto"/>
          <w:kern w:val="2"/>
          <w:highlight w:val="none"/>
          <w:lang w:val="en-US" w:eastAsia="zh-CN"/>
        </w:rPr>
        <w:t>（2）非流动资产期末账面净值118.39万元，其中：固定资产期末账面原值501.81万元，累计折旧409.45万元，期末账面净值92.36万元；无形资产净值0.25万元；其他资产净值25.78万元。具体如下：</w:t>
      </w:r>
    </w:p>
    <w:p w14:paraId="407A48DF">
      <w:pPr>
        <w:ind w:firstLine="0"/>
        <w:rPr>
          <w:rFonts w:hint="default" w:ascii="Times New Roman" w:hAnsi="Times New Roman" w:eastAsia="宋体" w:cs="Times New Roman"/>
          <w:color w:val="auto"/>
          <w:kern w:val="2"/>
          <w:highlight w:val="none"/>
          <w:lang w:val="en-US" w:eastAsia="zh-CN"/>
        </w:rPr>
      </w:pPr>
      <w:r>
        <w:rPr>
          <w:rFonts w:hint="default" w:ascii="Times New Roman" w:hAnsi="Times New Roman" w:eastAsia="宋体" w:cs="Times New Roman"/>
          <w:color w:val="auto"/>
          <w:kern w:val="2"/>
          <w:highlight w:val="none"/>
          <w:lang w:val="en-US" w:eastAsia="zh-CN"/>
        </w:rPr>
        <w:t>①房屋和构筑物期末账面数1,730.52平方米，期末账面原值为100.54万元，累计折旧32.13万元，期末账面净值68.41万元。</w:t>
      </w:r>
    </w:p>
    <w:p w14:paraId="05A083CC">
      <w:pPr>
        <w:ind w:firstLine="0"/>
        <w:rPr>
          <w:rFonts w:hint="default" w:ascii="Times New Roman" w:hAnsi="Times New Roman" w:eastAsia="宋体" w:cs="Times New Roman"/>
          <w:color w:val="auto"/>
          <w:kern w:val="2"/>
          <w:highlight w:val="none"/>
          <w:lang w:val="en-US" w:eastAsia="zh-CN"/>
        </w:rPr>
      </w:pPr>
      <w:r>
        <w:rPr>
          <w:rFonts w:hint="default" w:ascii="Times New Roman" w:hAnsi="Times New Roman" w:eastAsia="宋体" w:cs="Times New Roman"/>
          <w:color w:val="auto"/>
          <w:kern w:val="2"/>
          <w:highlight w:val="none"/>
          <w:lang w:val="en-US" w:eastAsia="zh-CN"/>
        </w:rPr>
        <w:t>②设备期末账面数293（个、台、辆），期末账面原值为393.37万元，累计折旧370.08万元，期末账面净值23.29万元。</w:t>
      </w:r>
    </w:p>
    <w:p w14:paraId="7EA7FFA9">
      <w:pPr>
        <w:ind w:firstLine="0"/>
        <w:rPr>
          <w:rFonts w:hint="default" w:ascii="Times New Roman" w:hAnsi="Times New Roman" w:eastAsia="宋体" w:cs="Times New Roman"/>
          <w:color w:val="auto"/>
          <w:kern w:val="2"/>
          <w:highlight w:val="none"/>
          <w:lang w:val="en-US" w:eastAsia="zh-CN"/>
        </w:rPr>
      </w:pPr>
      <w:r>
        <w:rPr>
          <w:rFonts w:hint="default" w:ascii="Times New Roman" w:hAnsi="Times New Roman" w:eastAsia="宋体" w:cs="Times New Roman"/>
          <w:color w:val="auto"/>
          <w:kern w:val="2"/>
          <w:highlight w:val="none"/>
          <w:lang w:val="en-US" w:eastAsia="zh-CN"/>
        </w:rPr>
        <w:t>③家具和用具期末账面数210（个、套），期末账面原值为7.90万元，累计折旧7.24万元，期末账面净值0.66万元。</w:t>
      </w:r>
    </w:p>
    <w:p w14:paraId="17436368">
      <w:pPr>
        <w:ind w:firstLine="0"/>
        <w:rPr>
          <w:rFonts w:hint="default" w:ascii="Times New Roman" w:hAnsi="Times New Roman" w:eastAsia="宋体" w:cs="Times New Roman"/>
          <w:color w:val="auto"/>
          <w:kern w:val="2"/>
          <w:highlight w:val="none"/>
        </w:rPr>
      </w:pPr>
      <w:r>
        <w:rPr>
          <w:rFonts w:hint="default" w:ascii="Times New Roman" w:hAnsi="Times New Roman" w:eastAsia="宋体" w:cs="Times New Roman"/>
          <w:color w:val="auto"/>
          <w:kern w:val="2"/>
          <w:highlight w:val="none"/>
          <w:lang w:val="en-US" w:eastAsia="zh-CN"/>
        </w:rPr>
        <w:t>④土地使用权期末账面数13,334.00平方米，期末账面原值为0.25万元，累计折旧0.00万元，期末账面净值0.25万元。</w:t>
      </w:r>
    </w:p>
    <w:p w14:paraId="7DE6B7C1">
      <w:pPr>
        <w:pStyle w:val="5"/>
        <w:ind w:firstLine="640"/>
        <w:rPr>
          <w:rFonts w:hint="default" w:ascii="Times New Roman" w:hAnsi="Times New Roman" w:eastAsia="宋体" w:cs="Times New Roman"/>
          <w:bCs w:val="0"/>
          <w:color w:val="auto"/>
          <w:sz w:val="24"/>
          <w:szCs w:val="24"/>
          <w:highlight w:val="none"/>
        </w:rPr>
      </w:pPr>
      <w:r>
        <w:rPr>
          <w:rFonts w:hint="default" w:ascii="Times New Roman" w:hAnsi="Times New Roman" w:eastAsia="宋体" w:cs="Times New Roman"/>
          <w:bCs w:val="0"/>
          <w:color w:val="auto"/>
          <w:sz w:val="24"/>
          <w:szCs w:val="24"/>
          <w:highlight w:val="none"/>
        </w:rPr>
        <w:t>（</w:t>
      </w:r>
      <w:r>
        <w:rPr>
          <w:rFonts w:hint="eastAsia" w:ascii="Times New Roman" w:hAnsi="Times New Roman" w:eastAsia="宋体" w:cs="Times New Roman"/>
          <w:bCs w:val="0"/>
          <w:color w:val="auto"/>
          <w:sz w:val="24"/>
          <w:szCs w:val="24"/>
          <w:highlight w:val="none"/>
          <w:lang w:val="en-US" w:eastAsia="zh-CN"/>
        </w:rPr>
        <w:t>四</w:t>
      </w:r>
      <w:r>
        <w:rPr>
          <w:rFonts w:hint="default" w:ascii="Times New Roman" w:hAnsi="Times New Roman" w:eastAsia="宋体" w:cs="Times New Roman"/>
          <w:bCs w:val="0"/>
          <w:color w:val="auto"/>
          <w:sz w:val="24"/>
          <w:szCs w:val="24"/>
          <w:highlight w:val="none"/>
        </w:rPr>
        <w:t>）部门整体绩效目标</w:t>
      </w:r>
      <w:bookmarkEnd w:id="34"/>
      <w:bookmarkEnd w:id="35"/>
    </w:p>
    <w:p w14:paraId="0CE250F3">
      <w:pPr>
        <w:pStyle w:val="6"/>
        <w:ind w:firstLine="640"/>
        <w:rPr>
          <w:rFonts w:hint="eastAsia" w:ascii="Times New Roman" w:hAnsi="Times New Roman" w:eastAsia="宋体" w:cs="Times New Roman"/>
          <w:b w:val="0"/>
          <w:bCs/>
          <w:color w:val="auto"/>
          <w:sz w:val="21"/>
          <w:szCs w:val="21"/>
          <w:highlight w:val="none"/>
          <w:lang w:val="en-US" w:eastAsia="zh-CN" w:bidi="ar-SA"/>
        </w:rPr>
      </w:pPr>
      <w:r>
        <w:rPr>
          <w:rFonts w:hint="eastAsia" w:ascii="Times New Roman" w:hAnsi="Times New Roman" w:eastAsia="宋体" w:cs="Times New Roman"/>
          <w:bCs w:val="0"/>
          <w:color w:val="auto"/>
          <w:highlight w:val="none"/>
          <w:lang w:val="en-US" w:eastAsia="zh-CN"/>
        </w:rPr>
        <w:t>1</w:t>
      </w:r>
      <w:r>
        <w:rPr>
          <w:rFonts w:hint="eastAsia" w:ascii="Times New Roman" w:hAnsi="Times New Roman" w:eastAsia="宋体" w:cs="Times New Roman"/>
          <w:bCs w:val="0"/>
          <w:color w:val="auto"/>
          <w:highlight w:val="none"/>
        </w:rPr>
        <w:t>.部门中长期规划</w:t>
      </w:r>
    </w:p>
    <w:p w14:paraId="2D4C280E">
      <w:pPr>
        <w:pStyle w:val="6"/>
        <w:ind w:firstLine="640"/>
        <w:rPr>
          <w:rFonts w:hint="eastAsia" w:ascii="Times New Roman" w:hAnsi="Times New Roman" w:eastAsia="宋体" w:cs="Times New Roman"/>
          <w:b w:val="0"/>
          <w:bCs/>
          <w:color w:val="auto"/>
          <w:sz w:val="21"/>
          <w:szCs w:val="21"/>
          <w:highlight w:val="none"/>
          <w:lang w:val="en-US" w:eastAsia="zh-CN" w:bidi="ar-SA"/>
        </w:rPr>
      </w:pPr>
      <w:r>
        <w:rPr>
          <w:rFonts w:hint="eastAsia" w:ascii="Times New Roman" w:hAnsi="Times New Roman" w:eastAsia="宋体" w:cs="Times New Roman"/>
          <w:b w:val="0"/>
          <w:bCs/>
          <w:color w:val="auto"/>
          <w:sz w:val="21"/>
          <w:szCs w:val="21"/>
          <w:highlight w:val="none"/>
          <w:lang w:val="en-US" w:eastAsia="zh-CN" w:bidi="ar-SA"/>
        </w:rPr>
        <w:t>伊宁县农业技术推广中心加强农业实用技术推广服务。深入实施高素质农民培育计划，统筹县乡农业技术人员，把提单产、增品质作为主攻方向，着力推广优良品种使用、测土配方施肥、病虫害统防统治、高效节水等粮食生产技术模式，提高科技对粮食生产贡献率。进一步优化科技特派员队伍，引导科技特派员深入田间地头指导农民开展粮食生产。</w:t>
      </w:r>
    </w:p>
    <w:p w14:paraId="0BFD3671">
      <w:pPr>
        <w:pStyle w:val="6"/>
        <w:ind w:firstLine="640"/>
        <w:rPr>
          <w:rFonts w:hint="eastAsia" w:ascii="Times New Roman" w:hAnsi="Times New Roman" w:eastAsia="宋体" w:cs="Times New Roman"/>
          <w:bCs w:val="0"/>
          <w:color w:val="auto"/>
          <w:highlight w:val="none"/>
          <w:lang w:val="en-US" w:eastAsia="zh-CN"/>
        </w:rPr>
      </w:pPr>
      <w:r>
        <w:rPr>
          <w:rFonts w:hint="eastAsia" w:ascii="Times New Roman" w:hAnsi="Times New Roman" w:eastAsia="宋体" w:cs="Times New Roman"/>
          <w:bCs w:val="0"/>
          <w:color w:val="auto"/>
          <w:highlight w:val="none"/>
          <w:lang w:val="en-US" w:eastAsia="zh-CN"/>
        </w:rPr>
        <w:t>2</w:t>
      </w:r>
      <w:r>
        <w:rPr>
          <w:rFonts w:hint="eastAsia" w:ascii="Times New Roman" w:hAnsi="Times New Roman" w:eastAsia="宋体" w:cs="Times New Roman"/>
          <w:bCs w:val="0"/>
          <w:color w:val="auto"/>
          <w:highlight w:val="none"/>
        </w:rPr>
        <w:t>.部门年度工作</w:t>
      </w:r>
      <w:r>
        <w:rPr>
          <w:rFonts w:hint="eastAsia" w:ascii="Times New Roman" w:hAnsi="Times New Roman" w:eastAsia="宋体" w:cs="Times New Roman"/>
          <w:bCs w:val="0"/>
          <w:color w:val="auto"/>
          <w:highlight w:val="none"/>
          <w:lang w:val="en-US" w:eastAsia="zh-CN"/>
        </w:rPr>
        <w:t>任务</w:t>
      </w:r>
    </w:p>
    <w:p w14:paraId="0F658DF2">
      <w:pPr>
        <w:pStyle w:val="7"/>
        <w:numPr>
          <w:ilvl w:val="0"/>
          <w:numId w:val="0"/>
        </w:numPr>
        <w:ind w:firstLine="420" w:firstLineChars="200"/>
        <w:rPr>
          <w:rFonts w:hint="default" w:ascii="Times New Roman" w:hAnsi="Times New Roman" w:eastAsia="宋体" w:cs="Times New Roman"/>
          <w:color w:val="auto"/>
          <w:kern w:val="2"/>
          <w:highlight w:val="none"/>
          <w:lang w:val="en-US" w:eastAsia="zh-CN"/>
        </w:rPr>
      </w:pPr>
      <w:r>
        <w:rPr>
          <w:rFonts w:hint="default" w:ascii="Times New Roman" w:hAnsi="Times New Roman" w:eastAsia="宋体" w:cs="Times New Roman"/>
          <w:color w:val="auto"/>
          <w:kern w:val="2"/>
          <w:sz w:val="21"/>
          <w:szCs w:val="21"/>
          <w:highlight w:val="none"/>
          <w:lang w:val="en-US" w:eastAsia="zh-CN" w:bidi="ar-SA"/>
        </w:rPr>
        <w:t>（1）</w:t>
      </w:r>
      <w:r>
        <w:rPr>
          <w:rFonts w:hint="default" w:ascii="Times New Roman" w:hAnsi="Times New Roman" w:eastAsia="宋体" w:cs="Times New Roman"/>
          <w:color w:val="auto"/>
          <w:kern w:val="2"/>
          <w:highlight w:val="none"/>
          <w:lang w:val="en-US" w:eastAsia="zh-CN"/>
        </w:rPr>
        <w:t>粮食作物增产增收。为切实提高粮食单产，确保粮食生产稳定发展，提高粮食供给保障能力，提升科技增产能力，建设粮食作物高产示范田，提高粮食作物单产，带动粮食增产增收，开展百亩攻关田，千亩创建田，万亩示范田工作，每个乡镇要建立1-2块百亩以上的小麦攻关田，玉米高产创建每个乡镇要建立2个以上千亩示范方。力争2024年小麦单产提高6</w:t>
      </w:r>
      <w:r>
        <w:rPr>
          <w:rFonts w:hint="eastAsia" w:ascii="Times New Roman" w:hAnsi="Times New Roman" w:eastAsia="宋体" w:cs="Times New Roman"/>
          <w:color w:val="auto"/>
          <w:kern w:val="2"/>
          <w:highlight w:val="none"/>
          <w:lang w:val="en-US" w:eastAsia="zh-CN"/>
        </w:rPr>
        <w:t>.00</w:t>
      </w:r>
      <w:r>
        <w:rPr>
          <w:rFonts w:hint="default" w:ascii="Times New Roman" w:hAnsi="Times New Roman" w:eastAsia="宋体" w:cs="Times New Roman"/>
          <w:color w:val="auto"/>
          <w:kern w:val="2"/>
          <w:highlight w:val="none"/>
          <w:lang w:val="en-US" w:eastAsia="zh-CN"/>
        </w:rPr>
        <w:t>%以上、平均单产提高30公斤以上；玉米单产提高4</w:t>
      </w:r>
      <w:r>
        <w:rPr>
          <w:rFonts w:hint="eastAsia" w:ascii="Times New Roman" w:hAnsi="Times New Roman" w:eastAsia="宋体" w:cs="Times New Roman"/>
          <w:color w:val="auto"/>
          <w:kern w:val="2"/>
          <w:highlight w:val="none"/>
          <w:lang w:val="en-US" w:eastAsia="zh-CN"/>
        </w:rPr>
        <w:t>.00</w:t>
      </w:r>
      <w:r>
        <w:rPr>
          <w:rFonts w:hint="default" w:ascii="Times New Roman" w:hAnsi="Times New Roman" w:eastAsia="宋体" w:cs="Times New Roman"/>
          <w:color w:val="auto"/>
          <w:kern w:val="2"/>
          <w:highlight w:val="none"/>
          <w:lang w:val="en-US" w:eastAsia="zh-CN"/>
        </w:rPr>
        <w:t>%以上，平均单产提高50公斤以上。</w:t>
      </w:r>
    </w:p>
    <w:p w14:paraId="27FAE355">
      <w:pPr>
        <w:pStyle w:val="8"/>
        <w:numPr>
          <w:ilvl w:val="0"/>
          <w:numId w:val="0"/>
        </w:numPr>
        <w:ind w:left="0" w:leftChars="0" w:firstLine="420" w:firstLineChars="200"/>
        <w:rPr>
          <w:rFonts w:hint="default" w:ascii="Times New Roman" w:hAnsi="Times New Roman" w:eastAsia="宋体" w:cs="Times New Roman"/>
          <w:color w:val="auto"/>
          <w:kern w:val="2"/>
          <w:highlight w:val="none"/>
          <w:lang w:val="en-US" w:eastAsia="zh-CN"/>
        </w:rPr>
      </w:pPr>
      <w:r>
        <w:rPr>
          <w:rFonts w:hint="default" w:ascii="Times New Roman" w:hAnsi="Times New Roman" w:eastAsia="宋体" w:cs="Times New Roman"/>
          <w:color w:val="auto"/>
          <w:kern w:val="2"/>
          <w:sz w:val="21"/>
          <w:szCs w:val="21"/>
          <w:highlight w:val="none"/>
          <w:lang w:val="en-US" w:eastAsia="zh-CN" w:bidi="ar-SA"/>
        </w:rPr>
        <w:t>（2）</w:t>
      </w:r>
      <w:r>
        <w:rPr>
          <w:rFonts w:hint="default" w:ascii="Times New Roman" w:hAnsi="Times New Roman" w:eastAsia="宋体" w:cs="Times New Roman"/>
          <w:color w:val="auto"/>
          <w:kern w:val="2"/>
          <w:highlight w:val="none"/>
          <w:lang w:val="en-US" w:eastAsia="zh-CN"/>
        </w:rPr>
        <w:t>大力推广病虫绿色防控技术。加强示范引导，建立绿色防控示范点，引领粮食作物提质增效。强化病虫害预测预报，及时发布防灾减灾信息，提高防范。通过示范带动，推广绿色防控技术，提高农民科学防治病虫害的意识；通过绿色防控示范，突出绿色防控技术和低毒高效低残留药剂应用，提高绿色防控技术水平和覆盖率，切实减轻病虫害对粮食生产的影响，提高防治效果，努力实现虫口夺粮增单产，促进农民增收。</w:t>
      </w:r>
    </w:p>
    <w:p w14:paraId="7BEF8643">
      <w:pPr>
        <w:pStyle w:val="8"/>
        <w:numPr>
          <w:ilvl w:val="0"/>
          <w:numId w:val="0"/>
        </w:numPr>
        <w:ind w:left="0" w:leftChars="0" w:firstLine="420" w:firstLineChars="200"/>
        <w:rPr>
          <w:rFonts w:hint="eastAsia"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kern w:val="2"/>
          <w:highlight w:val="none"/>
          <w:lang w:val="en-US" w:eastAsia="zh-CN"/>
        </w:rPr>
        <w:t>（3）为保障粮食安全方面技术服务。服务于农，积极开展农业技术</w:t>
      </w:r>
      <w:r>
        <w:rPr>
          <w:rFonts w:hint="eastAsia" w:ascii="Times New Roman" w:hAnsi="Times New Roman" w:eastAsia="宋体" w:cs="Times New Roman"/>
          <w:color w:val="auto"/>
          <w:highlight w:val="none"/>
          <w:lang w:val="en-US" w:eastAsia="zh-CN"/>
        </w:rPr>
        <w:t>指导服务工作。全面做好伊宁县的春耕、夏收、秋种等关键时期的技术指导服务工作，开展农技服务线上线下技术指导。全面提高技术的普及率和到位率，为伊宁县粮食作物稳产增收做好技术指导工作。</w:t>
      </w:r>
    </w:p>
    <w:p w14:paraId="648B3D50">
      <w:pPr>
        <w:pStyle w:val="6"/>
        <w:ind w:firstLine="640"/>
        <w:rPr>
          <w:rFonts w:hint="default" w:ascii="Times New Roman" w:hAnsi="Times New Roman" w:eastAsia="宋体" w:cs="Times New Roman"/>
          <w:bCs w:val="0"/>
          <w:color w:val="auto"/>
          <w:highlight w:val="none"/>
        </w:rPr>
      </w:pPr>
      <w:r>
        <w:rPr>
          <w:rFonts w:hint="eastAsia" w:ascii="Times New Roman" w:hAnsi="Times New Roman" w:eastAsia="宋体" w:cs="Times New Roman"/>
          <w:bCs w:val="0"/>
          <w:color w:val="auto"/>
          <w:highlight w:val="none"/>
          <w:lang w:val="en-US" w:eastAsia="zh-CN"/>
        </w:rPr>
        <w:t>3</w:t>
      </w:r>
      <w:r>
        <w:rPr>
          <w:rFonts w:hint="default" w:ascii="Times New Roman" w:hAnsi="Times New Roman" w:eastAsia="宋体" w:cs="Times New Roman"/>
          <w:bCs w:val="0"/>
          <w:color w:val="auto"/>
          <w:highlight w:val="none"/>
        </w:rPr>
        <w:t>.单位绩效目标</w:t>
      </w:r>
    </w:p>
    <w:p w14:paraId="288C3F31">
      <w:pPr>
        <w:ind w:firstLine="640"/>
        <w:rPr>
          <w:rFonts w:hint="default" w:ascii="Times New Roman" w:hAnsi="Times New Roman" w:eastAsia="宋体" w:cs="Times New Roman"/>
          <w:bCs/>
          <w:color w:val="auto"/>
          <w:highlight w:val="none"/>
        </w:rPr>
      </w:pPr>
      <w:r>
        <w:rPr>
          <w:rFonts w:hint="default" w:ascii="Times New Roman" w:hAnsi="Times New Roman" w:eastAsia="宋体" w:cs="Times New Roman"/>
          <w:b/>
          <w:bCs w:val="0"/>
          <w:color w:val="auto"/>
          <w:highlight w:val="none"/>
        </w:rPr>
        <w:t>（1）部门年度绩效总目标</w:t>
      </w:r>
    </w:p>
    <w:p w14:paraId="28D89DBC">
      <w:pPr>
        <w:pStyle w:val="6"/>
        <w:ind w:firstLine="640"/>
        <w:rPr>
          <w:rFonts w:hint="default" w:ascii="Times New Roman" w:hAnsi="Times New Roman" w:eastAsia="宋体" w:cs="Times New Roman"/>
          <w:b w:val="0"/>
          <w:bCs/>
          <w:color w:val="auto"/>
          <w:sz w:val="21"/>
          <w:szCs w:val="21"/>
          <w:highlight w:val="none"/>
          <w:lang w:val="en-US" w:eastAsia="zh-CN" w:bidi="ar-SA"/>
        </w:rPr>
      </w:pPr>
      <w:r>
        <w:rPr>
          <w:rFonts w:hint="eastAsia" w:ascii="Times New Roman" w:hAnsi="Times New Roman" w:eastAsia="宋体" w:cs="Times New Roman"/>
          <w:b w:val="0"/>
          <w:bCs/>
          <w:color w:val="auto"/>
          <w:sz w:val="21"/>
          <w:szCs w:val="21"/>
          <w:highlight w:val="none"/>
          <w:lang w:val="en-US" w:eastAsia="zh-CN" w:bidi="ar-SA"/>
        </w:rPr>
        <w:t>伊宁县农业技术推广中心</w:t>
      </w:r>
      <w:r>
        <w:rPr>
          <w:rFonts w:hint="default" w:ascii="Times New Roman" w:hAnsi="Times New Roman" w:eastAsia="宋体" w:cs="Times New Roman"/>
          <w:b w:val="0"/>
          <w:bCs/>
          <w:color w:val="auto"/>
          <w:sz w:val="21"/>
          <w:szCs w:val="21"/>
          <w:highlight w:val="none"/>
          <w:lang w:val="en-US" w:eastAsia="zh-CN" w:bidi="ar-SA"/>
        </w:rPr>
        <w:t>立足伊宁县生态和资源优势，发展绿色、高质、高效农业，推进化肥农药零增长行动，实现农业投入品减量化，以促进全县农业稳定发展和农民持续增收为目标，促进粮食生产转方式、提质量、增效益，实现伊宁县农业生产绿色健康可持续发展。</w:t>
      </w:r>
    </w:p>
    <w:p w14:paraId="74D79A0A">
      <w:pPr>
        <w:ind w:firstLine="640"/>
        <w:rPr>
          <w:rFonts w:hint="default" w:ascii="Times New Roman" w:hAnsi="Times New Roman" w:eastAsia="宋体" w:cs="Times New Roman"/>
          <w:b/>
          <w:bCs w:val="0"/>
          <w:color w:val="auto"/>
          <w:highlight w:val="none"/>
        </w:rPr>
      </w:pPr>
      <w:r>
        <w:rPr>
          <w:rFonts w:hint="default" w:ascii="Times New Roman" w:hAnsi="Times New Roman" w:eastAsia="宋体" w:cs="Times New Roman"/>
          <w:b/>
          <w:bCs w:val="0"/>
          <w:color w:val="auto"/>
          <w:highlight w:val="none"/>
        </w:rPr>
        <w:t>（2）阶段性目标分解</w:t>
      </w:r>
    </w:p>
    <w:p w14:paraId="27555292">
      <w:pPr>
        <w:ind w:left="0" w:leftChars="0" w:firstLine="0" w:firstLineChars="0"/>
        <w:jc w:val="left"/>
        <w:rPr>
          <w:rFonts w:hint="default" w:ascii="Times New Roman" w:hAnsi="Times New Roman" w:eastAsia="宋体" w:cs="Times New Roman"/>
          <w:b/>
          <w:bCs/>
          <w:color w:val="auto"/>
          <w:sz w:val="21"/>
          <w:szCs w:val="21"/>
          <w:highlight w:val="none"/>
          <w:lang w:val="en-US" w:eastAsia="zh-CN"/>
        </w:rPr>
      </w:pPr>
      <w:r>
        <w:rPr>
          <w:rFonts w:hint="eastAsia" w:ascii="Times New Roman" w:hAnsi="Times New Roman" w:eastAsia="宋体" w:cs="Times New Roman"/>
          <w:bCs w:val="0"/>
          <w:color w:val="auto"/>
          <w:sz w:val="21"/>
          <w:szCs w:val="21"/>
          <w:highlight w:val="none"/>
          <w:lang w:val="en-US" w:eastAsia="zh-CN" w:bidi="ar-SA"/>
        </w:rPr>
        <w:t>根据</w:t>
      </w:r>
      <w:r>
        <w:rPr>
          <w:rFonts w:hint="eastAsia" w:ascii="Times New Roman" w:hAnsi="Times New Roman" w:eastAsia="宋体" w:cs="Times New Roman"/>
          <w:b w:val="0"/>
          <w:bCs/>
          <w:color w:val="auto"/>
          <w:sz w:val="21"/>
          <w:szCs w:val="21"/>
          <w:highlight w:val="none"/>
          <w:lang w:val="en-US" w:eastAsia="zh-CN" w:bidi="ar-SA"/>
        </w:rPr>
        <w:t>伊宁县农业技术推广中心</w:t>
      </w:r>
      <w:r>
        <w:rPr>
          <w:rFonts w:hint="eastAsia" w:ascii="Times New Roman" w:hAnsi="Times New Roman" w:eastAsia="宋体" w:cs="Times New Roman"/>
          <w:bCs w:val="0"/>
          <w:color w:val="auto"/>
          <w:sz w:val="21"/>
          <w:szCs w:val="21"/>
          <w:highlight w:val="none"/>
          <w:lang w:val="en-US" w:eastAsia="zh-CN" w:bidi="ar-SA"/>
        </w:rPr>
        <w:t>《部门（单位）整体绩效目标申报表》，</w:t>
      </w:r>
      <w:r>
        <w:rPr>
          <w:rFonts w:hint="eastAsia" w:ascii="Times New Roman" w:hAnsi="Times New Roman" w:eastAsia="宋体" w:cs="Times New Roman"/>
          <w:b w:val="0"/>
          <w:bCs/>
          <w:color w:val="auto"/>
          <w:sz w:val="21"/>
          <w:szCs w:val="21"/>
          <w:highlight w:val="none"/>
          <w:lang w:val="en-US" w:eastAsia="zh-CN" w:bidi="ar-SA"/>
        </w:rPr>
        <w:t>伊宁县农业技术推广中心</w:t>
      </w:r>
      <w:r>
        <w:rPr>
          <w:rFonts w:hint="eastAsia" w:ascii="Times New Roman" w:hAnsi="Times New Roman" w:eastAsia="宋体" w:cs="Times New Roman"/>
          <w:bCs w:val="0"/>
          <w:color w:val="auto"/>
          <w:sz w:val="21"/>
          <w:szCs w:val="21"/>
          <w:highlight w:val="none"/>
          <w:lang w:val="en-US" w:eastAsia="zh-CN" w:bidi="ar-SA"/>
        </w:rPr>
        <w:t>单位共设置年度绩效目标分别为开展技术指导培训次数、推广测土配方施肥土样采集数量、开展病虫害预测预报期数、开展病虫害调查数量、推广病虫害绿色防控技术面积、群众参加农业技术培训数量等指标。绩效评价小组在此基础上，以伊宁县中长期规划为基础，依据单位职能，参照自治区及伊犁州重点工作任务、部门单位年度工作计划，</w:t>
      </w:r>
      <w:r>
        <w:rPr>
          <w:rFonts w:hint="default" w:ascii="Times New Roman" w:hAnsi="Times New Roman" w:eastAsia="宋体" w:cs="Times New Roman"/>
          <w:bCs/>
          <w:color w:val="auto"/>
          <w:highlight w:val="none"/>
          <w:lang w:val="en-US" w:eastAsia="zh-CN"/>
        </w:rPr>
        <w:t>确定部门单位年度绩效目标</w:t>
      </w:r>
      <w:r>
        <w:rPr>
          <w:rFonts w:hint="eastAsia" w:ascii="Times New Roman" w:hAnsi="Times New Roman" w:eastAsia="宋体" w:cs="Times New Roman"/>
          <w:bCs/>
          <w:color w:val="auto"/>
          <w:highlight w:val="none"/>
        </w:rPr>
        <w:t>具体如下：</w:t>
      </w:r>
    </w:p>
    <w:p w14:paraId="78F5FCC7">
      <w:pPr>
        <w:ind w:left="0" w:leftChars="0" w:firstLine="0" w:firstLineChars="0"/>
        <w:jc w:val="center"/>
        <w:rPr>
          <w:rFonts w:hint="default" w:ascii="Times New Roman" w:hAnsi="Times New Roman" w:eastAsia="宋体" w:cs="Times New Roman"/>
          <w:b/>
          <w:bCs/>
          <w:color w:val="auto"/>
          <w:sz w:val="21"/>
          <w:szCs w:val="21"/>
          <w:highlight w:val="none"/>
        </w:rPr>
      </w:pPr>
      <w:r>
        <w:rPr>
          <w:rFonts w:hint="default" w:ascii="Times New Roman" w:hAnsi="Times New Roman" w:eastAsia="宋体" w:cs="Times New Roman"/>
          <w:b/>
          <w:bCs/>
          <w:color w:val="auto"/>
          <w:sz w:val="21"/>
          <w:szCs w:val="21"/>
          <w:highlight w:val="none"/>
          <w:lang w:val="en-US" w:eastAsia="zh-CN"/>
        </w:rPr>
        <w:t>表</w:t>
      </w:r>
      <w:r>
        <w:rPr>
          <w:rFonts w:hint="default" w:ascii="Times New Roman" w:hAnsi="Times New Roman" w:eastAsia="宋体" w:cs="Times New Roman"/>
          <w:b/>
          <w:bCs/>
          <w:color w:val="auto"/>
          <w:sz w:val="21"/>
          <w:szCs w:val="21"/>
          <w:highlight w:val="none"/>
        </w:rPr>
        <w:t>1-</w:t>
      </w:r>
      <w:r>
        <w:rPr>
          <w:rFonts w:hint="eastAsia" w:ascii="Times New Roman" w:hAnsi="Times New Roman" w:eastAsia="宋体" w:cs="Times New Roman"/>
          <w:b/>
          <w:bCs/>
          <w:color w:val="auto"/>
          <w:sz w:val="21"/>
          <w:szCs w:val="21"/>
          <w:highlight w:val="none"/>
          <w:lang w:val="en-US" w:eastAsia="zh-CN"/>
        </w:rPr>
        <w:t>1</w:t>
      </w:r>
      <w:r>
        <w:rPr>
          <w:rFonts w:hint="default" w:ascii="Times New Roman" w:hAnsi="Times New Roman" w:eastAsia="宋体" w:cs="Times New Roman"/>
          <w:b/>
          <w:bCs/>
          <w:color w:val="auto"/>
          <w:sz w:val="21"/>
          <w:szCs w:val="21"/>
          <w:highlight w:val="none"/>
          <w:lang w:val="en-US" w:eastAsia="zh-CN"/>
        </w:rPr>
        <w:t>：</w:t>
      </w:r>
      <w:r>
        <w:rPr>
          <w:rFonts w:hint="eastAsia" w:ascii="Times New Roman" w:hAnsi="Times New Roman" w:eastAsia="宋体" w:cs="Times New Roman"/>
          <w:b/>
          <w:bCs/>
          <w:color w:val="auto"/>
          <w:sz w:val="21"/>
          <w:szCs w:val="21"/>
          <w:highlight w:val="none"/>
          <w:lang w:val="en-US" w:eastAsia="zh-CN"/>
        </w:rPr>
        <w:t>伊宁县农技推广中心2024</w:t>
      </w:r>
      <w:r>
        <w:rPr>
          <w:rFonts w:hint="default" w:ascii="Times New Roman" w:hAnsi="Times New Roman" w:eastAsia="宋体" w:cs="Times New Roman"/>
          <w:b/>
          <w:bCs/>
          <w:color w:val="auto"/>
          <w:sz w:val="21"/>
          <w:szCs w:val="21"/>
          <w:highlight w:val="none"/>
        </w:rPr>
        <w:t>年</w:t>
      </w:r>
      <w:r>
        <w:rPr>
          <w:rFonts w:hint="eastAsia" w:ascii="Times New Roman" w:hAnsi="Times New Roman" w:eastAsia="宋体" w:cs="Times New Roman"/>
          <w:b/>
          <w:bCs/>
          <w:color w:val="auto"/>
          <w:sz w:val="21"/>
          <w:szCs w:val="21"/>
          <w:highlight w:val="none"/>
          <w:lang w:val="en-US" w:eastAsia="zh-CN"/>
        </w:rPr>
        <w:t>度</w:t>
      </w:r>
      <w:r>
        <w:rPr>
          <w:rFonts w:hint="default" w:ascii="Times New Roman" w:hAnsi="Times New Roman" w:eastAsia="宋体" w:cs="Times New Roman"/>
          <w:b/>
          <w:bCs/>
          <w:color w:val="auto"/>
          <w:sz w:val="21"/>
          <w:szCs w:val="21"/>
          <w:highlight w:val="none"/>
        </w:rPr>
        <w:t>部门整体绩效阶段性目标</w:t>
      </w:r>
    </w:p>
    <w:tbl>
      <w:tblPr>
        <w:tblStyle w:val="21"/>
        <w:tblW w:w="4998" w:type="pct"/>
        <w:tblInd w:w="0" w:type="dxa"/>
        <w:tblLayout w:type="autofit"/>
        <w:tblCellMar>
          <w:top w:w="0" w:type="dxa"/>
          <w:left w:w="108" w:type="dxa"/>
          <w:bottom w:w="0" w:type="dxa"/>
          <w:right w:w="108" w:type="dxa"/>
        </w:tblCellMar>
      </w:tblPr>
      <w:tblGrid>
        <w:gridCol w:w="967"/>
        <w:gridCol w:w="2383"/>
        <w:gridCol w:w="3634"/>
        <w:gridCol w:w="1421"/>
      </w:tblGrid>
      <w:tr w14:paraId="18B9B891">
        <w:tblPrEx>
          <w:tblCellMar>
            <w:top w:w="0" w:type="dxa"/>
            <w:left w:w="108" w:type="dxa"/>
            <w:bottom w:w="0" w:type="dxa"/>
            <w:right w:w="108" w:type="dxa"/>
          </w:tblCellMar>
        </w:tblPrEx>
        <w:trPr>
          <w:trHeight w:val="397" w:hRule="atLeast"/>
          <w:tblHeader/>
        </w:trPr>
        <w:tc>
          <w:tcPr>
            <w:tcW w:w="575" w:type="pct"/>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B68709A">
            <w:pPr>
              <w:widowControl/>
              <w:spacing w:line="240" w:lineRule="auto"/>
              <w:ind w:firstLine="0" w:firstLineChars="0"/>
              <w:jc w:val="center"/>
              <w:textAlignment w:val="center"/>
              <w:rPr>
                <w:rFonts w:hint="default" w:ascii="Times New Roman" w:hAnsi="Times New Roman" w:eastAsia="宋体" w:cs="Times New Roman"/>
                <w:b/>
                <w:bCs/>
                <w:color w:val="auto"/>
                <w:sz w:val="21"/>
                <w:szCs w:val="21"/>
                <w:highlight w:val="none"/>
              </w:rPr>
            </w:pPr>
            <w:r>
              <w:rPr>
                <w:rFonts w:hint="default" w:ascii="Times New Roman" w:hAnsi="Times New Roman" w:eastAsia="宋体" w:cs="Times New Roman"/>
                <w:b/>
                <w:bCs/>
                <w:color w:val="auto"/>
                <w:sz w:val="21"/>
                <w:szCs w:val="21"/>
                <w:highlight w:val="none"/>
                <w:lang w:bidi="ar"/>
              </w:rPr>
              <w:t>一级指标</w:t>
            </w:r>
          </w:p>
        </w:tc>
        <w:tc>
          <w:tcPr>
            <w:tcW w:w="1417" w:type="pct"/>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B2F538C">
            <w:pPr>
              <w:widowControl/>
              <w:spacing w:line="240" w:lineRule="auto"/>
              <w:ind w:firstLine="0" w:firstLineChars="0"/>
              <w:jc w:val="center"/>
              <w:textAlignment w:val="center"/>
              <w:rPr>
                <w:rFonts w:hint="default" w:ascii="Times New Roman" w:hAnsi="Times New Roman" w:eastAsia="宋体" w:cs="Times New Roman"/>
                <w:b/>
                <w:bCs/>
                <w:color w:val="auto"/>
                <w:sz w:val="21"/>
                <w:szCs w:val="21"/>
                <w:highlight w:val="none"/>
              </w:rPr>
            </w:pPr>
            <w:r>
              <w:rPr>
                <w:rFonts w:hint="default" w:ascii="Times New Roman" w:hAnsi="Times New Roman" w:eastAsia="宋体" w:cs="Times New Roman"/>
                <w:b/>
                <w:bCs/>
                <w:color w:val="auto"/>
                <w:sz w:val="21"/>
                <w:szCs w:val="21"/>
                <w:highlight w:val="none"/>
                <w:lang w:bidi="ar"/>
              </w:rPr>
              <w:t>二级指标</w:t>
            </w:r>
          </w:p>
        </w:tc>
        <w:tc>
          <w:tcPr>
            <w:tcW w:w="2161" w:type="pct"/>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821A68D">
            <w:pPr>
              <w:widowControl/>
              <w:spacing w:line="240" w:lineRule="auto"/>
              <w:ind w:firstLine="0" w:firstLineChars="0"/>
              <w:jc w:val="center"/>
              <w:textAlignment w:val="center"/>
              <w:rPr>
                <w:rFonts w:hint="default" w:ascii="Times New Roman" w:hAnsi="Times New Roman" w:eastAsia="宋体" w:cs="Times New Roman"/>
                <w:b/>
                <w:bCs/>
                <w:color w:val="auto"/>
                <w:sz w:val="21"/>
                <w:szCs w:val="21"/>
                <w:highlight w:val="none"/>
              </w:rPr>
            </w:pPr>
            <w:r>
              <w:rPr>
                <w:rFonts w:hint="default" w:ascii="Times New Roman" w:hAnsi="Times New Roman" w:eastAsia="宋体" w:cs="Times New Roman"/>
                <w:b/>
                <w:bCs/>
                <w:color w:val="auto"/>
                <w:sz w:val="21"/>
                <w:szCs w:val="21"/>
                <w:highlight w:val="none"/>
                <w:lang w:bidi="ar"/>
              </w:rPr>
              <w:t>三级指标</w:t>
            </w:r>
          </w:p>
        </w:tc>
        <w:tc>
          <w:tcPr>
            <w:tcW w:w="845" w:type="pct"/>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D7C0402">
            <w:pPr>
              <w:widowControl/>
              <w:spacing w:line="240" w:lineRule="auto"/>
              <w:ind w:firstLine="0" w:firstLineChars="0"/>
              <w:jc w:val="center"/>
              <w:textAlignment w:val="center"/>
              <w:rPr>
                <w:rFonts w:hint="default" w:ascii="Times New Roman" w:hAnsi="Times New Roman" w:eastAsia="宋体" w:cs="Times New Roman"/>
                <w:b/>
                <w:bCs/>
                <w:color w:val="auto"/>
                <w:sz w:val="21"/>
                <w:szCs w:val="21"/>
                <w:highlight w:val="none"/>
              </w:rPr>
            </w:pPr>
            <w:r>
              <w:rPr>
                <w:rFonts w:hint="default" w:ascii="Times New Roman" w:hAnsi="Times New Roman" w:eastAsia="宋体" w:cs="Times New Roman"/>
                <w:b/>
                <w:bCs/>
                <w:color w:val="auto"/>
                <w:sz w:val="21"/>
                <w:szCs w:val="21"/>
                <w:highlight w:val="none"/>
                <w:lang w:bidi="ar"/>
              </w:rPr>
              <w:t>业绩值</w:t>
            </w:r>
          </w:p>
        </w:tc>
      </w:tr>
      <w:tr w14:paraId="050CC3F3">
        <w:tblPrEx>
          <w:tblCellMar>
            <w:top w:w="0" w:type="dxa"/>
            <w:left w:w="108" w:type="dxa"/>
            <w:bottom w:w="0" w:type="dxa"/>
            <w:right w:w="108" w:type="dxa"/>
          </w:tblCellMar>
        </w:tblPrEx>
        <w:trPr>
          <w:trHeight w:val="397" w:hRule="atLeast"/>
        </w:trPr>
        <w:tc>
          <w:tcPr>
            <w:tcW w:w="575" w:type="pct"/>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4A280B8">
            <w:pPr>
              <w:widowControl/>
              <w:spacing w:line="240" w:lineRule="auto"/>
              <w:ind w:firstLine="0" w:firstLineChars="0"/>
              <w:jc w:val="center"/>
              <w:textAlignment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C部门绩效（60.00分）</w:t>
            </w:r>
          </w:p>
        </w:tc>
        <w:tc>
          <w:tcPr>
            <w:tcW w:w="1417" w:type="pct"/>
            <w:vMerge w:val="restart"/>
            <w:tcBorders>
              <w:top w:val="single" w:color="000000" w:sz="4" w:space="0"/>
              <w:left w:val="single" w:color="000000" w:sz="4" w:space="0"/>
              <w:right w:val="single" w:color="000000" w:sz="4" w:space="0"/>
            </w:tcBorders>
            <w:shd w:val="clear" w:color="auto" w:fill="auto"/>
            <w:tcMar>
              <w:top w:w="0" w:type="dxa"/>
              <w:left w:w="51" w:type="dxa"/>
              <w:bottom w:w="0" w:type="dxa"/>
              <w:right w:w="51" w:type="dxa"/>
            </w:tcMar>
            <w:vAlign w:val="center"/>
          </w:tcPr>
          <w:p w14:paraId="18E3A964">
            <w:pPr>
              <w:widowControl/>
              <w:spacing w:line="240" w:lineRule="auto"/>
              <w:ind w:firstLine="0" w:firstLineChars="0"/>
              <w:jc w:val="left"/>
              <w:textAlignment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C1履职效能—农技推广宣传与预防</w:t>
            </w:r>
          </w:p>
        </w:tc>
        <w:tc>
          <w:tcPr>
            <w:tcW w:w="2161" w:type="pct"/>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910DAAD">
            <w:pPr>
              <w:widowControl/>
              <w:spacing w:line="240" w:lineRule="auto"/>
              <w:ind w:firstLine="0" w:firstLineChars="0"/>
              <w:jc w:val="left"/>
              <w:textAlignment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C11开展各类农技培训次数</w:t>
            </w:r>
          </w:p>
        </w:tc>
        <w:tc>
          <w:tcPr>
            <w:tcW w:w="845" w:type="pct"/>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D161C34">
            <w:pPr>
              <w:widowControl/>
              <w:spacing w:line="240" w:lineRule="auto"/>
              <w:ind w:firstLine="0" w:firstLineChars="0"/>
              <w:jc w:val="center"/>
              <w:textAlignment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≥100场</w:t>
            </w:r>
          </w:p>
        </w:tc>
      </w:tr>
      <w:tr w14:paraId="33EB7B18">
        <w:tblPrEx>
          <w:tblCellMar>
            <w:top w:w="0" w:type="dxa"/>
            <w:left w:w="108" w:type="dxa"/>
            <w:bottom w:w="0" w:type="dxa"/>
            <w:right w:w="108" w:type="dxa"/>
          </w:tblCellMar>
        </w:tblPrEx>
        <w:trPr>
          <w:trHeight w:val="397" w:hRule="atLeast"/>
        </w:trPr>
        <w:tc>
          <w:tcPr>
            <w:tcW w:w="575" w:type="pct"/>
            <w:vMerge w:val="continue"/>
            <w:tcBorders>
              <w:left w:val="single" w:color="000000" w:sz="4" w:space="0"/>
              <w:right w:val="single" w:color="000000" w:sz="4" w:space="0"/>
            </w:tcBorders>
            <w:shd w:val="clear" w:color="auto" w:fill="auto"/>
            <w:tcMar>
              <w:top w:w="0" w:type="dxa"/>
              <w:left w:w="51" w:type="dxa"/>
              <w:bottom w:w="0" w:type="dxa"/>
              <w:right w:w="51" w:type="dxa"/>
            </w:tcMar>
            <w:vAlign w:val="center"/>
          </w:tcPr>
          <w:p w14:paraId="3066FBA1">
            <w:pPr>
              <w:widowControl/>
              <w:spacing w:line="240" w:lineRule="auto"/>
              <w:ind w:firstLine="0" w:firstLineChars="0"/>
              <w:jc w:val="center"/>
              <w:textAlignment w:val="center"/>
              <w:rPr>
                <w:rFonts w:hint="eastAsia" w:ascii="Times New Roman" w:hAnsi="Times New Roman" w:eastAsia="宋体" w:cs="Times New Roman"/>
                <w:color w:val="auto"/>
                <w:sz w:val="21"/>
                <w:szCs w:val="21"/>
                <w:highlight w:val="none"/>
                <w:lang w:val="en-US" w:eastAsia="zh-CN"/>
              </w:rPr>
            </w:pPr>
          </w:p>
        </w:tc>
        <w:tc>
          <w:tcPr>
            <w:tcW w:w="1417" w:type="pct"/>
            <w:vMerge w:val="continue"/>
            <w:tcBorders>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70E6DCB">
            <w:pPr>
              <w:widowControl/>
              <w:spacing w:line="240" w:lineRule="auto"/>
              <w:ind w:firstLine="0" w:firstLineChars="0"/>
              <w:jc w:val="left"/>
              <w:textAlignment w:val="center"/>
              <w:rPr>
                <w:rFonts w:hint="eastAsia" w:ascii="Times New Roman" w:hAnsi="Times New Roman" w:eastAsia="宋体" w:cs="Times New Roman"/>
                <w:color w:val="auto"/>
                <w:sz w:val="21"/>
                <w:szCs w:val="21"/>
                <w:highlight w:val="none"/>
                <w:lang w:val="en-US" w:eastAsia="zh-CN"/>
              </w:rPr>
            </w:pPr>
          </w:p>
        </w:tc>
        <w:tc>
          <w:tcPr>
            <w:tcW w:w="2161" w:type="pct"/>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EDD11FA">
            <w:pPr>
              <w:widowControl/>
              <w:spacing w:line="240" w:lineRule="auto"/>
              <w:ind w:firstLine="0" w:firstLineChars="0"/>
              <w:jc w:val="left"/>
              <w:textAlignment w:val="center"/>
              <w:rPr>
                <w:rFonts w:hint="eastAsia" w:ascii="Times New Roman" w:hAnsi="Times New Roman" w:eastAsia="宋体" w:cs="Times New Roman"/>
                <w:color w:val="auto"/>
                <w:sz w:val="21"/>
                <w:szCs w:val="21"/>
                <w:highlight w:val="none"/>
                <w:lang w:val="en-US" w:eastAsia="zh-CN" w:bidi="ar-SA"/>
              </w:rPr>
            </w:pPr>
            <w:r>
              <w:rPr>
                <w:rFonts w:hint="eastAsia" w:ascii="Times New Roman" w:hAnsi="Times New Roman" w:eastAsia="宋体" w:cs="Times New Roman"/>
                <w:color w:val="auto"/>
                <w:sz w:val="21"/>
                <w:szCs w:val="21"/>
                <w:highlight w:val="none"/>
                <w:lang w:val="en-US" w:eastAsia="zh-CN"/>
              </w:rPr>
              <w:t>C12中长期病虫害预测预报</w:t>
            </w:r>
          </w:p>
        </w:tc>
        <w:tc>
          <w:tcPr>
            <w:tcW w:w="845" w:type="pct"/>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786BE48">
            <w:pPr>
              <w:widowControl/>
              <w:spacing w:line="240" w:lineRule="auto"/>
              <w:ind w:firstLine="0" w:firstLineChars="0"/>
              <w:jc w:val="center"/>
              <w:textAlignment w:val="center"/>
              <w:rPr>
                <w:rFonts w:hint="eastAsia" w:ascii="Times New Roman" w:hAnsi="Times New Roman" w:eastAsia="宋体" w:cs="Times New Roman"/>
                <w:color w:val="auto"/>
                <w:sz w:val="21"/>
                <w:szCs w:val="21"/>
                <w:highlight w:val="none"/>
                <w:lang w:val="en-US" w:eastAsia="zh-CN" w:bidi="ar-SA"/>
              </w:rPr>
            </w:pPr>
            <w:r>
              <w:rPr>
                <w:rFonts w:hint="eastAsia" w:ascii="Times New Roman" w:hAnsi="Times New Roman" w:eastAsia="宋体" w:cs="Times New Roman"/>
                <w:color w:val="auto"/>
                <w:sz w:val="21"/>
                <w:szCs w:val="21"/>
                <w:highlight w:val="none"/>
                <w:lang w:val="en-US" w:eastAsia="zh-CN"/>
              </w:rPr>
              <w:t>≥10期</w:t>
            </w:r>
          </w:p>
        </w:tc>
      </w:tr>
      <w:tr w14:paraId="62D2F71B">
        <w:tblPrEx>
          <w:tblCellMar>
            <w:top w:w="0" w:type="dxa"/>
            <w:left w:w="108" w:type="dxa"/>
            <w:bottom w:w="0" w:type="dxa"/>
            <w:right w:w="108" w:type="dxa"/>
          </w:tblCellMar>
        </w:tblPrEx>
        <w:trPr>
          <w:trHeight w:val="397" w:hRule="atLeast"/>
        </w:trPr>
        <w:tc>
          <w:tcPr>
            <w:tcW w:w="575" w:type="pct"/>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6F367A0">
            <w:pPr>
              <w:widowControl/>
              <w:spacing w:line="240" w:lineRule="auto"/>
              <w:ind w:firstLine="0" w:firstLineChars="0"/>
              <w:jc w:val="center"/>
              <w:textAlignment w:val="center"/>
              <w:rPr>
                <w:rFonts w:hint="default" w:ascii="Times New Roman" w:hAnsi="Times New Roman" w:eastAsia="宋体" w:cs="Times New Roman"/>
                <w:color w:val="auto"/>
                <w:sz w:val="21"/>
                <w:szCs w:val="21"/>
                <w:highlight w:val="none"/>
                <w:lang w:val="en-US" w:eastAsia="zh-CN"/>
              </w:rPr>
            </w:pPr>
          </w:p>
        </w:tc>
        <w:tc>
          <w:tcPr>
            <w:tcW w:w="1417" w:type="pct"/>
            <w:vMerge w:val="restart"/>
            <w:tcBorders>
              <w:top w:val="single" w:color="000000" w:sz="4" w:space="0"/>
              <w:left w:val="single" w:color="000000" w:sz="4" w:space="0"/>
              <w:right w:val="single" w:color="000000" w:sz="4" w:space="0"/>
            </w:tcBorders>
            <w:shd w:val="clear" w:color="auto" w:fill="auto"/>
            <w:tcMar>
              <w:top w:w="0" w:type="dxa"/>
              <w:left w:w="51" w:type="dxa"/>
              <w:bottom w:w="0" w:type="dxa"/>
              <w:right w:w="51" w:type="dxa"/>
            </w:tcMar>
            <w:vAlign w:val="center"/>
          </w:tcPr>
          <w:p w14:paraId="7A131783">
            <w:pPr>
              <w:widowControl/>
              <w:spacing w:line="240" w:lineRule="auto"/>
              <w:ind w:firstLine="0" w:firstLineChars="0"/>
              <w:jc w:val="left"/>
              <w:textAlignment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C2履职效能—</w:t>
            </w:r>
            <w:r>
              <w:rPr>
                <w:rFonts w:hint="eastAsia" w:ascii="Times New Roman" w:hAnsi="Times New Roman" w:eastAsia="宋体" w:cs="Times New Roman"/>
                <w:color w:val="auto"/>
                <w:highlight w:val="none"/>
                <w:lang w:val="en-US" w:eastAsia="zh-CN"/>
              </w:rPr>
              <w:t>绿色防控技术推广</w:t>
            </w:r>
          </w:p>
        </w:tc>
        <w:tc>
          <w:tcPr>
            <w:tcW w:w="2161" w:type="pct"/>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DC5CFD3">
            <w:pPr>
              <w:widowControl/>
              <w:spacing w:line="240" w:lineRule="auto"/>
              <w:ind w:firstLine="0" w:firstLineChars="0"/>
              <w:jc w:val="left"/>
              <w:textAlignment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C21小麦粮食作物统防统治覆盖率</w:t>
            </w:r>
          </w:p>
        </w:tc>
        <w:tc>
          <w:tcPr>
            <w:tcW w:w="845" w:type="pct"/>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4E44476">
            <w:pPr>
              <w:widowControl/>
              <w:spacing w:line="240" w:lineRule="auto"/>
              <w:ind w:firstLine="0" w:firstLineChars="0"/>
              <w:jc w:val="center"/>
              <w:textAlignment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≥48.00%</w:t>
            </w:r>
          </w:p>
        </w:tc>
      </w:tr>
      <w:tr w14:paraId="23554776">
        <w:tblPrEx>
          <w:tblCellMar>
            <w:top w:w="0" w:type="dxa"/>
            <w:left w:w="108" w:type="dxa"/>
            <w:bottom w:w="0" w:type="dxa"/>
            <w:right w:w="108" w:type="dxa"/>
          </w:tblCellMar>
        </w:tblPrEx>
        <w:trPr>
          <w:trHeight w:val="397" w:hRule="atLeast"/>
        </w:trPr>
        <w:tc>
          <w:tcPr>
            <w:tcW w:w="575" w:type="pct"/>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E44EB42">
            <w:pPr>
              <w:widowControl/>
              <w:spacing w:line="240" w:lineRule="auto"/>
              <w:ind w:firstLine="0" w:firstLineChars="0"/>
              <w:jc w:val="center"/>
              <w:textAlignment w:val="center"/>
              <w:rPr>
                <w:rFonts w:hint="default" w:ascii="Times New Roman" w:hAnsi="Times New Roman" w:eastAsia="宋体" w:cs="Times New Roman"/>
                <w:color w:val="auto"/>
                <w:sz w:val="21"/>
                <w:szCs w:val="21"/>
                <w:highlight w:val="none"/>
                <w:lang w:val="en-US" w:eastAsia="zh-CN"/>
              </w:rPr>
            </w:pPr>
          </w:p>
        </w:tc>
        <w:tc>
          <w:tcPr>
            <w:tcW w:w="1417" w:type="pct"/>
            <w:vMerge w:val="continue"/>
            <w:tcBorders>
              <w:left w:val="single" w:color="000000" w:sz="4" w:space="0"/>
              <w:right w:val="single" w:color="000000" w:sz="4" w:space="0"/>
            </w:tcBorders>
            <w:shd w:val="clear" w:color="auto" w:fill="auto"/>
            <w:tcMar>
              <w:top w:w="0" w:type="dxa"/>
              <w:left w:w="51" w:type="dxa"/>
              <w:bottom w:w="0" w:type="dxa"/>
              <w:right w:w="51" w:type="dxa"/>
            </w:tcMar>
            <w:vAlign w:val="center"/>
          </w:tcPr>
          <w:p w14:paraId="386E4888">
            <w:pPr>
              <w:widowControl/>
              <w:spacing w:line="240" w:lineRule="auto"/>
              <w:ind w:firstLine="0" w:firstLineChars="0"/>
              <w:jc w:val="left"/>
              <w:textAlignment w:val="center"/>
              <w:rPr>
                <w:rFonts w:hint="default" w:ascii="Times New Roman" w:hAnsi="Times New Roman" w:eastAsia="宋体" w:cs="Times New Roman"/>
                <w:color w:val="auto"/>
                <w:sz w:val="21"/>
                <w:szCs w:val="21"/>
                <w:highlight w:val="none"/>
                <w:lang w:val="en-US" w:eastAsia="zh-CN"/>
              </w:rPr>
            </w:pPr>
          </w:p>
        </w:tc>
        <w:tc>
          <w:tcPr>
            <w:tcW w:w="2161" w:type="pct"/>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BE70160">
            <w:pPr>
              <w:widowControl/>
              <w:spacing w:line="240" w:lineRule="auto"/>
              <w:ind w:firstLine="0" w:firstLineChars="0"/>
              <w:jc w:val="left"/>
              <w:textAlignment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C22玉米粮食作物统防统治覆盖率</w:t>
            </w:r>
          </w:p>
        </w:tc>
        <w:tc>
          <w:tcPr>
            <w:tcW w:w="845" w:type="pct"/>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32C275D">
            <w:pPr>
              <w:widowControl/>
              <w:spacing w:line="240" w:lineRule="auto"/>
              <w:ind w:firstLine="0" w:firstLineChars="0"/>
              <w:jc w:val="center"/>
              <w:textAlignment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≥48.00%</w:t>
            </w:r>
          </w:p>
        </w:tc>
      </w:tr>
      <w:tr w14:paraId="4AB9323F">
        <w:tblPrEx>
          <w:tblCellMar>
            <w:top w:w="0" w:type="dxa"/>
            <w:left w:w="108" w:type="dxa"/>
            <w:bottom w:w="0" w:type="dxa"/>
            <w:right w:w="108" w:type="dxa"/>
          </w:tblCellMar>
        </w:tblPrEx>
        <w:trPr>
          <w:trHeight w:val="397" w:hRule="atLeast"/>
        </w:trPr>
        <w:tc>
          <w:tcPr>
            <w:tcW w:w="575" w:type="pct"/>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3B79ADF">
            <w:pPr>
              <w:widowControl/>
              <w:spacing w:line="240" w:lineRule="auto"/>
              <w:ind w:firstLine="0" w:firstLineChars="0"/>
              <w:jc w:val="center"/>
              <w:textAlignment w:val="center"/>
              <w:rPr>
                <w:rFonts w:hint="default" w:ascii="Times New Roman" w:hAnsi="Times New Roman" w:eastAsia="宋体" w:cs="Times New Roman"/>
                <w:color w:val="auto"/>
                <w:sz w:val="21"/>
                <w:szCs w:val="21"/>
                <w:highlight w:val="none"/>
                <w:lang w:val="en-US" w:eastAsia="zh-CN"/>
              </w:rPr>
            </w:pPr>
          </w:p>
        </w:tc>
        <w:tc>
          <w:tcPr>
            <w:tcW w:w="1417" w:type="pct"/>
            <w:vMerge w:val="continue"/>
            <w:tcBorders>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9F38FC9">
            <w:pPr>
              <w:widowControl/>
              <w:spacing w:line="240" w:lineRule="auto"/>
              <w:ind w:firstLine="0" w:firstLineChars="0"/>
              <w:jc w:val="left"/>
              <w:textAlignment w:val="center"/>
              <w:rPr>
                <w:rFonts w:hint="default" w:ascii="Times New Roman" w:hAnsi="Times New Roman" w:eastAsia="宋体" w:cs="Times New Roman"/>
                <w:color w:val="auto"/>
                <w:sz w:val="21"/>
                <w:szCs w:val="21"/>
                <w:highlight w:val="none"/>
                <w:lang w:val="en-US" w:eastAsia="zh-CN"/>
              </w:rPr>
            </w:pPr>
          </w:p>
        </w:tc>
        <w:tc>
          <w:tcPr>
            <w:tcW w:w="2161" w:type="pct"/>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9170A7F">
            <w:pPr>
              <w:widowControl/>
              <w:spacing w:line="240" w:lineRule="auto"/>
              <w:ind w:firstLine="0" w:firstLineChars="0"/>
              <w:jc w:val="left"/>
              <w:textAlignment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C23农作物病虫害绿色防控覆盖率</w:t>
            </w:r>
          </w:p>
        </w:tc>
        <w:tc>
          <w:tcPr>
            <w:tcW w:w="845" w:type="pct"/>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51EC4E29">
            <w:pPr>
              <w:widowControl/>
              <w:spacing w:line="240" w:lineRule="auto"/>
              <w:ind w:firstLine="0" w:firstLineChars="0"/>
              <w:jc w:val="center"/>
              <w:textAlignment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≥52.00%</w:t>
            </w:r>
          </w:p>
        </w:tc>
      </w:tr>
      <w:tr w14:paraId="524D3931">
        <w:tblPrEx>
          <w:tblCellMar>
            <w:top w:w="0" w:type="dxa"/>
            <w:left w:w="108" w:type="dxa"/>
            <w:bottom w:w="0" w:type="dxa"/>
            <w:right w:w="108" w:type="dxa"/>
          </w:tblCellMar>
        </w:tblPrEx>
        <w:trPr>
          <w:trHeight w:val="397" w:hRule="atLeast"/>
        </w:trPr>
        <w:tc>
          <w:tcPr>
            <w:tcW w:w="575" w:type="pct"/>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59F2FDB">
            <w:pPr>
              <w:widowControl/>
              <w:spacing w:line="240" w:lineRule="auto"/>
              <w:ind w:firstLine="0" w:firstLineChars="0"/>
              <w:jc w:val="center"/>
              <w:textAlignment w:val="center"/>
              <w:rPr>
                <w:rFonts w:hint="default" w:ascii="Times New Roman" w:hAnsi="Times New Roman" w:eastAsia="宋体" w:cs="Times New Roman"/>
                <w:color w:val="auto"/>
                <w:sz w:val="21"/>
                <w:szCs w:val="21"/>
                <w:highlight w:val="none"/>
                <w:lang w:val="en-US" w:eastAsia="zh-CN"/>
              </w:rPr>
            </w:pPr>
          </w:p>
        </w:tc>
        <w:tc>
          <w:tcPr>
            <w:tcW w:w="1417" w:type="pct"/>
            <w:vMerge w:val="restart"/>
            <w:tcBorders>
              <w:top w:val="single" w:color="000000" w:sz="4" w:space="0"/>
              <w:left w:val="single" w:color="000000" w:sz="4" w:space="0"/>
              <w:right w:val="single" w:color="000000" w:sz="4" w:space="0"/>
            </w:tcBorders>
            <w:shd w:val="clear" w:color="auto" w:fill="auto"/>
            <w:tcMar>
              <w:top w:w="0" w:type="dxa"/>
              <w:left w:w="51" w:type="dxa"/>
              <w:bottom w:w="0" w:type="dxa"/>
              <w:right w:w="51" w:type="dxa"/>
            </w:tcMar>
            <w:vAlign w:val="center"/>
          </w:tcPr>
          <w:p w14:paraId="445127EB">
            <w:pPr>
              <w:widowControl/>
              <w:spacing w:line="240" w:lineRule="auto"/>
              <w:ind w:firstLine="0" w:firstLineChars="0"/>
              <w:jc w:val="left"/>
              <w:textAlignment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C3履职效能—粮食作物增产增收</w:t>
            </w:r>
          </w:p>
        </w:tc>
        <w:tc>
          <w:tcPr>
            <w:tcW w:w="2161" w:type="pct"/>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482ED66">
            <w:pPr>
              <w:widowControl/>
              <w:spacing w:line="240" w:lineRule="auto"/>
              <w:ind w:firstLine="0" w:firstLineChars="0"/>
              <w:jc w:val="left"/>
              <w:textAlignment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C31每个乡镇建立百亩以上的小麦攻关田数量</w:t>
            </w:r>
          </w:p>
        </w:tc>
        <w:tc>
          <w:tcPr>
            <w:tcW w:w="845" w:type="pct"/>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7F3E3D4">
            <w:pPr>
              <w:widowControl/>
              <w:spacing w:line="240" w:lineRule="auto"/>
              <w:ind w:firstLine="0" w:firstLineChars="0"/>
              <w:jc w:val="center"/>
              <w:textAlignment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≥2块</w:t>
            </w:r>
          </w:p>
        </w:tc>
      </w:tr>
      <w:tr w14:paraId="533E814C">
        <w:tblPrEx>
          <w:tblCellMar>
            <w:top w:w="0" w:type="dxa"/>
            <w:left w:w="108" w:type="dxa"/>
            <w:bottom w:w="0" w:type="dxa"/>
            <w:right w:w="108" w:type="dxa"/>
          </w:tblCellMar>
        </w:tblPrEx>
        <w:trPr>
          <w:trHeight w:val="397" w:hRule="atLeast"/>
        </w:trPr>
        <w:tc>
          <w:tcPr>
            <w:tcW w:w="575" w:type="pct"/>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2E09424">
            <w:pPr>
              <w:widowControl/>
              <w:spacing w:line="240" w:lineRule="auto"/>
              <w:ind w:firstLine="0" w:firstLineChars="0"/>
              <w:jc w:val="center"/>
              <w:textAlignment w:val="center"/>
              <w:rPr>
                <w:rFonts w:hint="default" w:ascii="Times New Roman" w:hAnsi="Times New Roman" w:eastAsia="宋体" w:cs="Times New Roman"/>
                <w:color w:val="auto"/>
                <w:sz w:val="21"/>
                <w:szCs w:val="21"/>
                <w:highlight w:val="none"/>
                <w:lang w:val="en-US" w:eastAsia="zh-CN"/>
              </w:rPr>
            </w:pPr>
          </w:p>
        </w:tc>
        <w:tc>
          <w:tcPr>
            <w:tcW w:w="1417" w:type="pct"/>
            <w:vMerge w:val="continue"/>
            <w:tcBorders>
              <w:left w:val="single" w:color="000000" w:sz="4" w:space="0"/>
              <w:right w:val="single" w:color="000000" w:sz="4" w:space="0"/>
            </w:tcBorders>
            <w:shd w:val="clear" w:color="auto" w:fill="auto"/>
            <w:tcMar>
              <w:top w:w="0" w:type="dxa"/>
              <w:left w:w="51" w:type="dxa"/>
              <w:bottom w:w="0" w:type="dxa"/>
              <w:right w:w="51" w:type="dxa"/>
            </w:tcMar>
            <w:vAlign w:val="center"/>
          </w:tcPr>
          <w:p w14:paraId="69E1A4EA">
            <w:pPr>
              <w:widowControl/>
              <w:spacing w:line="240" w:lineRule="auto"/>
              <w:ind w:firstLine="0" w:firstLineChars="0"/>
              <w:jc w:val="left"/>
              <w:textAlignment w:val="center"/>
              <w:rPr>
                <w:rFonts w:hint="default" w:ascii="Times New Roman" w:hAnsi="Times New Roman" w:eastAsia="宋体" w:cs="Times New Roman"/>
                <w:color w:val="auto"/>
                <w:sz w:val="21"/>
                <w:szCs w:val="21"/>
                <w:highlight w:val="none"/>
                <w:lang w:val="en-US" w:eastAsia="zh-CN"/>
              </w:rPr>
            </w:pPr>
          </w:p>
        </w:tc>
        <w:tc>
          <w:tcPr>
            <w:tcW w:w="2161" w:type="pct"/>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4C05BF46">
            <w:pPr>
              <w:widowControl/>
              <w:spacing w:line="240" w:lineRule="auto"/>
              <w:ind w:firstLine="0" w:firstLineChars="0"/>
              <w:jc w:val="left"/>
              <w:textAlignment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C32每个乡镇要建立千亩示范田块数量</w:t>
            </w:r>
          </w:p>
        </w:tc>
        <w:tc>
          <w:tcPr>
            <w:tcW w:w="845" w:type="pct"/>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0066FCA1">
            <w:pPr>
              <w:widowControl/>
              <w:spacing w:line="240" w:lineRule="auto"/>
              <w:ind w:firstLine="0" w:firstLineChars="0"/>
              <w:jc w:val="center"/>
              <w:textAlignment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≥2块</w:t>
            </w:r>
          </w:p>
        </w:tc>
      </w:tr>
      <w:tr w14:paraId="6D49890B">
        <w:tblPrEx>
          <w:tblCellMar>
            <w:top w:w="0" w:type="dxa"/>
            <w:left w:w="108" w:type="dxa"/>
            <w:bottom w:w="0" w:type="dxa"/>
            <w:right w:w="108" w:type="dxa"/>
          </w:tblCellMar>
        </w:tblPrEx>
        <w:trPr>
          <w:trHeight w:val="397" w:hRule="atLeast"/>
        </w:trPr>
        <w:tc>
          <w:tcPr>
            <w:tcW w:w="575" w:type="pct"/>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0373C3F">
            <w:pPr>
              <w:widowControl/>
              <w:spacing w:line="240" w:lineRule="auto"/>
              <w:ind w:firstLine="0" w:firstLineChars="0"/>
              <w:jc w:val="center"/>
              <w:textAlignment w:val="center"/>
              <w:rPr>
                <w:rFonts w:hint="default" w:ascii="Times New Roman" w:hAnsi="Times New Roman" w:eastAsia="宋体" w:cs="Times New Roman"/>
                <w:color w:val="auto"/>
                <w:sz w:val="21"/>
                <w:szCs w:val="21"/>
                <w:highlight w:val="none"/>
                <w:lang w:val="en-US" w:eastAsia="zh-CN"/>
              </w:rPr>
            </w:pPr>
          </w:p>
        </w:tc>
        <w:tc>
          <w:tcPr>
            <w:tcW w:w="1417" w:type="pct"/>
            <w:vMerge w:val="continue"/>
            <w:tcBorders>
              <w:left w:val="single" w:color="000000" w:sz="4" w:space="0"/>
              <w:right w:val="single" w:color="000000" w:sz="4" w:space="0"/>
            </w:tcBorders>
            <w:shd w:val="clear" w:color="auto" w:fill="auto"/>
            <w:tcMar>
              <w:top w:w="0" w:type="dxa"/>
              <w:left w:w="51" w:type="dxa"/>
              <w:bottom w:w="0" w:type="dxa"/>
              <w:right w:w="51" w:type="dxa"/>
            </w:tcMar>
            <w:vAlign w:val="center"/>
          </w:tcPr>
          <w:p w14:paraId="17466506">
            <w:pPr>
              <w:widowControl/>
              <w:spacing w:line="240" w:lineRule="auto"/>
              <w:ind w:firstLine="0" w:firstLineChars="0"/>
              <w:jc w:val="left"/>
              <w:textAlignment w:val="center"/>
              <w:rPr>
                <w:rFonts w:hint="default" w:ascii="Times New Roman" w:hAnsi="Times New Roman" w:eastAsia="宋体" w:cs="Times New Roman"/>
                <w:color w:val="auto"/>
                <w:sz w:val="21"/>
                <w:szCs w:val="21"/>
                <w:highlight w:val="none"/>
                <w:lang w:val="en-US" w:eastAsia="zh-CN"/>
              </w:rPr>
            </w:pPr>
          </w:p>
        </w:tc>
        <w:tc>
          <w:tcPr>
            <w:tcW w:w="2161" w:type="pct"/>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A3A0674">
            <w:pPr>
              <w:widowControl/>
              <w:spacing w:line="240" w:lineRule="auto"/>
              <w:ind w:firstLine="0" w:firstLineChars="0"/>
              <w:jc w:val="left"/>
              <w:textAlignment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C33小麦单产提高率</w:t>
            </w:r>
          </w:p>
        </w:tc>
        <w:tc>
          <w:tcPr>
            <w:tcW w:w="845" w:type="pct"/>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6465E04A">
            <w:pPr>
              <w:widowControl/>
              <w:spacing w:line="240" w:lineRule="auto"/>
              <w:ind w:firstLine="0" w:firstLineChars="0"/>
              <w:jc w:val="center"/>
              <w:textAlignment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≥6.00%</w:t>
            </w:r>
          </w:p>
        </w:tc>
      </w:tr>
      <w:tr w14:paraId="6BA346B9">
        <w:tblPrEx>
          <w:tblCellMar>
            <w:top w:w="0" w:type="dxa"/>
            <w:left w:w="108" w:type="dxa"/>
            <w:bottom w:w="0" w:type="dxa"/>
            <w:right w:w="108" w:type="dxa"/>
          </w:tblCellMar>
        </w:tblPrEx>
        <w:trPr>
          <w:trHeight w:val="397" w:hRule="atLeast"/>
        </w:trPr>
        <w:tc>
          <w:tcPr>
            <w:tcW w:w="575" w:type="pct"/>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64C041C">
            <w:pPr>
              <w:widowControl/>
              <w:spacing w:line="240" w:lineRule="auto"/>
              <w:ind w:firstLine="0" w:firstLineChars="0"/>
              <w:jc w:val="center"/>
              <w:textAlignment w:val="center"/>
              <w:rPr>
                <w:rFonts w:hint="default" w:ascii="Times New Roman" w:hAnsi="Times New Roman" w:eastAsia="宋体" w:cs="Times New Roman"/>
                <w:color w:val="auto"/>
                <w:sz w:val="21"/>
                <w:szCs w:val="21"/>
                <w:highlight w:val="none"/>
                <w:lang w:val="en-US" w:eastAsia="zh-CN"/>
              </w:rPr>
            </w:pPr>
          </w:p>
        </w:tc>
        <w:tc>
          <w:tcPr>
            <w:tcW w:w="1417" w:type="pct"/>
            <w:vMerge w:val="continue"/>
            <w:tcBorders>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E3321DA">
            <w:pPr>
              <w:widowControl/>
              <w:spacing w:line="240" w:lineRule="auto"/>
              <w:ind w:firstLine="0" w:firstLineChars="0"/>
              <w:jc w:val="left"/>
              <w:textAlignment w:val="center"/>
              <w:rPr>
                <w:rFonts w:hint="default" w:ascii="Times New Roman" w:hAnsi="Times New Roman" w:eastAsia="宋体" w:cs="Times New Roman"/>
                <w:color w:val="auto"/>
                <w:sz w:val="21"/>
                <w:szCs w:val="21"/>
                <w:highlight w:val="none"/>
                <w:lang w:val="en-US" w:eastAsia="zh-CN"/>
              </w:rPr>
            </w:pPr>
          </w:p>
        </w:tc>
        <w:tc>
          <w:tcPr>
            <w:tcW w:w="2161" w:type="pct"/>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3AFBA71">
            <w:pPr>
              <w:widowControl/>
              <w:spacing w:line="240" w:lineRule="auto"/>
              <w:ind w:firstLine="0" w:firstLineChars="0"/>
              <w:jc w:val="left"/>
              <w:textAlignment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C34玉米每亩单产提升率</w:t>
            </w:r>
          </w:p>
        </w:tc>
        <w:tc>
          <w:tcPr>
            <w:tcW w:w="845" w:type="pct"/>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2EE327AE">
            <w:pPr>
              <w:widowControl/>
              <w:spacing w:line="240" w:lineRule="auto"/>
              <w:ind w:firstLine="0" w:firstLineChars="0"/>
              <w:jc w:val="center"/>
              <w:textAlignment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≥4.00%</w:t>
            </w:r>
          </w:p>
        </w:tc>
      </w:tr>
      <w:tr w14:paraId="1A05FABA">
        <w:tblPrEx>
          <w:tblCellMar>
            <w:top w:w="0" w:type="dxa"/>
            <w:left w:w="108" w:type="dxa"/>
            <w:bottom w:w="0" w:type="dxa"/>
            <w:right w:w="108" w:type="dxa"/>
          </w:tblCellMar>
        </w:tblPrEx>
        <w:trPr>
          <w:trHeight w:val="397" w:hRule="atLeast"/>
        </w:trPr>
        <w:tc>
          <w:tcPr>
            <w:tcW w:w="575" w:type="pct"/>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05B0C7C">
            <w:pPr>
              <w:widowControl/>
              <w:spacing w:line="240" w:lineRule="auto"/>
              <w:ind w:firstLine="0" w:firstLineChars="0"/>
              <w:jc w:val="center"/>
              <w:textAlignment w:val="center"/>
              <w:rPr>
                <w:rFonts w:hint="default" w:ascii="Times New Roman" w:hAnsi="Times New Roman" w:eastAsia="宋体" w:cs="Times New Roman"/>
                <w:color w:val="auto"/>
                <w:sz w:val="21"/>
                <w:szCs w:val="21"/>
                <w:highlight w:val="none"/>
                <w:lang w:val="en-US" w:eastAsia="zh-CN"/>
              </w:rPr>
            </w:pPr>
          </w:p>
        </w:tc>
        <w:tc>
          <w:tcPr>
            <w:tcW w:w="1417" w:type="pct"/>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1F7832D8">
            <w:pPr>
              <w:widowControl/>
              <w:spacing w:line="240" w:lineRule="auto"/>
              <w:ind w:firstLine="0" w:firstLineChars="0"/>
              <w:jc w:val="left"/>
              <w:textAlignment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C4服务对象满意度</w:t>
            </w:r>
          </w:p>
        </w:tc>
        <w:tc>
          <w:tcPr>
            <w:tcW w:w="2161" w:type="pct"/>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3EF880C0">
            <w:pPr>
              <w:widowControl/>
              <w:spacing w:line="240" w:lineRule="auto"/>
              <w:ind w:firstLine="0" w:firstLineChars="0"/>
              <w:jc w:val="left"/>
              <w:textAlignment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C41受益农户满意度</w:t>
            </w:r>
          </w:p>
        </w:tc>
        <w:tc>
          <w:tcPr>
            <w:tcW w:w="845" w:type="pct"/>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14:paraId="71792A96">
            <w:pPr>
              <w:widowControl/>
              <w:spacing w:line="240" w:lineRule="auto"/>
              <w:ind w:firstLine="0" w:firstLineChars="0"/>
              <w:jc w:val="center"/>
              <w:textAlignment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≥90.00%</w:t>
            </w:r>
          </w:p>
        </w:tc>
      </w:tr>
    </w:tbl>
    <w:p w14:paraId="7EA33717">
      <w:pPr>
        <w:ind w:firstLine="640"/>
        <w:rPr>
          <w:rFonts w:hint="default" w:ascii="Times New Roman" w:hAnsi="Times New Roman" w:eastAsia="宋体" w:cs="Times New Roman"/>
          <w:bCs/>
          <w:color w:val="auto"/>
          <w:highlight w:val="none"/>
        </w:rPr>
      </w:pPr>
    </w:p>
    <w:p w14:paraId="65176F00">
      <w:pPr>
        <w:pStyle w:val="4"/>
        <w:ind w:firstLine="640"/>
        <w:rPr>
          <w:rFonts w:hint="default" w:ascii="Times New Roman" w:hAnsi="Times New Roman" w:eastAsia="宋体" w:cs="Times New Roman"/>
          <w:color w:val="auto"/>
          <w:szCs w:val="24"/>
          <w:highlight w:val="none"/>
        </w:rPr>
      </w:pPr>
      <w:bookmarkStart w:id="36" w:name="_Toc68364660"/>
      <w:bookmarkStart w:id="37" w:name="_Toc23062"/>
      <w:r>
        <w:rPr>
          <w:rFonts w:hint="default" w:ascii="Times New Roman" w:hAnsi="Times New Roman" w:eastAsia="宋体" w:cs="Times New Roman"/>
          <w:color w:val="auto"/>
          <w:szCs w:val="24"/>
          <w:highlight w:val="none"/>
        </w:rPr>
        <w:t>二、绩效评价工作开展情况</w:t>
      </w:r>
      <w:bookmarkEnd w:id="36"/>
      <w:bookmarkEnd w:id="37"/>
    </w:p>
    <w:p w14:paraId="1198AEC9">
      <w:pPr>
        <w:pStyle w:val="5"/>
        <w:ind w:firstLine="640"/>
        <w:rPr>
          <w:rFonts w:hint="default" w:ascii="Times New Roman" w:hAnsi="Times New Roman" w:eastAsia="宋体" w:cs="Times New Roman"/>
          <w:bCs w:val="0"/>
          <w:color w:val="auto"/>
          <w:sz w:val="24"/>
          <w:szCs w:val="24"/>
          <w:highlight w:val="none"/>
          <w:lang w:val="en-US" w:eastAsia="zh-CN"/>
        </w:rPr>
      </w:pPr>
      <w:bookmarkStart w:id="38" w:name="_Toc68364661"/>
      <w:bookmarkStart w:id="39" w:name="_Toc32015"/>
      <w:r>
        <w:rPr>
          <w:rFonts w:hint="default" w:ascii="Times New Roman" w:hAnsi="Times New Roman" w:eastAsia="宋体" w:cs="Times New Roman"/>
          <w:bCs w:val="0"/>
          <w:color w:val="auto"/>
          <w:sz w:val="24"/>
          <w:szCs w:val="24"/>
          <w:highlight w:val="none"/>
        </w:rPr>
        <w:t>（一）</w:t>
      </w:r>
      <w:bookmarkEnd w:id="38"/>
      <w:r>
        <w:rPr>
          <w:rFonts w:hint="default" w:ascii="Times New Roman" w:hAnsi="Times New Roman" w:eastAsia="宋体" w:cs="Times New Roman"/>
          <w:bCs w:val="0"/>
          <w:color w:val="auto"/>
          <w:sz w:val="24"/>
          <w:szCs w:val="24"/>
          <w:highlight w:val="none"/>
        </w:rPr>
        <w:t>绩效评价目的</w:t>
      </w:r>
      <w:r>
        <w:rPr>
          <w:rFonts w:hint="eastAsia" w:ascii="Times New Roman" w:hAnsi="Times New Roman" w:eastAsia="宋体" w:cs="Times New Roman"/>
          <w:bCs w:val="0"/>
          <w:color w:val="auto"/>
          <w:sz w:val="24"/>
          <w:szCs w:val="24"/>
          <w:highlight w:val="none"/>
          <w:lang w:val="en-US" w:eastAsia="zh-CN"/>
        </w:rPr>
        <w:t>及依据</w:t>
      </w:r>
      <w:bookmarkEnd w:id="39"/>
    </w:p>
    <w:p w14:paraId="78B9E8E2">
      <w:pPr>
        <w:pStyle w:val="6"/>
        <w:bidi w:val="0"/>
        <w:rPr>
          <w:rFonts w:hint="default" w:ascii="Times New Roman" w:hAnsi="Times New Roman" w:eastAsia="宋体" w:cs="Times New Roman"/>
          <w:color w:val="auto"/>
          <w:highlight w:val="none"/>
        </w:rPr>
      </w:pPr>
      <w:r>
        <w:rPr>
          <w:rFonts w:hint="eastAsia" w:ascii="Times New Roman" w:hAnsi="Times New Roman" w:eastAsia="宋体" w:cs="Times New Roman"/>
          <w:color w:val="auto"/>
          <w:highlight w:val="none"/>
          <w:lang w:val="en-US" w:eastAsia="zh-CN"/>
        </w:rPr>
        <w:t>1.</w:t>
      </w:r>
      <w:r>
        <w:rPr>
          <w:rFonts w:hint="default" w:ascii="Times New Roman" w:hAnsi="Times New Roman" w:eastAsia="宋体" w:cs="Times New Roman"/>
          <w:color w:val="auto"/>
          <w:highlight w:val="none"/>
        </w:rPr>
        <w:t>绩效评价依据</w:t>
      </w:r>
    </w:p>
    <w:p w14:paraId="23CBC487">
      <w:pPr>
        <w:numPr>
          <w:ilvl w:val="0"/>
          <w:numId w:val="1"/>
        </w:numPr>
        <w:ind w:firstLineChars="0"/>
        <w:rPr>
          <w:rFonts w:hint="default" w:ascii="Times New Roman" w:hAnsi="Times New Roman" w:eastAsia="宋体" w:cs="Times New Roman"/>
          <w:bCs w:val="0"/>
          <w:color w:val="auto"/>
          <w:kern w:val="2"/>
          <w:highlight w:val="none"/>
        </w:rPr>
      </w:pPr>
      <w:r>
        <w:rPr>
          <w:rFonts w:hint="eastAsia" w:ascii="Times New Roman" w:hAnsi="Times New Roman" w:eastAsia="宋体" w:cs="Times New Roman"/>
          <w:bCs/>
          <w:color w:val="auto"/>
          <w:highlight w:val="none"/>
        </w:rPr>
        <w:t>《</w:t>
      </w:r>
      <w:r>
        <w:rPr>
          <w:rFonts w:hint="default" w:ascii="Times New Roman" w:hAnsi="Times New Roman" w:eastAsia="宋体" w:cs="Times New Roman"/>
          <w:bCs w:val="0"/>
          <w:color w:val="auto"/>
          <w:kern w:val="2"/>
          <w:highlight w:val="none"/>
        </w:rPr>
        <w:t>中华人民共和国预算法》；</w:t>
      </w:r>
    </w:p>
    <w:p w14:paraId="556711C5">
      <w:pPr>
        <w:numPr>
          <w:ilvl w:val="0"/>
          <w:numId w:val="1"/>
        </w:numPr>
        <w:ind w:firstLineChars="0"/>
        <w:rPr>
          <w:rFonts w:hint="default" w:ascii="Times New Roman" w:hAnsi="Times New Roman" w:eastAsia="宋体" w:cs="Times New Roman"/>
          <w:bCs w:val="0"/>
          <w:color w:val="auto"/>
          <w:kern w:val="2"/>
          <w:highlight w:val="none"/>
        </w:rPr>
      </w:pPr>
      <w:r>
        <w:rPr>
          <w:rFonts w:hint="default" w:ascii="Times New Roman" w:hAnsi="Times New Roman" w:eastAsia="宋体" w:cs="Times New Roman"/>
          <w:bCs w:val="0"/>
          <w:color w:val="auto"/>
          <w:kern w:val="2"/>
          <w:highlight w:val="none"/>
        </w:rPr>
        <w:t>《中共中央</w:t>
      </w:r>
      <w:r>
        <w:rPr>
          <w:rFonts w:hint="default" w:ascii="Times New Roman" w:hAnsi="Times New Roman" w:eastAsia="宋体" w:cs="Times New Roman"/>
          <w:bCs w:val="0"/>
          <w:color w:val="auto"/>
          <w:kern w:val="2"/>
          <w:highlight w:val="none"/>
          <w:lang w:val="en-US" w:eastAsia="zh-CN"/>
        </w:rPr>
        <w:t xml:space="preserve"> </w:t>
      </w:r>
      <w:r>
        <w:rPr>
          <w:rFonts w:hint="default" w:ascii="Times New Roman" w:hAnsi="Times New Roman" w:eastAsia="宋体" w:cs="Times New Roman"/>
          <w:bCs w:val="0"/>
          <w:color w:val="auto"/>
          <w:kern w:val="2"/>
          <w:highlight w:val="none"/>
        </w:rPr>
        <w:t>国务院关于全面实施预算绩效管理的意见》（中发〔2018〕34号）；</w:t>
      </w:r>
    </w:p>
    <w:p w14:paraId="74B29D9E">
      <w:pPr>
        <w:numPr>
          <w:ilvl w:val="0"/>
          <w:numId w:val="1"/>
        </w:numPr>
        <w:ind w:firstLineChars="0"/>
        <w:rPr>
          <w:rFonts w:hint="default" w:ascii="Times New Roman" w:hAnsi="Times New Roman" w:eastAsia="宋体" w:cs="Times New Roman"/>
          <w:bCs w:val="0"/>
          <w:color w:val="auto"/>
          <w:kern w:val="2"/>
          <w:highlight w:val="none"/>
        </w:rPr>
      </w:pPr>
      <w:r>
        <w:rPr>
          <w:rFonts w:hint="default" w:ascii="Times New Roman" w:hAnsi="Times New Roman" w:eastAsia="宋体" w:cs="Times New Roman"/>
          <w:bCs w:val="0"/>
          <w:color w:val="auto"/>
          <w:kern w:val="2"/>
          <w:highlight w:val="none"/>
        </w:rPr>
        <w:t>《项目支出绩效评价管理办法》（财预〔2020〕10号）；</w:t>
      </w:r>
    </w:p>
    <w:p w14:paraId="4BB2053D">
      <w:pPr>
        <w:numPr>
          <w:ilvl w:val="0"/>
          <w:numId w:val="1"/>
        </w:numPr>
        <w:ind w:firstLineChars="0"/>
        <w:rPr>
          <w:rFonts w:hint="default" w:ascii="Times New Roman" w:hAnsi="Times New Roman" w:eastAsia="宋体" w:cs="Times New Roman"/>
          <w:bCs w:val="0"/>
          <w:color w:val="auto"/>
          <w:kern w:val="2"/>
          <w:highlight w:val="none"/>
        </w:rPr>
      </w:pPr>
      <w:r>
        <w:rPr>
          <w:rFonts w:hint="default" w:ascii="Times New Roman" w:hAnsi="Times New Roman" w:eastAsia="宋体" w:cs="Times New Roman"/>
          <w:bCs w:val="0"/>
          <w:color w:val="auto"/>
          <w:kern w:val="2"/>
          <w:highlight w:val="none"/>
        </w:rPr>
        <w:t>《自治区党委自治区人民政府关于全面实施预算绩效管理的实施意见》（新党发〔2018〕30号）；</w:t>
      </w:r>
    </w:p>
    <w:p w14:paraId="2F142BF4">
      <w:pPr>
        <w:numPr>
          <w:ilvl w:val="0"/>
          <w:numId w:val="1"/>
        </w:numPr>
        <w:ind w:firstLineChars="0"/>
        <w:rPr>
          <w:rFonts w:hint="default" w:ascii="Times New Roman" w:hAnsi="Times New Roman" w:eastAsia="宋体" w:cs="Times New Roman"/>
          <w:bCs w:val="0"/>
          <w:color w:val="auto"/>
          <w:kern w:val="2"/>
          <w:highlight w:val="none"/>
        </w:rPr>
      </w:pPr>
      <w:r>
        <w:rPr>
          <w:rFonts w:hint="default" w:ascii="Times New Roman" w:hAnsi="Times New Roman" w:eastAsia="宋体" w:cs="Times New Roman"/>
          <w:bCs w:val="0"/>
          <w:color w:val="auto"/>
          <w:kern w:val="2"/>
          <w:highlight w:val="none"/>
        </w:rPr>
        <w:t>《自治区全面实施预算绩效管理的工作方案》（新财预〔2018〕158号）；</w:t>
      </w:r>
    </w:p>
    <w:p w14:paraId="1B81BFA6">
      <w:pPr>
        <w:numPr>
          <w:ilvl w:val="0"/>
          <w:numId w:val="1"/>
        </w:numPr>
        <w:ind w:firstLineChars="0"/>
        <w:rPr>
          <w:rFonts w:hint="default" w:ascii="Times New Roman" w:hAnsi="Times New Roman" w:eastAsia="宋体" w:cs="Times New Roman"/>
          <w:bCs w:val="0"/>
          <w:color w:val="auto"/>
          <w:kern w:val="2"/>
          <w:highlight w:val="none"/>
        </w:rPr>
      </w:pPr>
      <w:r>
        <w:rPr>
          <w:rFonts w:hint="default" w:ascii="Times New Roman" w:hAnsi="Times New Roman" w:eastAsia="宋体" w:cs="Times New Roman"/>
          <w:bCs w:val="0"/>
          <w:color w:val="auto"/>
          <w:kern w:val="2"/>
          <w:highlight w:val="none"/>
        </w:rPr>
        <w:t>《自治区财政支出绩效评价管理暂行办法》（新财预〔2018〕189号）；</w:t>
      </w:r>
    </w:p>
    <w:p w14:paraId="03244934">
      <w:pPr>
        <w:numPr>
          <w:ilvl w:val="0"/>
          <w:numId w:val="1"/>
        </w:numPr>
        <w:ind w:firstLineChars="0"/>
        <w:rPr>
          <w:rFonts w:hint="default" w:ascii="Times New Roman" w:hAnsi="Times New Roman" w:eastAsia="宋体" w:cs="Times New Roman"/>
          <w:bCs w:val="0"/>
          <w:color w:val="auto"/>
          <w:kern w:val="2"/>
          <w:highlight w:val="none"/>
        </w:rPr>
      </w:pPr>
      <w:r>
        <w:rPr>
          <w:rFonts w:hint="default" w:ascii="Times New Roman" w:hAnsi="Times New Roman" w:eastAsia="宋体" w:cs="Times New Roman"/>
          <w:bCs w:val="0"/>
          <w:color w:val="auto"/>
          <w:kern w:val="2"/>
          <w:highlight w:val="none"/>
        </w:rPr>
        <w:t>《关于委托第三方机构参与预算绩效管理的指导意见》（财预〔2021〕6 号）；</w:t>
      </w:r>
    </w:p>
    <w:p w14:paraId="38E66737">
      <w:pPr>
        <w:numPr>
          <w:ilvl w:val="0"/>
          <w:numId w:val="1"/>
        </w:numPr>
        <w:ind w:firstLineChars="0"/>
        <w:rPr>
          <w:rFonts w:hint="default" w:ascii="Times New Roman" w:hAnsi="Times New Roman" w:eastAsia="宋体" w:cs="Times New Roman"/>
          <w:bCs w:val="0"/>
          <w:color w:val="auto"/>
          <w:kern w:val="2"/>
          <w:highlight w:val="none"/>
        </w:rPr>
      </w:pPr>
      <w:r>
        <w:rPr>
          <w:rFonts w:hint="default" w:ascii="Times New Roman" w:hAnsi="Times New Roman" w:eastAsia="宋体" w:cs="Times New Roman"/>
          <w:bCs w:val="0"/>
          <w:color w:val="auto"/>
          <w:kern w:val="2"/>
          <w:highlight w:val="none"/>
        </w:rPr>
        <w:t>《财政部关于印发〈第三方机构预算绩效评价业务监督管理暂行办法〉的通知》（财监〔2021〕4号）；</w:t>
      </w:r>
    </w:p>
    <w:p w14:paraId="49FE0B15">
      <w:pPr>
        <w:numPr>
          <w:ilvl w:val="0"/>
          <w:numId w:val="1"/>
        </w:numPr>
        <w:ind w:firstLineChars="0"/>
        <w:rPr>
          <w:rFonts w:hint="default" w:ascii="Times New Roman" w:hAnsi="Times New Roman" w:eastAsia="宋体" w:cs="Times New Roman"/>
          <w:bCs w:val="0"/>
          <w:color w:val="auto"/>
          <w:kern w:val="2"/>
          <w:highlight w:val="none"/>
        </w:rPr>
      </w:pPr>
      <w:r>
        <w:rPr>
          <w:rFonts w:hint="default" w:ascii="Times New Roman" w:hAnsi="Times New Roman" w:eastAsia="宋体" w:cs="Times New Roman"/>
          <w:bCs w:val="0"/>
          <w:color w:val="auto"/>
          <w:kern w:val="2"/>
          <w:highlight w:val="none"/>
        </w:rPr>
        <w:t>《关于进一步加强和规范第三方机构参与预算绩效管理的通知》（新财预〔2021〕49号）；</w:t>
      </w:r>
    </w:p>
    <w:p w14:paraId="0D59D95B">
      <w:pPr>
        <w:numPr>
          <w:ilvl w:val="0"/>
          <w:numId w:val="1"/>
        </w:numPr>
        <w:ind w:firstLineChars="0"/>
        <w:rPr>
          <w:rFonts w:hint="default" w:ascii="Times New Roman" w:hAnsi="Times New Roman" w:eastAsia="宋体" w:cs="Times New Roman"/>
          <w:bCs w:val="0"/>
          <w:color w:val="auto"/>
          <w:kern w:val="2"/>
          <w:highlight w:val="none"/>
        </w:rPr>
      </w:pPr>
      <w:r>
        <w:rPr>
          <w:rFonts w:hint="default" w:ascii="Times New Roman" w:hAnsi="Times New Roman" w:eastAsia="宋体" w:cs="Times New Roman"/>
          <w:bCs w:val="0"/>
          <w:color w:val="auto"/>
          <w:kern w:val="2"/>
          <w:highlight w:val="none"/>
        </w:rPr>
        <w:t>《伊宁县粮食产能提升三年行动方案（2023-2025）》；</w:t>
      </w:r>
    </w:p>
    <w:p w14:paraId="74A0CE50">
      <w:pPr>
        <w:numPr>
          <w:ilvl w:val="0"/>
          <w:numId w:val="1"/>
        </w:numPr>
        <w:ind w:firstLineChars="0"/>
        <w:rPr>
          <w:rFonts w:hint="default" w:ascii="Times New Roman" w:hAnsi="Times New Roman" w:eastAsia="宋体" w:cs="Times New Roman"/>
          <w:bCs w:val="0"/>
          <w:color w:val="auto"/>
          <w:kern w:val="2"/>
          <w:highlight w:val="none"/>
        </w:rPr>
      </w:pPr>
      <w:r>
        <w:rPr>
          <w:rFonts w:hint="default" w:ascii="Times New Roman" w:hAnsi="Times New Roman" w:eastAsia="宋体" w:cs="Times New Roman"/>
          <w:bCs w:val="0"/>
          <w:color w:val="auto"/>
          <w:kern w:val="2"/>
          <w:highlight w:val="none"/>
          <w:lang w:eastAsia="zh-CN"/>
        </w:rPr>
        <w:t>《</w:t>
      </w:r>
      <w:r>
        <w:rPr>
          <w:rFonts w:hint="default" w:ascii="Times New Roman" w:hAnsi="Times New Roman" w:eastAsia="宋体" w:cs="Times New Roman"/>
          <w:bCs w:val="0"/>
          <w:color w:val="auto"/>
          <w:kern w:val="2"/>
          <w:highlight w:val="none"/>
        </w:rPr>
        <w:t>伊宁县十四个五年规划和2035年远景目标纲要</w:t>
      </w:r>
      <w:r>
        <w:rPr>
          <w:rFonts w:hint="default" w:ascii="Times New Roman" w:hAnsi="Times New Roman" w:eastAsia="宋体" w:cs="Times New Roman"/>
          <w:bCs w:val="0"/>
          <w:color w:val="auto"/>
          <w:kern w:val="2"/>
          <w:highlight w:val="none"/>
          <w:lang w:eastAsia="zh-CN"/>
        </w:rPr>
        <w:t>》；</w:t>
      </w:r>
    </w:p>
    <w:p w14:paraId="4E7D458B">
      <w:pPr>
        <w:numPr>
          <w:ilvl w:val="0"/>
          <w:numId w:val="1"/>
        </w:numPr>
        <w:ind w:firstLineChars="0"/>
        <w:rPr>
          <w:rFonts w:hint="default" w:ascii="Times New Roman" w:hAnsi="Times New Roman" w:eastAsia="宋体" w:cs="Times New Roman"/>
          <w:bCs w:val="0"/>
          <w:color w:val="auto"/>
          <w:kern w:val="2"/>
          <w:highlight w:val="none"/>
        </w:rPr>
      </w:pPr>
      <w:r>
        <w:rPr>
          <w:rFonts w:hint="default" w:ascii="Times New Roman" w:hAnsi="Times New Roman" w:eastAsia="宋体" w:cs="Times New Roman"/>
          <w:bCs w:val="0"/>
          <w:color w:val="auto"/>
          <w:kern w:val="2"/>
          <w:highlight w:val="none"/>
        </w:rPr>
        <w:t>《</w:t>
      </w:r>
      <w:r>
        <w:rPr>
          <w:rFonts w:hint="default" w:ascii="Times New Roman" w:hAnsi="Times New Roman" w:eastAsia="宋体" w:cs="Times New Roman"/>
          <w:bCs w:val="0"/>
          <w:color w:val="auto"/>
          <w:kern w:val="2"/>
          <w:highlight w:val="none"/>
          <w:lang w:eastAsia="zh-CN"/>
        </w:rPr>
        <w:t>伊宁县农技推广中心</w:t>
      </w:r>
      <w:r>
        <w:rPr>
          <w:rFonts w:hint="default" w:ascii="Times New Roman" w:hAnsi="Times New Roman" w:eastAsia="宋体" w:cs="Times New Roman"/>
          <w:bCs w:val="0"/>
          <w:color w:val="auto"/>
          <w:kern w:val="2"/>
          <w:highlight w:val="none"/>
        </w:rPr>
        <w:t>职能配置、内设机构和人员编制规定》及直属单位的三定方案；</w:t>
      </w:r>
    </w:p>
    <w:p w14:paraId="28932841">
      <w:pPr>
        <w:numPr>
          <w:ilvl w:val="0"/>
          <w:numId w:val="1"/>
        </w:numPr>
        <w:ind w:firstLineChars="0"/>
        <w:rPr>
          <w:rFonts w:hint="default" w:ascii="Times New Roman" w:hAnsi="Times New Roman" w:eastAsia="宋体" w:cs="Times New Roman"/>
          <w:bCs w:val="0"/>
          <w:color w:val="auto"/>
          <w:kern w:val="2"/>
          <w:highlight w:val="none"/>
        </w:rPr>
      </w:pPr>
      <w:r>
        <w:rPr>
          <w:rFonts w:hint="default" w:ascii="Times New Roman" w:hAnsi="Times New Roman" w:eastAsia="宋体" w:cs="Times New Roman"/>
          <w:bCs w:val="0"/>
          <w:color w:val="auto"/>
          <w:kern w:val="2"/>
          <w:highlight w:val="none"/>
        </w:rPr>
        <w:t>《伊宁县农业技术推广中心2023年工作总结及2024年工作思路》；</w:t>
      </w:r>
    </w:p>
    <w:p w14:paraId="579D6B69">
      <w:pPr>
        <w:numPr>
          <w:ilvl w:val="0"/>
          <w:numId w:val="1"/>
        </w:numPr>
        <w:ind w:firstLineChars="0"/>
        <w:rPr>
          <w:rFonts w:hint="default" w:ascii="Times New Roman" w:hAnsi="Times New Roman" w:eastAsia="宋体" w:cs="Times New Roman"/>
          <w:bCs w:val="0"/>
          <w:color w:val="auto"/>
          <w:kern w:val="2"/>
          <w:highlight w:val="none"/>
        </w:rPr>
      </w:pPr>
      <w:r>
        <w:rPr>
          <w:rFonts w:hint="default" w:ascii="Times New Roman" w:hAnsi="Times New Roman" w:eastAsia="宋体" w:cs="Times New Roman"/>
          <w:bCs w:val="0"/>
          <w:color w:val="auto"/>
          <w:kern w:val="2"/>
          <w:highlight w:val="none"/>
        </w:rPr>
        <w:t>《</w:t>
      </w:r>
      <w:r>
        <w:rPr>
          <w:rFonts w:hint="default" w:ascii="Times New Roman" w:hAnsi="Times New Roman" w:eastAsia="宋体" w:cs="Times New Roman"/>
          <w:bCs w:val="0"/>
          <w:color w:val="auto"/>
          <w:kern w:val="2"/>
          <w:highlight w:val="none"/>
          <w:lang w:val="en-US" w:eastAsia="zh-CN"/>
        </w:rPr>
        <w:t>伊宁县农技推广中心</w:t>
      </w:r>
      <w:r>
        <w:rPr>
          <w:rFonts w:hint="default" w:ascii="Times New Roman" w:hAnsi="Times New Roman" w:eastAsia="宋体" w:cs="Times New Roman"/>
          <w:bCs w:val="0"/>
          <w:color w:val="auto"/>
          <w:kern w:val="2"/>
          <w:highlight w:val="none"/>
        </w:rPr>
        <w:t>内部控制管理制度汇编》等内控资料；</w:t>
      </w:r>
    </w:p>
    <w:p w14:paraId="199830D7">
      <w:pPr>
        <w:numPr>
          <w:ilvl w:val="0"/>
          <w:numId w:val="1"/>
        </w:numPr>
        <w:ind w:firstLineChars="0"/>
        <w:rPr>
          <w:rFonts w:hint="eastAsia" w:ascii="Times New Roman" w:hAnsi="Times New Roman" w:eastAsia="宋体" w:cs="Times New Roman"/>
          <w:bCs/>
          <w:color w:val="auto"/>
          <w:highlight w:val="none"/>
        </w:rPr>
      </w:pPr>
      <w:r>
        <w:rPr>
          <w:rFonts w:hint="default" w:ascii="Times New Roman" w:hAnsi="Times New Roman" w:eastAsia="宋体" w:cs="Times New Roman"/>
          <w:bCs w:val="0"/>
          <w:color w:val="auto"/>
          <w:kern w:val="2"/>
          <w:highlight w:val="none"/>
        </w:rPr>
        <w:t>202</w:t>
      </w:r>
      <w:r>
        <w:rPr>
          <w:rFonts w:hint="default" w:ascii="Times New Roman" w:hAnsi="Times New Roman" w:eastAsia="宋体" w:cs="Times New Roman"/>
          <w:bCs w:val="0"/>
          <w:color w:val="auto"/>
          <w:kern w:val="2"/>
          <w:highlight w:val="none"/>
          <w:lang w:val="en-US" w:eastAsia="zh-CN"/>
        </w:rPr>
        <w:t>4</w:t>
      </w:r>
      <w:r>
        <w:rPr>
          <w:rFonts w:hint="default" w:ascii="Times New Roman" w:hAnsi="Times New Roman" w:eastAsia="宋体" w:cs="Times New Roman"/>
          <w:bCs w:val="0"/>
          <w:color w:val="auto"/>
          <w:kern w:val="2"/>
          <w:highlight w:val="none"/>
        </w:rPr>
        <w:t>年部门预算公开文件、202</w:t>
      </w:r>
      <w:r>
        <w:rPr>
          <w:rFonts w:hint="default" w:ascii="Times New Roman" w:hAnsi="Times New Roman" w:eastAsia="宋体" w:cs="Times New Roman"/>
          <w:bCs w:val="0"/>
          <w:color w:val="auto"/>
          <w:kern w:val="2"/>
          <w:highlight w:val="none"/>
          <w:lang w:val="en-US" w:eastAsia="zh-CN"/>
        </w:rPr>
        <w:t>4</w:t>
      </w:r>
      <w:r>
        <w:rPr>
          <w:rFonts w:hint="default" w:ascii="Times New Roman" w:hAnsi="Times New Roman" w:eastAsia="宋体" w:cs="Times New Roman"/>
          <w:bCs w:val="0"/>
          <w:color w:val="auto"/>
          <w:kern w:val="2"/>
          <w:highlight w:val="none"/>
        </w:rPr>
        <w:t>年部门</w:t>
      </w:r>
      <w:r>
        <w:rPr>
          <w:rFonts w:hint="eastAsia" w:ascii="Times New Roman" w:hAnsi="Times New Roman" w:eastAsia="宋体" w:cs="Times New Roman"/>
          <w:bCs/>
          <w:color w:val="auto"/>
          <w:highlight w:val="none"/>
        </w:rPr>
        <w:t>决算报表及决算分析报告等；</w:t>
      </w:r>
    </w:p>
    <w:p w14:paraId="56495E6F">
      <w:pPr>
        <w:numPr>
          <w:ilvl w:val="0"/>
          <w:numId w:val="1"/>
        </w:numPr>
        <w:ind w:firstLineChars="0"/>
        <w:rPr>
          <w:rFonts w:hint="eastAsia" w:ascii="Times New Roman" w:hAnsi="Times New Roman" w:eastAsia="宋体" w:cs="Times New Roman"/>
          <w:bCs/>
          <w:color w:val="auto"/>
          <w:highlight w:val="none"/>
        </w:rPr>
      </w:pPr>
      <w:r>
        <w:rPr>
          <w:rFonts w:hint="eastAsia" w:ascii="Times New Roman" w:hAnsi="Times New Roman" w:eastAsia="宋体" w:cs="Times New Roman"/>
          <w:bCs/>
          <w:color w:val="auto"/>
          <w:highlight w:val="none"/>
        </w:rPr>
        <w:t>部门履职绩效的工作材料；</w:t>
      </w:r>
    </w:p>
    <w:p w14:paraId="6965EE37">
      <w:pPr>
        <w:numPr>
          <w:ilvl w:val="0"/>
          <w:numId w:val="1"/>
        </w:numPr>
        <w:ind w:firstLineChars="0"/>
        <w:rPr>
          <w:rFonts w:hint="eastAsia" w:ascii="Times New Roman" w:hAnsi="Times New Roman" w:eastAsia="宋体" w:cs="Times New Roman"/>
          <w:bCs/>
          <w:color w:val="auto"/>
          <w:highlight w:val="none"/>
        </w:rPr>
      </w:pPr>
      <w:r>
        <w:rPr>
          <w:rFonts w:hint="eastAsia" w:ascii="Times New Roman" w:hAnsi="Times New Roman" w:eastAsia="宋体" w:cs="Times New Roman"/>
          <w:bCs/>
          <w:color w:val="auto"/>
          <w:highlight w:val="none"/>
          <w:lang w:eastAsia="zh-CN"/>
        </w:rPr>
        <w:t>其他</w:t>
      </w:r>
      <w:r>
        <w:rPr>
          <w:rFonts w:hint="eastAsia" w:ascii="Times New Roman" w:hAnsi="Times New Roman" w:eastAsia="宋体" w:cs="Times New Roman"/>
          <w:bCs/>
          <w:color w:val="auto"/>
          <w:highlight w:val="none"/>
        </w:rPr>
        <w:t>绩效评价相关资料。</w:t>
      </w:r>
    </w:p>
    <w:p w14:paraId="028F8C1D">
      <w:pPr>
        <w:pStyle w:val="5"/>
        <w:bidi w:val="0"/>
        <w:rPr>
          <w:rFonts w:hint="default" w:ascii="Times New Roman" w:hAnsi="Times New Roman" w:eastAsia="宋体" w:cs="Times New Roman"/>
          <w:color w:val="auto"/>
          <w:sz w:val="24"/>
          <w:szCs w:val="24"/>
          <w:highlight w:val="none"/>
        </w:rPr>
      </w:pPr>
      <w:bookmarkStart w:id="40" w:name="_Toc9812"/>
      <w:r>
        <w:rPr>
          <w:rFonts w:hint="eastAsia" w:ascii="Times New Roman" w:hAnsi="Times New Roman" w:eastAsia="宋体" w:cs="Times New Roman"/>
          <w:color w:val="auto"/>
          <w:sz w:val="24"/>
          <w:szCs w:val="24"/>
          <w:highlight w:val="none"/>
          <w:lang w:eastAsia="zh-CN"/>
        </w:rPr>
        <w:t>（</w:t>
      </w:r>
      <w:r>
        <w:rPr>
          <w:rFonts w:hint="eastAsia" w:ascii="Times New Roman" w:hAnsi="Times New Roman" w:eastAsia="宋体" w:cs="Times New Roman"/>
          <w:color w:val="auto"/>
          <w:sz w:val="24"/>
          <w:szCs w:val="24"/>
          <w:highlight w:val="none"/>
          <w:lang w:val="en-US" w:eastAsia="zh-CN"/>
        </w:rPr>
        <w:t>二</w:t>
      </w:r>
      <w:r>
        <w:rPr>
          <w:rFonts w:hint="eastAsia"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绩效评价</w:t>
      </w:r>
      <w:r>
        <w:rPr>
          <w:rFonts w:hint="eastAsia" w:ascii="Times New Roman" w:hAnsi="Times New Roman" w:eastAsia="宋体" w:cs="Times New Roman"/>
          <w:color w:val="auto"/>
          <w:sz w:val="24"/>
          <w:szCs w:val="24"/>
          <w:highlight w:val="none"/>
          <w:lang w:val="en-US" w:eastAsia="zh-CN"/>
        </w:rPr>
        <w:t>目的、</w:t>
      </w:r>
      <w:r>
        <w:rPr>
          <w:rFonts w:hint="default" w:ascii="Times New Roman" w:hAnsi="Times New Roman" w:eastAsia="宋体" w:cs="Times New Roman"/>
          <w:color w:val="auto"/>
          <w:sz w:val="24"/>
          <w:szCs w:val="24"/>
          <w:highlight w:val="none"/>
        </w:rPr>
        <w:t>对象及范围</w:t>
      </w:r>
      <w:bookmarkEnd w:id="40"/>
    </w:p>
    <w:p w14:paraId="5621A6BE">
      <w:pPr>
        <w:pStyle w:val="6"/>
        <w:bidi w:val="0"/>
        <w:rPr>
          <w:rFonts w:hint="default" w:ascii="Times New Roman" w:hAnsi="Times New Roman" w:eastAsia="宋体" w:cs="Times New Roman"/>
          <w:b/>
          <w:bCs/>
          <w:color w:val="auto"/>
          <w:kern w:val="2"/>
          <w:szCs w:val="21"/>
          <w:highlight w:val="none"/>
          <w:lang w:val="en-US" w:eastAsia="zh-CN"/>
        </w:rPr>
      </w:pPr>
      <w:bookmarkStart w:id="41" w:name="_Toc68364662"/>
      <w:r>
        <w:rPr>
          <w:rFonts w:hint="default" w:ascii="Times New Roman" w:hAnsi="Times New Roman" w:eastAsia="宋体" w:cs="Times New Roman"/>
          <w:b/>
          <w:bCs/>
          <w:color w:val="auto"/>
          <w:kern w:val="2"/>
          <w:szCs w:val="21"/>
          <w:highlight w:val="none"/>
          <w:lang w:val="en-US" w:eastAsia="zh-CN"/>
        </w:rPr>
        <w:t>1.绩效评价目的</w:t>
      </w:r>
    </w:p>
    <w:p w14:paraId="67F7BCBE">
      <w:pPr>
        <w:ind w:firstLine="640"/>
        <w:rPr>
          <w:rFonts w:hint="default" w:ascii="Times New Roman" w:hAnsi="Times New Roman" w:eastAsia="宋体" w:cs="Times New Roman"/>
          <w:bCs w:val="0"/>
          <w:color w:val="auto"/>
          <w:kern w:val="2"/>
          <w:highlight w:val="none"/>
          <w:lang w:val="en-US" w:eastAsia="zh-CN"/>
        </w:rPr>
      </w:pPr>
      <w:r>
        <w:rPr>
          <w:rFonts w:hint="default" w:ascii="Times New Roman" w:hAnsi="Times New Roman" w:eastAsia="宋体" w:cs="Times New Roman"/>
          <w:bCs w:val="0"/>
          <w:color w:val="auto"/>
          <w:kern w:val="2"/>
          <w:highlight w:val="none"/>
          <w:lang w:val="en-US" w:eastAsia="zh-CN"/>
        </w:rPr>
        <w:t>本次绩效评价遵循财政部《中共中央</w:t>
      </w:r>
      <w:r>
        <w:rPr>
          <w:rFonts w:hint="eastAsia" w:ascii="Times New Roman" w:hAnsi="Times New Roman" w:eastAsia="宋体" w:cs="Times New Roman"/>
          <w:bCs w:val="0"/>
          <w:color w:val="auto"/>
          <w:kern w:val="2"/>
          <w:highlight w:val="none"/>
          <w:lang w:val="en-US" w:eastAsia="zh-CN"/>
        </w:rPr>
        <w:t xml:space="preserve"> </w:t>
      </w:r>
      <w:r>
        <w:rPr>
          <w:rFonts w:hint="default" w:ascii="Times New Roman" w:hAnsi="Times New Roman" w:eastAsia="宋体" w:cs="Times New Roman"/>
          <w:bCs w:val="0"/>
          <w:color w:val="auto"/>
          <w:kern w:val="2"/>
          <w:highlight w:val="none"/>
          <w:lang w:val="en-US" w:eastAsia="zh-CN"/>
        </w:rPr>
        <w:t>国务院关于全面实施预算绩效管理的意见》（中发〔2018〕34号）、《关于进一步加强和规范第三方机构参与预算绩效管理的通知》（新财预〔2021〕49号）等相关政策文件与规定，旨在评价财政支出实施前期、过程及效果，对财政支出的经济性、效率性、效益性和公平性进行客观、公正地测量、分析和评判。</w:t>
      </w:r>
    </w:p>
    <w:p w14:paraId="763687B9">
      <w:pPr>
        <w:ind w:firstLine="640"/>
        <w:rPr>
          <w:rFonts w:hint="default" w:ascii="Times New Roman" w:hAnsi="Times New Roman" w:eastAsia="宋体" w:cs="Times New Roman"/>
          <w:bCs w:val="0"/>
          <w:color w:val="auto"/>
          <w:kern w:val="2"/>
          <w:highlight w:val="none"/>
          <w:lang w:val="en-US" w:eastAsia="zh-CN"/>
        </w:rPr>
      </w:pPr>
      <w:r>
        <w:rPr>
          <w:rFonts w:hint="default" w:ascii="Times New Roman" w:hAnsi="Times New Roman" w:eastAsia="宋体" w:cs="Times New Roman"/>
          <w:bCs w:val="0"/>
          <w:color w:val="auto"/>
          <w:kern w:val="2"/>
          <w:highlight w:val="none"/>
          <w:lang w:val="en-US" w:eastAsia="zh-CN"/>
        </w:rPr>
        <w:t>绩效评价的目的是为全面了解伊宁县农技推广中心部门整体绩效，围绕部门和单位履职、行业发展规划，以预算资金管理为主线，统筹考虑资产和业务活动，履职效能和服务对象满意度等方面，衡量部门和单位整体及核心业务实施效果，推动提高部门和单位整体绩效水平。</w:t>
      </w:r>
    </w:p>
    <w:p w14:paraId="56FC5887">
      <w:pPr>
        <w:pStyle w:val="6"/>
        <w:bidi w:val="0"/>
        <w:rPr>
          <w:rFonts w:hint="default" w:ascii="Times New Roman" w:hAnsi="Times New Roman" w:eastAsia="宋体" w:cs="Times New Roman"/>
          <w:b/>
          <w:bCs/>
          <w:color w:val="auto"/>
          <w:kern w:val="2"/>
          <w:szCs w:val="21"/>
          <w:highlight w:val="none"/>
          <w:lang w:val="en-US" w:eastAsia="zh-CN"/>
        </w:rPr>
      </w:pPr>
      <w:r>
        <w:rPr>
          <w:rFonts w:hint="default" w:ascii="Times New Roman" w:hAnsi="Times New Roman" w:eastAsia="宋体" w:cs="Times New Roman"/>
          <w:b/>
          <w:bCs/>
          <w:color w:val="auto"/>
          <w:kern w:val="2"/>
          <w:szCs w:val="21"/>
          <w:highlight w:val="none"/>
          <w:lang w:val="en-US" w:eastAsia="zh-CN"/>
        </w:rPr>
        <w:t>2.</w:t>
      </w:r>
      <w:r>
        <w:rPr>
          <w:rFonts w:hint="default" w:ascii="Times New Roman" w:hAnsi="Times New Roman" w:eastAsia="宋体" w:cs="Times New Roman"/>
          <w:b/>
          <w:bCs/>
          <w:color w:val="auto"/>
          <w:kern w:val="2"/>
          <w:szCs w:val="21"/>
          <w:highlight w:val="none"/>
        </w:rPr>
        <w:t>绩效评价对象</w:t>
      </w:r>
      <w:r>
        <w:rPr>
          <w:rFonts w:hint="default" w:ascii="Times New Roman" w:hAnsi="Times New Roman" w:eastAsia="宋体" w:cs="Times New Roman"/>
          <w:b/>
          <w:bCs/>
          <w:color w:val="auto"/>
          <w:kern w:val="2"/>
          <w:szCs w:val="21"/>
          <w:highlight w:val="none"/>
          <w:lang w:val="en-US" w:eastAsia="zh-CN"/>
        </w:rPr>
        <w:t>及范围</w:t>
      </w:r>
    </w:p>
    <w:p w14:paraId="41257245">
      <w:pPr>
        <w:ind w:firstLine="640"/>
        <w:rPr>
          <w:rFonts w:hint="eastAsia" w:ascii="Times New Roman" w:hAnsi="Times New Roman" w:eastAsia="宋体" w:cs="Times New Roman"/>
          <w:bCs/>
          <w:color w:val="auto"/>
          <w:highlight w:val="none"/>
        </w:rPr>
      </w:pPr>
      <w:r>
        <w:rPr>
          <w:rFonts w:hint="eastAsia" w:ascii="Times New Roman" w:hAnsi="Times New Roman" w:eastAsia="宋体" w:cs="Times New Roman"/>
          <w:bCs/>
          <w:color w:val="auto"/>
          <w:highlight w:val="none"/>
        </w:rPr>
        <w:t>本次绩效</w:t>
      </w:r>
      <w:r>
        <w:rPr>
          <w:rFonts w:hint="default" w:ascii="Times New Roman" w:hAnsi="Times New Roman" w:eastAsia="宋体" w:cs="Times New Roman"/>
          <w:bCs w:val="0"/>
          <w:color w:val="auto"/>
          <w:kern w:val="2"/>
          <w:highlight w:val="none"/>
        </w:rPr>
        <w:t>评价的对象为</w:t>
      </w:r>
      <w:r>
        <w:rPr>
          <w:rFonts w:hint="default" w:ascii="Times New Roman" w:hAnsi="Times New Roman" w:eastAsia="宋体" w:cs="Times New Roman"/>
          <w:bCs w:val="0"/>
          <w:color w:val="auto"/>
          <w:kern w:val="2"/>
          <w:highlight w:val="none"/>
          <w:lang w:eastAsia="zh-CN"/>
        </w:rPr>
        <w:t>伊宁县农技推广中心</w:t>
      </w:r>
      <w:r>
        <w:rPr>
          <w:rFonts w:hint="default" w:ascii="Times New Roman" w:hAnsi="Times New Roman" w:eastAsia="宋体" w:cs="Times New Roman"/>
          <w:bCs w:val="0"/>
          <w:color w:val="auto"/>
          <w:kern w:val="2"/>
          <w:highlight w:val="none"/>
        </w:rPr>
        <w:t>202</w:t>
      </w:r>
      <w:r>
        <w:rPr>
          <w:rFonts w:hint="default" w:ascii="Times New Roman" w:hAnsi="Times New Roman" w:eastAsia="宋体" w:cs="Times New Roman"/>
          <w:bCs w:val="0"/>
          <w:color w:val="auto"/>
          <w:kern w:val="2"/>
          <w:highlight w:val="none"/>
          <w:lang w:val="en-US" w:eastAsia="zh-CN"/>
        </w:rPr>
        <w:t>4</w:t>
      </w:r>
      <w:r>
        <w:rPr>
          <w:rFonts w:hint="default" w:ascii="Times New Roman" w:hAnsi="Times New Roman" w:eastAsia="宋体" w:cs="Times New Roman"/>
          <w:bCs w:val="0"/>
          <w:color w:val="auto"/>
          <w:kern w:val="2"/>
          <w:highlight w:val="none"/>
        </w:rPr>
        <w:t>年度部门整体履职绩效，主要评价部门整体绩效的投入、产出及效益，绩效评价范围主要围绕部门整体决策情况、部门预算管理和使用情况、部门内部管理制度的健全性及执行情</w:t>
      </w:r>
      <w:r>
        <w:rPr>
          <w:rFonts w:hint="eastAsia" w:ascii="Times New Roman" w:hAnsi="Times New Roman" w:eastAsia="宋体" w:cs="Times New Roman"/>
          <w:bCs/>
          <w:color w:val="auto"/>
          <w:highlight w:val="none"/>
        </w:rPr>
        <w:t>况、部门履职效能和可持续发展能力，事业发展目标实现情况以及部门整体的产出情况、取得的效益情况和其他相关内容。</w:t>
      </w:r>
    </w:p>
    <w:p w14:paraId="532A0CC4">
      <w:pPr>
        <w:pStyle w:val="6"/>
        <w:bidi w:val="0"/>
        <w:rPr>
          <w:rFonts w:hint="default" w:ascii="Times New Roman" w:hAnsi="Times New Roman" w:eastAsia="宋体" w:cs="Times New Roman"/>
          <w:color w:val="auto"/>
          <w:kern w:val="2"/>
          <w:szCs w:val="21"/>
          <w:highlight w:val="none"/>
          <w:lang w:val="en-US" w:eastAsia="zh-CN"/>
        </w:rPr>
      </w:pPr>
      <w:r>
        <w:rPr>
          <w:rFonts w:hint="default" w:ascii="Times New Roman" w:hAnsi="Times New Roman" w:eastAsia="宋体" w:cs="Times New Roman"/>
          <w:color w:val="auto"/>
          <w:kern w:val="2"/>
          <w:szCs w:val="21"/>
          <w:highlight w:val="none"/>
          <w:lang w:val="en-US" w:eastAsia="zh-CN"/>
        </w:rPr>
        <w:t>3.</w:t>
      </w:r>
      <w:r>
        <w:rPr>
          <w:rFonts w:hint="default" w:ascii="Times New Roman" w:hAnsi="Times New Roman" w:eastAsia="宋体" w:cs="Times New Roman"/>
          <w:color w:val="auto"/>
          <w:kern w:val="2"/>
          <w:szCs w:val="21"/>
          <w:highlight w:val="none"/>
        </w:rPr>
        <w:t>绩效评价</w:t>
      </w:r>
      <w:r>
        <w:rPr>
          <w:rFonts w:hint="default" w:ascii="Times New Roman" w:hAnsi="Times New Roman" w:eastAsia="宋体" w:cs="Times New Roman"/>
          <w:color w:val="auto"/>
          <w:kern w:val="2"/>
          <w:szCs w:val="21"/>
          <w:highlight w:val="none"/>
          <w:lang w:val="en-US" w:eastAsia="zh-CN"/>
        </w:rPr>
        <w:t>时段</w:t>
      </w:r>
    </w:p>
    <w:p w14:paraId="2B267E61">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eastAsia="宋体" w:cs="Times New Roman"/>
          <w:color w:val="auto"/>
          <w:kern w:val="2"/>
          <w:highlight w:val="none"/>
        </w:rPr>
      </w:pPr>
      <w:r>
        <w:rPr>
          <w:rFonts w:hint="eastAsia" w:ascii="Times New Roman" w:hAnsi="Times New Roman" w:eastAsia="宋体" w:cs="Times New Roman"/>
          <w:color w:val="auto"/>
          <w:highlight w:val="none"/>
        </w:rPr>
        <w:t>本次绩效评价评价时</w:t>
      </w:r>
      <w:r>
        <w:rPr>
          <w:rFonts w:hint="default" w:ascii="Times New Roman" w:hAnsi="Times New Roman" w:eastAsia="宋体" w:cs="Times New Roman"/>
          <w:color w:val="auto"/>
          <w:kern w:val="2"/>
          <w:highlight w:val="none"/>
        </w:rPr>
        <w:t>段为</w:t>
      </w:r>
      <w:r>
        <w:rPr>
          <w:rFonts w:hint="default" w:ascii="Times New Roman" w:hAnsi="Times New Roman" w:eastAsia="宋体" w:cs="Times New Roman"/>
          <w:color w:val="auto"/>
          <w:kern w:val="2"/>
          <w:highlight w:val="none"/>
          <w:lang w:eastAsia="zh-CN"/>
        </w:rPr>
        <w:t>：</w:t>
      </w:r>
      <w:r>
        <w:rPr>
          <w:rFonts w:hint="default" w:ascii="Times New Roman" w:hAnsi="Times New Roman" w:eastAsia="宋体" w:cs="Times New Roman"/>
          <w:color w:val="auto"/>
          <w:kern w:val="2"/>
          <w:highlight w:val="none"/>
          <w:lang w:val="en-US" w:eastAsia="zh-CN"/>
        </w:rPr>
        <w:t>2024</w:t>
      </w:r>
      <w:r>
        <w:rPr>
          <w:rFonts w:hint="default" w:ascii="Times New Roman" w:hAnsi="Times New Roman" w:eastAsia="宋体" w:cs="Times New Roman"/>
          <w:color w:val="auto"/>
          <w:kern w:val="2"/>
          <w:highlight w:val="none"/>
        </w:rPr>
        <w:t>年</w:t>
      </w:r>
      <w:r>
        <w:rPr>
          <w:rFonts w:hint="default" w:ascii="Times New Roman" w:hAnsi="Times New Roman" w:eastAsia="宋体" w:cs="Times New Roman"/>
          <w:color w:val="auto"/>
          <w:kern w:val="2"/>
          <w:highlight w:val="none"/>
          <w:lang w:val="en-US" w:eastAsia="zh-CN"/>
        </w:rPr>
        <w:t>1</w:t>
      </w:r>
      <w:r>
        <w:rPr>
          <w:rFonts w:hint="default" w:ascii="Times New Roman" w:hAnsi="Times New Roman" w:eastAsia="宋体" w:cs="Times New Roman"/>
          <w:color w:val="auto"/>
          <w:kern w:val="2"/>
          <w:highlight w:val="none"/>
        </w:rPr>
        <w:t>月-</w:t>
      </w:r>
      <w:r>
        <w:rPr>
          <w:rFonts w:hint="default" w:ascii="Times New Roman" w:hAnsi="Times New Roman" w:eastAsia="宋体" w:cs="Times New Roman"/>
          <w:color w:val="auto"/>
          <w:kern w:val="2"/>
          <w:highlight w:val="none"/>
          <w:lang w:val="en-US" w:eastAsia="zh-CN"/>
        </w:rPr>
        <w:t>2024</w:t>
      </w:r>
      <w:r>
        <w:rPr>
          <w:rFonts w:hint="default" w:ascii="Times New Roman" w:hAnsi="Times New Roman" w:eastAsia="宋体" w:cs="Times New Roman"/>
          <w:color w:val="auto"/>
          <w:kern w:val="2"/>
          <w:highlight w:val="none"/>
        </w:rPr>
        <w:t>年</w:t>
      </w:r>
      <w:r>
        <w:rPr>
          <w:rFonts w:hint="default" w:ascii="Times New Roman" w:hAnsi="Times New Roman" w:eastAsia="宋体" w:cs="Times New Roman"/>
          <w:color w:val="auto"/>
          <w:kern w:val="2"/>
          <w:highlight w:val="none"/>
          <w:lang w:val="en-US" w:eastAsia="zh-CN"/>
        </w:rPr>
        <w:t>12</w:t>
      </w:r>
      <w:r>
        <w:rPr>
          <w:rFonts w:hint="default" w:ascii="Times New Roman" w:hAnsi="Times New Roman" w:eastAsia="宋体" w:cs="Times New Roman"/>
          <w:color w:val="auto"/>
          <w:kern w:val="2"/>
          <w:highlight w:val="none"/>
        </w:rPr>
        <w:t>月。</w:t>
      </w:r>
    </w:p>
    <w:p w14:paraId="4A8867FD">
      <w:pPr>
        <w:pStyle w:val="5"/>
        <w:bidi w:val="0"/>
        <w:rPr>
          <w:rFonts w:hint="default" w:ascii="Times New Roman" w:hAnsi="Times New Roman" w:eastAsia="宋体" w:cs="Times New Roman"/>
          <w:color w:val="auto"/>
          <w:highlight w:val="none"/>
        </w:rPr>
      </w:pPr>
      <w:bookmarkStart w:id="42" w:name="_Toc7270"/>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三</w:t>
      </w:r>
      <w:r>
        <w:rPr>
          <w:rFonts w:hint="eastAsia"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绩效评价原则</w:t>
      </w:r>
      <w:bookmarkEnd w:id="42"/>
      <w:r>
        <w:rPr>
          <w:rFonts w:hint="eastAsia" w:ascii="Times New Roman" w:hAnsi="Times New Roman" w:eastAsia="宋体" w:cs="Times New Roman"/>
          <w:color w:val="auto"/>
          <w:highlight w:val="none"/>
          <w:lang w:val="en-US" w:eastAsia="zh-CN"/>
        </w:rPr>
        <w:t>及评价标准</w:t>
      </w:r>
    </w:p>
    <w:p w14:paraId="1B012E58">
      <w:pPr>
        <w:ind w:firstLine="640"/>
        <w:outlineLvl w:val="2"/>
        <w:rPr>
          <w:rFonts w:hint="default" w:ascii="Times New Roman" w:hAnsi="Times New Roman" w:eastAsia="宋体" w:cs="Times New Roman"/>
          <w:b/>
          <w:bCs w:val="0"/>
          <w:color w:val="auto"/>
          <w:highlight w:val="none"/>
          <w:lang w:val="en-US" w:eastAsia="zh-CN"/>
        </w:rPr>
      </w:pPr>
      <w:r>
        <w:rPr>
          <w:rFonts w:hint="eastAsia" w:ascii="Times New Roman" w:hAnsi="Times New Roman" w:eastAsia="宋体" w:cs="Times New Roman"/>
          <w:b/>
          <w:bCs w:val="0"/>
          <w:color w:val="auto"/>
          <w:highlight w:val="none"/>
          <w:lang w:val="en-US" w:eastAsia="zh-CN"/>
        </w:rPr>
        <w:t>1.</w:t>
      </w:r>
      <w:r>
        <w:rPr>
          <w:rFonts w:hint="default" w:ascii="Times New Roman" w:hAnsi="Times New Roman" w:eastAsia="宋体" w:cs="Times New Roman"/>
          <w:b/>
          <w:bCs w:val="0"/>
          <w:color w:val="auto"/>
          <w:highlight w:val="none"/>
        </w:rPr>
        <w:t>绩效评价原则</w:t>
      </w:r>
    </w:p>
    <w:p w14:paraId="7FEEAE81">
      <w:pPr>
        <w:ind w:firstLine="664"/>
        <w:rPr>
          <w:rFonts w:hint="default" w:ascii="Times New Roman" w:hAnsi="Times New Roman" w:eastAsia="宋体" w:cs="Times New Roman"/>
          <w:bCs w:val="0"/>
          <w:color w:val="auto"/>
          <w:kern w:val="2"/>
          <w:highlight w:val="none"/>
        </w:rPr>
      </w:pPr>
      <w:r>
        <w:rPr>
          <w:rFonts w:hint="default" w:ascii="Times New Roman" w:hAnsi="Times New Roman" w:eastAsia="宋体" w:cs="Times New Roman"/>
          <w:bCs w:val="0"/>
          <w:color w:val="auto"/>
          <w:kern w:val="2"/>
          <w:highlight w:val="none"/>
        </w:rPr>
        <w:t>本次绩效评价遵循的原则包括：</w:t>
      </w:r>
    </w:p>
    <w:p w14:paraId="3B06787D">
      <w:pPr>
        <w:ind w:firstLine="664"/>
        <w:rPr>
          <w:rFonts w:hint="default" w:ascii="Times New Roman" w:hAnsi="Times New Roman" w:eastAsia="宋体" w:cs="Times New Roman"/>
          <w:bCs w:val="0"/>
          <w:color w:val="auto"/>
          <w:kern w:val="2"/>
          <w:highlight w:val="none"/>
        </w:rPr>
      </w:pPr>
      <w:r>
        <w:rPr>
          <w:rFonts w:hint="default" w:ascii="Times New Roman" w:hAnsi="Times New Roman" w:eastAsia="宋体" w:cs="Times New Roman"/>
          <w:bCs w:val="0"/>
          <w:color w:val="auto"/>
          <w:kern w:val="2"/>
          <w:highlight w:val="none"/>
          <w:lang w:eastAsia="zh-CN"/>
        </w:rPr>
        <w:t>（</w:t>
      </w:r>
      <w:r>
        <w:rPr>
          <w:rFonts w:hint="default" w:ascii="Times New Roman" w:hAnsi="Times New Roman" w:eastAsia="宋体" w:cs="Times New Roman"/>
          <w:bCs w:val="0"/>
          <w:color w:val="auto"/>
          <w:kern w:val="2"/>
          <w:highlight w:val="none"/>
          <w:lang w:val="en-US" w:eastAsia="zh-CN"/>
        </w:rPr>
        <w:t>1</w:t>
      </w:r>
      <w:r>
        <w:rPr>
          <w:rFonts w:hint="default" w:ascii="Times New Roman" w:hAnsi="Times New Roman" w:eastAsia="宋体" w:cs="Times New Roman"/>
          <w:bCs w:val="0"/>
          <w:color w:val="auto"/>
          <w:kern w:val="2"/>
          <w:highlight w:val="none"/>
          <w:lang w:eastAsia="zh-CN"/>
        </w:rPr>
        <w:t>）</w:t>
      </w:r>
      <w:r>
        <w:rPr>
          <w:rFonts w:hint="default" w:ascii="Times New Roman" w:hAnsi="Times New Roman" w:eastAsia="宋体" w:cs="Times New Roman"/>
          <w:bCs w:val="0"/>
          <w:color w:val="auto"/>
          <w:kern w:val="2"/>
          <w:highlight w:val="none"/>
        </w:rPr>
        <w:t>独立性原则：在评价工作中保持充分的第三方独立性，不受其他第三方不当干预。</w:t>
      </w:r>
    </w:p>
    <w:p w14:paraId="484E4233">
      <w:pPr>
        <w:ind w:firstLine="664"/>
        <w:rPr>
          <w:rFonts w:hint="default" w:ascii="Times New Roman" w:hAnsi="Times New Roman" w:eastAsia="宋体" w:cs="Times New Roman"/>
          <w:bCs w:val="0"/>
          <w:color w:val="auto"/>
          <w:kern w:val="2"/>
          <w:highlight w:val="none"/>
        </w:rPr>
      </w:pPr>
      <w:r>
        <w:rPr>
          <w:rFonts w:hint="default" w:ascii="Times New Roman" w:hAnsi="Times New Roman" w:eastAsia="宋体" w:cs="Times New Roman"/>
          <w:bCs w:val="0"/>
          <w:color w:val="auto"/>
          <w:kern w:val="2"/>
          <w:highlight w:val="none"/>
          <w:lang w:eastAsia="zh-CN"/>
        </w:rPr>
        <w:t>（</w:t>
      </w:r>
      <w:r>
        <w:rPr>
          <w:rFonts w:hint="default" w:ascii="Times New Roman" w:hAnsi="Times New Roman" w:eastAsia="宋体" w:cs="Times New Roman"/>
          <w:bCs w:val="0"/>
          <w:color w:val="auto"/>
          <w:kern w:val="2"/>
          <w:highlight w:val="none"/>
          <w:lang w:val="en-US" w:eastAsia="zh-CN"/>
        </w:rPr>
        <w:t>2</w:t>
      </w:r>
      <w:r>
        <w:rPr>
          <w:rFonts w:hint="default" w:ascii="Times New Roman" w:hAnsi="Times New Roman" w:eastAsia="宋体" w:cs="Times New Roman"/>
          <w:bCs w:val="0"/>
          <w:color w:val="auto"/>
          <w:kern w:val="2"/>
          <w:highlight w:val="none"/>
          <w:lang w:eastAsia="zh-CN"/>
        </w:rPr>
        <w:t>）</w:t>
      </w:r>
      <w:r>
        <w:rPr>
          <w:rFonts w:hint="default" w:ascii="Times New Roman" w:hAnsi="Times New Roman" w:eastAsia="宋体" w:cs="Times New Roman"/>
          <w:bCs w:val="0"/>
          <w:color w:val="auto"/>
          <w:kern w:val="2"/>
          <w:highlight w:val="none"/>
        </w:rPr>
        <w:t>客观性原则：第三方机构应当按照协议（合同）约定事项开展绩效评价，实事求是地向委托方提供服务，以客观事实为依据，确保内容真实、数字准确和资料可靠。</w:t>
      </w:r>
    </w:p>
    <w:p w14:paraId="2034BDC0">
      <w:pPr>
        <w:ind w:firstLine="664"/>
        <w:rPr>
          <w:rFonts w:hint="default" w:ascii="Times New Roman" w:hAnsi="Times New Roman" w:eastAsia="宋体" w:cs="Times New Roman"/>
          <w:bCs w:val="0"/>
          <w:color w:val="auto"/>
          <w:kern w:val="2"/>
          <w:highlight w:val="none"/>
        </w:rPr>
      </w:pPr>
      <w:r>
        <w:rPr>
          <w:rFonts w:hint="default" w:ascii="Times New Roman" w:hAnsi="Times New Roman" w:eastAsia="宋体" w:cs="Times New Roman"/>
          <w:bCs w:val="0"/>
          <w:color w:val="auto"/>
          <w:kern w:val="2"/>
          <w:highlight w:val="none"/>
          <w:lang w:eastAsia="zh-CN"/>
        </w:rPr>
        <w:t>（</w:t>
      </w:r>
      <w:r>
        <w:rPr>
          <w:rFonts w:hint="default" w:ascii="Times New Roman" w:hAnsi="Times New Roman" w:eastAsia="宋体" w:cs="Times New Roman"/>
          <w:bCs w:val="0"/>
          <w:color w:val="auto"/>
          <w:kern w:val="2"/>
          <w:highlight w:val="none"/>
          <w:lang w:val="en-US" w:eastAsia="zh-CN"/>
        </w:rPr>
        <w:t>3</w:t>
      </w:r>
      <w:r>
        <w:rPr>
          <w:rFonts w:hint="default" w:ascii="Times New Roman" w:hAnsi="Times New Roman" w:eastAsia="宋体" w:cs="Times New Roman"/>
          <w:bCs w:val="0"/>
          <w:color w:val="auto"/>
          <w:kern w:val="2"/>
          <w:highlight w:val="none"/>
          <w:lang w:eastAsia="zh-CN"/>
        </w:rPr>
        <w:t>）</w:t>
      </w:r>
      <w:r>
        <w:rPr>
          <w:rFonts w:hint="default" w:ascii="Times New Roman" w:hAnsi="Times New Roman" w:eastAsia="宋体" w:cs="Times New Roman"/>
          <w:bCs w:val="0"/>
          <w:color w:val="auto"/>
          <w:kern w:val="2"/>
          <w:highlight w:val="none"/>
        </w:rPr>
        <w:t>科学性原则。第三方机构应当履行必要评价程序，对原始资料进行核查验证，选择一种或多种方法进行对比分析，形成结论并出具评价报告。</w:t>
      </w:r>
    </w:p>
    <w:p w14:paraId="3857E18B">
      <w:pPr>
        <w:ind w:firstLine="664"/>
        <w:rPr>
          <w:rFonts w:hint="eastAsia" w:ascii="Times New Roman" w:hAnsi="Times New Roman" w:eastAsia="宋体" w:cs="Times New Roman"/>
          <w:bCs/>
          <w:color w:val="auto"/>
          <w:highlight w:val="none"/>
        </w:rPr>
      </w:pPr>
      <w:r>
        <w:rPr>
          <w:rFonts w:hint="default" w:ascii="Times New Roman" w:hAnsi="Times New Roman" w:eastAsia="宋体" w:cs="Times New Roman"/>
          <w:bCs w:val="0"/>
          <w:color w:val="auto"/>
          <w:kern w:val="2"/>
          <w:highlight w:val="none"/>
          <w:lang w:eastAsia="zh-CN"/>
        </w:rPr>
        <w:t>（</w:t>
      </w:r>
      <w:r>
        <w:rPr>
          <w:rFonts w:hint="default" w:ascii="Times New Roman" w:hAnsi="Times New Roman" w:eastAsia="宋体" w:cs="Times New Roman"/>
          <w:bCs w:val="0"/>
          <w:color w:val="auto"/>
          <w:kern w:val="2"/>
          <w:highlight w:val="none"/>
          <w:lang w:val="en-US" w:eastAsia="zh-CN"/>
        </w:rPr>
        <w:t>4</w:t>
      </w:r>
      <w:r>
        <w:rPr>
          <w:rFonts w:hint="default" w:ascii="Times New Roman" w:hAnsi="Times New Roman" w:eastAsia="宋体" w:cs="Times New Roman"/>
          <w:bCs w:val="0"/>
          <w:color w:val="auto"/>
          <w:kern w:val="2"/>
          <w:highlight w:val="none"/>
          <w:lang w:eastAsia="zh-CN"/>
        </w:rPr>
        <w:t>）</w:t>
      </w:r>
      <w:r>
        <w:rPr>
          <w:rFonts w:hint="default" w:ascii="Times New Roman" w:hAnsi="Times New Roman" w:eastAsia="宋体" w:cs="Times New Roman"/>
          <w:bCs w:val="0"/>
          <w:color w:val="auto"/>
          <w:kern w:val="2"/>
          <w:highlight w:val="none"/>
        </w:rPr>
        <w:t>公正性原则：在评价过程中坚持公正、客观</w:t>
      </w:r>
      <w:r>
        <w:rPr>
          <w:rFonts w:hint="eastAsia" w:ascii="Times New Roman" w:hAnsi="Times New Roman" w:eastAsia="宋体" w:cs="Times New Roman"/>
          <w:bCs/>
          <w:color w:val="auto"/>
          <w:highlight w:val="none"/>
        </w:rPr>
        <w:t>地反映实际情况，不隐瞒、弄虚作假。</w:t>
      </w:r>
    </w:p>
    <w:p w14:paraId="4D5183CD">
      <w:pPr>
        <w:pStyle w:val="6"/>
        <w:bidi w:val="0"/>
        <w:outlineLvl w:val="2"/>
        <w:rPr>
          <w:rFonts w:hint="eastAsia" w:ascii="Times New Roman" w:hAnsi="Times New Roman" w:eastAsia="宋体" w:cs="Times New Roman"/>
          <w:color w:val="auto"/>
          <w:highlight w:val="none"/>
          <w:lang w:eastAsia="zh-CN"/>
        </w:rPr>
      </w:pPr>
      <w:bookmarkStart w:id="43" w:name="_Toc11067"/>
      <w:r>
        <w:rPr>
          <w:rFonts w:hint="eastAsia" w:ascii="Times New Roman" w:hAnsi="Times New Roman" w:eastAsia="宋体" w:cs="Times New Roman"/>
          <w:color w:val="auto"/>
          <w:highlight w:val="none"/>
          <w:lang w:val="en-US" w:eastAsia="zh-CN"/>
        </w:rPr>
        <w:t>2.</w:t>
      </w:r>
      <w:r>
        <w:rPr>
          <w:rFonts w:hint="default" w:ascii="Times New Roman" w:hAnsi="Times New Roman" w:eastAsia="宋体" w:cs="Times New Roman"/>
          <w:color w:val="auto"/>
          <w:highlight w:val="none"/>
        </w:rPr>
        <w:t>绩效评价</w:t>
      </w:r>
      <w:r>
        <w:rPr>
          <w:rFonts w:hint="eastAsia" w:ascii="Times New Roman" w:hAnsi="Times New Roman" w:eastAsia="宋体" w:cs="Times New Roman"/>
          <w:color w:val="auto"/>
          <w:highlight w:val="none"/>
          <w:lang w:val="en-US" w:eastAsia="zh-CN"/>
        </w:rPr>
        <w:t>标准</w:t>
      </w:r>
    </w:p>
    <w:p w14:paraId="44919B75">
      <w:pPr>
        <w:bidi w:val="0"/>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绩效评价标准通常包括计划标准、行业标准、历史标准等。本次绩效评价采用计划标准，以预先制定的目标、计划、预算、定额等作为评价标准，对比分析部门整体产出、效益的完成情况。对于定性指标，通过文献查阅、问卷调查及访谈方式，采集相关数据，运用等级描述法，设置分级标准，体现该指标认可程度的差异。对于定量指标，通过公式计算、数据统计等方式予以量化，可以准确衡量，并设定目标值的考核指标。</w:t>
      </w:r>
    </w:p>
    <w:p w14:paraId="28C24919">
      <w:pPr>
        <w:pStyle w:val="5"/>
        <w:ind w:firstLine="640"/>
        <w:rPr>
          <w:rFonts w:hint="default" w:ascii="Times New Roman" w:hAnsi="Times New Roman" w:eastAsia="宋体" w:cs="Times New Roman"/>
          <w:bCs w:val="0"/>
          <w:color w:val="auto"/>
          <w:highlight w:val="none"/>
        </w:rPr>
      </w:pPr>
      <w:r>
        <w:rPr>
          <w:rFonts w:hint="default" w:ascii="Times New Roman" w:hAnsi="Times New Roman" w:eastAsia="宋体" w:cs="Times New Roman"/>
          <w:bCs w:val="0"/>
          <w:color w:val="auto"/>
          <w:highlight w:val="none"/>
        </w:rPr>
        <w:t>（</w:t>
      </w:r>
      <w:r>
        <w:rPr>
          <w:rFonts w:hint="eastAsia" w:ascii="Times New Roman" w:hAnsi="Times New Roman" w:eastAsia="宋体" w:cs="Times New Roman"/>
          <w:bCs w:val="0"/>
          <w:color w:val="auto"/>
          <w:highlight w:val="none"/>
          <w:lang w:val="en-US" w:eastAsia="zh-CN"/>
        </w:rPr>
        <w:t>四</w:t>
      </w:r>
      <w:r>
        <w:rPr>
          <w:rFonts w:hint="default" w:ascii="Times New Roman" w:hAnsi="Times New Roman" w:eastAsia="宋体" w:cs="Times New Roman"/>
          <w:bCs w:val="0"/>
          <w:color w:val="auto"/>
          <w:highlight w:val="none"/>
        </w:rPr>
        <w:t>）绩效评价思路及评价指标体系</w:t>
      </w:r>
      <w:bookmarkEnd w:id="43"/>
    </w:p>
    <w:p w14:paraId="35BE0A11">
      <w:pPr>
        <w:pStyle w:val="6"/>
        <w:rPr>
          <w:rFonts w:hint="default" w:ascii="Times New Roman" w:hAnsi="Times New Roman" w:eastAsia="宋体" w:cs="Times New Roman"/>
          <w:b w:val="0"/>
          <w:bCs w:val="0"/>
          <w:color w:val="auto"/>
          <w:kern w:val="2"/>
          <w:sz w:val="21"/>
          <w:szCs w:val="21"/>
          <w:highlight w:val="none"/>
          <w:lang w:val="en-US" w:eastAsia="zh-CN" w:bidi="ar-SA"/>
        </w:rPr>
      </w:pPr>
      <w:r>
        <w:rPr>
          <w:rFonts w:hint="default" w:ascii="Times New Roman" w:hAnsi="Times New Roman" w:eastAsia="宋体" w:cs="Times New Roman"/>
          <w:b w:val="0"/>
          <w:bCs w:val="0"/>
          <w:color w:val="auto"/>
          <w:kern w:val="2"/>
          <w:sz w:val="21"/>
          <w:szCs w:val="21"/>
          <w:highlight w:val="none"/>
          <w:lang w:val="en-US" w:eastAsia="zh-CN" w:bidi="ar-SA"/>
        </w:rPr>
        <w:t>1.指标体系设计思路</w:t>
      </w:r>
    </w:p>
    <w:p w14:paraId="0DE2335A">
      <w:pPr>
        <w:ind w:firstLine="664"/>
        <w:outlineLvl w:val="9"/>
        <w:rPr>
          <w:rFonts w:hint="default" w:ascii="Times New Roman" w:hAnsi="Times New Roman" w:eastAsia="宋体" w:cs="Times New Roman"/>
          <w:b w:val="0"/>
          <w:bCs w:val="0"/>
          <w:color w:val="auto"/>
          <w:kern w:val="2"/>
          <w:sz w:val="21"/>
          <w:szCs w:val="21"/>
          <w:highlight w:val="none"/>
          <w:lang w:val="en-US" w:eastAsia="zh-CN" w:bidi="ar-SA"/>
        </w:rPr>
      </w:pPr>
      <w:r>
        <w:rPr>
          <w:rFonts w:hint="eastAsia" w:ascii="Times New Roman" w:hAnsi="Times New Roman" w:eastAsia="宋体" w:cs="Times New Roman"/>
          <w:b w:val="0"/>
          <w:bCs/>
          <w:color w:val="auto"/>
          <w:sz w:val="21"/>
          <w:szCs w:val="21"/>
          <w:highlight w:val="none"/>
          <w:lang w:val="en-US" w:eastAsia="zh-CN" w:bidi="ar-SA"/>
        </w:rPr>
        <w:t>根据《中共中央 国务院关于</w:t>
      </w:r>
      <w:r>
        <w:rPr>
          <w:rFonts w:hint="default" w:ascii="Times New Roman" w:hAnsi="Times New Roman" w:eastAsia="宋体" w:cs="Times New Roman"/>
          <w:b w:val="0"/>
          <w:bCs w:val="0"/>
          <w:color w:val="auto"/>
          <w:kern w:val="2"/>
          <w:sz w:val="21"/>
          <w:szCs w:val="21"/>
          <w:highlight w:val="none"/>
          <w:lang w:val="en-US" w:eastAsia="zh-CN" w:bidi="ar-SA"/>
        </w:rPr>
        <w:t>全面实施预算绩效管理的意见》（中发〔2018〕34号）文件相关要求：“预算部门要根据财政部门的要求，编制部门整体支出绩效目标，以反映部门整体支出与实现本部门事业规划的关联性、经济性、效益性和效率性，促进部门整体支出绩效的提升。”</w:t>
      </w:r>
    </w:p>
    <w:p w14:paraId="06F45038">
      <w:pPr>
        <w:ind w:firstLine="664"/>
        <w:outlineLvl w:val="9"/>
        <w:rPr>
          <w:rFonts w:hint="default" w:ascii="Times New Roman" w:hAnsi="Times New Roman" w:eastAsia="宋体" w:cs="Times New Roman"/>
          <w:b w:val="0"/>
          <w:bCs w:val="0"/>
          <w:color w:val="auto"/>
          <w:kern w:val="2"/>
          <w:sz w:val="21"/>
          <w:szCs w:val="21"/>
          <w:highlight w:val="none"/>
          <w:lang w:val="en-US" w:eastAsia="zh-CN" w:bidi="ar-SA"/>
        </w:rPr>
      </w:pPr>
      <w:r>
        <w:rPr>
          <w:rFonts w:hint="default" w:ascii="Times New Roman" w:hAnsi="Times New Roman" w:eastAsia="宋体" w:cs="Times New Roman"/>
          <w:b w:val="0"/>
          <w:bCs w:val="0"/>
          <w:color w:val="auto"/>
          <w:kern w:val="2"/>
          <w:sz w:val="21"/>
          <w:szCs w:val="21"/>
          <w:highlight w:val="none"/>
          <w:lang w:val="en-US" w:eastAsia="zh-CN" w:bidi="ar-SA"/>
        </w:rPr>
        <w:t>伊宁县农技推广中心2024年度部门整体支出绩效评价思路应围绕绩效评价的目标，根据部门职能、中长期规划、年度工作计划、重点工作等工作材料分析，梳理分析年度重点工作任务及要求，确定年度部门整体支出的评价重点和部门整体支出绩效目标，按照确定的部门职责履行情况、部门运行有效情况及部门职能实现程度构建指标体系。通过绩效评价分析部门整体支出对单位基本运转及单位职能履职的保障作用，总结经验做法，找出资金使用和管理中的薄弱环节，提出具备一定前瞻性、实用性的、有助于提高其部门整体支出绩效的建议，进一步加强预算管理，提高财政资金使用效益，为部门科学决策、规范管理提供参考。</w:t>
      </w:r>
    </w:p>
    <w:p w14:paraId="7DBFEACD">
      <w:pPr>
        <w:keepNext w:val="0"/>
        <w:keepLines w:val="0"/>
        <w:ind w:firstLine="664"/>
        <w:rPr>
          <w:rFonts w:hint="default" w:ascii="Times New Roman" w:hAnsi="Times New Roman" w:eastAsia="宋体" w:cs="Times New Roman"/>
          <w:b w:val="0"/>
          <w:bCs w:val="0"/>
          <w:color w:val="auto"/>
          <w:kern w:val="2"/>
          <w:sz w:val="21"/>
          <w:szCs w:val="21"/>
          <w:highlight w:val="none"/>
          <w:lang w:val="en-US" w:eastAsia="zh-CN" w:bidi="ar-SA"/>
        </w:rPr>
      </w:pPr>
      <w:r>
        <w:rPr>
          <w:rFonts w:hint="default" w:ascii="Times New Roman" w:hAnsi="Times New Roman" w:eastAsia="宋体" w:cs="Times New Roman"/>
          <w:b w:val="0"/>
          <w:bCs w:val="0"/>
          <w:color w:val="auto"/>
          <w:kern w:val="2"/>
          <w:sz w:val="21"/>
          <w:szCs w:val="21"/>
          <w:highlight w:val="none"/>
          <w:lang w:val="en-US" w:eastAsia="zh-CN" w:bidi="ar-SA"/>
        </w:rPr>
        <w:t>2.绩效评价指标体系设计</w:t>
      </w:r>
    </w:p>
    <w:p w14:paraId="427028E5">
      <w:pPr>
        <w:ind w:firstLine="664"/>
        <w:outlineLvl w:val="9"/>
        <w:rPr>
          <w:rFonts w:hint="default" w:ascii="Times New Roman" w:hAnsi="Times New Roman" w:eastAsia="宋体" w:cs="Times New Roman"/>
          <w:b w:val="0"/>
          <w:bCs w:val="0"/>
          <w:color w:val="auto"/>
          <w:kern w:val="2"/>
          <w:sz w:val="21"/>
          <w:szCs w:val="21"/>
          <w:highlight w:val="none"/>
          <w:lang w:val="en-US" w:eastAsia="zh-CN" w:bidi="ar-SA"/>
        </w:rPr>
      </w:pPr>
      <w:r>
        <w:rPr>
          <w:rFonts w:hint="default" w:ascii="Times New Roman" w:hAnsi="Times New Roman" w:eastAsia="宋体" w:cs="Times New Roman"/>
          <w:b w:val="0"/>
          <w:bCs w:val="0"/>
          <w:color w:val="auto"/>
          <w:kern w:val="2"/>
          <w:sz w:val="21"/>
          <w:szCs w:val="21"/>
          <w:highlight w:val="none"/>
          <w:lang w:val="en-US" w:eastAsia="zh-CN" w:bidi="ar-SA"/>
        </w:rPr>
        <w:t>伊宁县农技推广中心部门整体财政支出绩效评价指标体系参照《自治区财政支出绩效评价管理暂行办法》（新财预〔2018〕189号）、《关于参照使用预算绩效评价指标体系的通知》文件设置，指标体系设置一级指标共3个，包括部门决策指标（15.00%）、部门管理指标（25.00%）、部门绩效指标（60.00%）三类指标，以部门单位职能为核心，主要围绕资金使用、项目管理、资源配置等方面，客观分析产出和效果，并通过指标明细程度体现侧重点。指标体系设置一级指标3个、二级指标12个，包括部门决策（部门规划计划、绩效目标、部门预算编制）、部门管理（内控制度建设、预算管理、资金管理、项目管理、资产管理等情况）、部门绩效（</w:t>
      </w:r>
      <w:r>
        <w:rPr>
          <w:rFonts w:hint="default" w:ascii="Times New Roman" w:hAnsi="Times New Roman" w:eastAsia="宋体" w:cs="Times New Roman"/>
          <w:color w:val="auto"/>
          <w:kern w:val="2"/>
          <w:sz w:val="21"/>
          <w:szCs w:val="21"/>
          <w:highlight w:val="none"/>
          <w:lang w:val="en-US" w:eastAsia="zh-CN"/>
        </w:rPr>
        <w:t>C1履职效能—农技推广宣传与预防</w:t>
      </w:r>
      <w:r>
        <w:rPr>
          <w:rFonts w:hint="default" w:ascii="Times New Roman" w:hAnsi="Times New Roman" w:eastAsia="宋体" w:cs="Times New Roman"/>
          <w:b w:val="0"/>
          <w:bCs w:val="0"/>
          <w:color w:val="auto"/>
          <w:kern w:val="2"/>
          <w:sz w:val="21"/>
          <w:szCs w:val="21"/>
          <w:highlight w:val="none"/>
          <w:lang w:val="en-US" w:eastAsia="zh-CN" w:bidi="ar-SA"/>
        </w:rPr>
        <w:t>、</w:t>
      </w:r>
      <w:r>
        <w:rPr>
          <w:rFonts w:hint="default" w:ascii="Times New Roman" w:hAnsi="Times New Roman" w:eastAsia="宋体" w:cs="Times New Roman"/>
          <w:color w:val="auto"/>
          <w:kern w:val="2"/>
          <w:sz w:val="21"/>
          <w:szCs w:val="21"/>
          <w:highlight w:val="none"/>
          <w:lang w:val="en-US" w:eastAsia="zh-CN"/>
        </w:rPr>
        <w:t>C2履职效能—</w:t>
      </w:r>
      <w:r>
        <w:rPr>
          <w:rFonts w:hint="default" w:ascii="Times New Roman" w:hAnsi="Times New Roman" w:eastAsia="宋体" w:cs="Times New Roman"/>
          <w:color w:val="auto"/>
          <w:kern w:val="2"/>
          <w:highlight w:val="none"/>
          <w:lang w:val="en-US" w:eastAsia="zh-CN"/>
        </w:rPr>
        <w:t>绿色防控技术推广</w:t>
      </w:r>
      <w:r>
        <w:rPr>
          <w:rFonts w:hint="default" w:ascii="Times New Roman" w:hAnsi="Times New Roman" w:eastAsia="宋体" w:cs="Times New Roman"/>
          <w:b w:val="0"/>
          <w:bCs w:val="0"/>
          <w:color w:val="auto"/>
          <w:kern w:val="2"/>
          <w:sz w:val="21"/>
          <w:szCs w:val="21"/>
          <w:highlight w:val="none"/>
          <w:lang w:val="en-US" w:eastAsia="zh-CN" w:bidi="ar-SA"/>
        </w:rPr>
        <w:t>、</w:t>
      </w:r>
      <w:r>
        <w:rPr>
          <w:rFonts w:hint="default" w:ascii="Times New Roman" w:hAnsi="Times New Roman" w:eastAsia="宋体" w:cs="Times New Roman"/>
          <w:color w:val="auto"/>
          <w:kern w:val="2"/>
          <w:sz w:val="21"/>
          <w:szCs w:val="21"/>
          <w:highlight w:val="none"/>
          <w:lang w:val="en-US" w:eastAsia="zh-CN"/>
        </w:rPr>
        <w:t>C3履职效能—粮食作物增产增收、</w:t>
      </w:r>
      <w:r>
        <w:rPr>
          <w:rFonts w:hint="default" w:ascii="Times New Roman" w:hAnsi="Times New Roman" w:eastAsia="宋体" w:cs="Times New Roman"/>
          <w:b w:val="0"/>
          <w:bCs w:val="0"/>
          <w:color w:val="auto"/>
          <w:kern w:val="2"/>
          <w:sz w:val="21"/>
          <w:szCs w:val="21"/>
          <w:highlight w:val="none"/>
          <w:lang w:val="en-US" w:eastAsia="zh-CN" w:bidi="ar-SA"/>
        </w:rPr>
        <w:t>C4服务对象满意度）等方面；三级指标根据伊宁县农技推广中心中长期规划和当年工作计划内容做出相应调整，按照评价重点和内容进行进一步细化。部门整体支出绩效目标应反映部门整体支出与实现本部门事业规划的关联性、经济性、效益性和效率性，并以相应的绩效指标和指标值予以细化、量化。整个评价框架构成体现从投入、过程到产出、效果和影响的绩效逻辑路径。具体分类指标设计思路如下：</w:t>
      </w:r>
    </w:p>
    <w:p w14:paraId="43D340AE">
      <w:pPr>
        <w:ind w:firstLine="664"/>
        <w:outlineLvl w:val="9"/>
        <w:rPr>
          <w:rFonts w:hint="default" w:ascii="Times New Roman" w:hAnsi="Times New Roman" w:eastAsia="宋体" w:cs="Times New Roman"/>
          <w:b w:val="0"/>
          <w:bCs w:val="0"/>
          <w:color w:val="auto"/>
          <w:kern w:val="2"/>
          <w:sz w:val="21"/>
          <w:szCs w:val="21"/>
          <w:highlight w:val="none"/>
          <w:lang w:val="en-US" w:eastAsia="zh-CN" w:bidi="ar-SA"/>
        </w:rPr>
      </w:pPr>
      <w:r>
        <w:rPr>
          <w:rFonts w:hint="default" w:ascii="Times New Roman" w:hAnsi="Times New Roman" w:eastAsia="宋体" w:cs="Times New Roman"/>
          <w:b w:val="0"/>
          <w:bCs w:val="0"/>
          <w:color w:val="auto"/>
          <w:kern w:val="2"/>
          <w:sz w:val="21"/>
          <w:szCs w:val="21"/>
          <w:highlight w:val="none"/>
          <w:lang w:val="en-US" w:eastAsia="zh-CN" w:bidi="ar-SA"/>
        </w:rPr>
        <w:t xml:space="preserve">（1）部门决策指标：参考《预算绩效评价指标体系1.0》中新疆部门整体支出绩效评价指标体系相关指标，从部门规划计划、绩效目标、部门预算编制等方面对单位部门决策情况进行评价，设置了包括：中长期规划科学合理性、年度工作计划科学完整性、绩效目标明确性、绩效目标合理性、预算编制科学规范、预算编制与重点工作任务的匹配性等6个三级指标，分值权重设置为15.00分。 </w:t>
      </w:r>
    </w:p>
    <w:p w14:paraId="7423A1DF">
      <w:pPr>
        <w:ind w:firstLine="664"/>
        <w:outlineLvl w:val="9"/>
        <w:rPr>
          <w:rFonts w:hint="default" w:ascii="Times New Roman" w:hAnsi="Times New Roman" w:eastAsia="宋体" w:cs="Times New Roman"/>
          <w:b w:val="0"/>
          <w:bCs w:val="0"/>
          <w:color w:val="auto"/>
          <w:kern w:val="2"/>
          <w:sz w:val="21"/>
          <w:szCs w:val="21"/>
          <w:highlight w:val="none"/>
          <w:lang w:val="en-US" w:eastAsia="zh-CN" w:bidi="ar-SA"/>
        </w:rPr>
      </w:pPr>
      <w:r>
        <w:rPr>
          <w:rFonts w:hint="default" w:ascii="Times New Roman" w:hAnsi="Times New Roman" w:eastAsia="宋体" w:cs="Times New Roman"/>
          <w:b w:val="0"/>
          <w:bCs w:val="0"/>
          <w:color w:val="auto"/>
          <w:kern w:val="2"/>
          <w:sz w:val="21"/>
          <w:szCs w:val="21"/>
          <w:highlight w:val="none"/>
          <w:lang w:val="en-US" w:eastAsia="zh-CN" w:bidi="ar-SA"/>
        </w:rPr>
        <w:t>（2）部门管理指标：参考《预算绩效评价指标体系1.0》中新疆部门整体支出绩效评价指标体系相关指标，从内控制度建设、预算管理、资金管理、项目管理、资产管理等情况方面进行评价部门管理情况，包括内控制度健全性、预算、决算信息公开、支出预算执行率、资金使用合规性、政府采购招投标信息公开及时性、项目绩效达标率、项目支出预算调整率、资产管理合规性等9个三级指标，分值权重设置为25.00分。</w:t>
      </w:r>
    </w:p>
    <w:p w14:paraId="0AA0C6DF">
      <w:pPr>
        <w:ind w:firstLine="664"/>
        <w:outlineLvl w:val="9"/>
        <w:rPr>
          <w:rFonts w:hint="default" w:ascii="Times New Roman" w:hAnsi="Times New Roman" w:eastAsia="宋体" w:cs="Times New Roman"/>
          <w:b w:val="0"/>
          <w:bCs w:val="0"/>
          <w:color w:val="auto"/>
          <w:kern w:val="2"/>
          <w:sz w:val="21"/>
          <w:szCs w:val="21"/>
          <w:highlight w:val="none"/>
          <w:lang w:val="en-US" w:eastAsia="zh-CN" w:bidi="ar-SA"/>
        </w:rPr>
      </w:pPr>
      <w:r>
        <w:rPr>
          <w:rFonts w:hint="default" w:ascii="Times New Roman" w:hAnsi="Times New Roman" w:eastAsia="宋体" w:cs="Times New Roman"/>
          <w:b w:val="0"/>
          <w:bCs w:val="0"/>
          <w:color w:val="auto"/>
          <w:kern w:val="2"/>
          <w:sz w:val="21"/>
          <w:szCs w:val="21"/>
          <w:highlight w:val="none"/>
          <w:lang w:val="en-US" w:eastAsia="zh-CN" w:bidi="ar-SA"/>
        </w:rPr>
        <w:t>（3）部门绩效指标：评价小组在充分调研了解伊宁县农技推广中心主要职责和核心履职前提下、以</w:t>
      </w:r>
      <w:r>
        <w:rPr>
          <w:rFonts w:hint="default" w:ascii="Times New Roman" w:hAnsi="Times New Roman" w:eastAsia="宋体" w:cs="Times New Roman"/>
          <w:bCs w:val="0"/>
          <w:color w:val="auto"/>
          <w:kern w:val="2"/>
          <w:highlight w:val="none"/>
        </w:rPr>
        <w:t>《伊宁县粮食产能提升三年行动方案（2023-2025）》</w:t>
      </w:r>
      <w:r>
        <w:rPr>
          <w:rFonts w:hint="default" w:ascii="Times New Roman" w:hAnsi="Times New Roman" w:eastAsia="宋体" w:cs="Times New Roman"/>
          <w:bCs w:val="0"/>
          <w:color w:val="auto"/>
          <w:kern w:val="2"/>
          <w:highlight w:val="none"/>
          <w:lang w:eastAsia="zh-CN"/>
        </w:rPr>
        <w:t>《</w:t>
      </w:r>
      <w:r>
        <w:rPr>
          <w:rFonts w:hint="default" w:ascii="Times New Roman" w:hAnsi="Times New Roman" w:eastAsia="宋体" w:cs="Times New Roman"/>
          <w:bCs w:val="0"/>
          <w:color w:val="auto"/>
          <w:kern w:val="2"/>
          <w:highlight w:val="none"/>
        </w:rPr>
        <w:t>伊宁县十四个五年规划和2035年远景目标纲要</w:t>
      </w:r>
      <w:r>
        <w:rPr>
          <w:rFonts w:hint="default" w:ascii="Times New Roman" w:hAnsi="Times New Roman" w:eastAsia="宋体" w:cs="Times New Roman"/>
          <w:bCs w:val="0"/>
          <w:color w:val="auto"/>
          <w:kern w:val="2"/>
          <w:highlight w:val="none"/>
          <w:lang w:eastAsia="zh-CN"/>
        </w:rPr>
        <w:t>》</w:t>
      </w:r>
      <w:r>
        <w:rPr>
          <w:rFonts w:hint="default" w:ascii="Times New Roman" w:hAnsi="Times New Roman" w:eastAsia="宋体" w:cs="Times New Roman"/>
          <w:bCs w:val="0"/>
          <w:color w:val="auto"/>
          <w:kern w:val="2"/>
          <w:highlight w:val="none"/>
        </w:rPr>
        <w:t>《伊宁县农业技术推广中心2023年工作总结及2024年工作思路》</w:t>
      </w:r>
      <w:r>
        <w:rPr>
          <w:rFonts w:hint="default" w:ascii="Times New Roman" w:hAnsi="Times New Roman" w:eastAsia="宋体" w:cs="Times New Roman"/>
          <w:b w:val="0"/>
          <w:bCs w:val="0"/>
          <w:color w:val="auto"/>
          <w:kern w:val="2"/>
          <w:sz w:val="21"/>
          <w:szCs w:val="21"/>
          <w:highlight w:val="none"/>
          <w:lang w:val="en-US" w:eastAsia="zh-CN" w:bidi="ar-SA"/>
        </w:rPr>
        <w:t>为依据，从部门履职情况和满意度等两方面考核单位履职任务完成情况，分值权重设置为60.00分，三级指标分值综合考虑资金安排、核心履职等因素根据重要性原则进行分配。三级指标设计依据和思路如下：</w:t>
      </w:r>
    </w:p>
    <w:p w14:paraId="7C5D6823">
      <w:pPr>
        <w:ind w:firstLine="664"/>
        <w:outlineLvl w:val="9"/>
        <w:rPr>
          <w:rFonts w:hint="default" w:ascii="Times New Roman" w:hAnsi="Times New Roman" w:eastAsia="宋体" w:cs="Times New Roman"/>
          <w:b w:val="0"/>
          <w:bCs w:val="0"/>
          <w:color w:val="auto"/>
          <w:kern w:val="2"/>
          <w:sz w:val="21"/>
          <w:szCs w:val="21"/>
          <w:highlight w:val="none"/>
          <w:lang w:val="en-US" w:eastAsia="zh-CN" w:bidi="ar-SA"/>
        </w:rPr>
      </w:pPr>
      <w:r>
        <w:rPr>
          <w:rFonts w:hint="default" w:ascii="Times New Roman" w:hAnsi="Times New Roman" w:eastAsia="宋体" w:cs="Times New Roman"/>
          <w:color w:val="auto"/>
          <w:kern w:val="2"/>
          <w:sz w:val="21"/>
          <w:szCs w:val="21"/>
          <w:highlight w:val="none"/>
          <w:lang w:val="en-US" w:eastAsia="zh-CN"/>
        </w:rPr>
        <w:t>农技推广宣传与预防</w:t>
      </w:r>
      <w:r>
        <w:rPr>
          <w:rFonts w:hint="default" w:ascii="Times New Roman" w:hAnsi="Times New Roman" w:eastAsia="宋体" w:cs="Times New Roman"/>
          <w:b w:val="0"/>
          <w:bCs w:val="0"/>
          <w:color w:val="auto"/>
          <w:kern w:val="2"/>
          <w:sz w:val="21"/>
          <w:szCs w:val="21"/>
          <w:highlight w:val="none"/>
          <w:lang w:val="en-US" w:eastAsia="zh-CN" w:bidi="ar-SA"/>
        </w:rPr>
        <w:t>方面：依据</w:t>
      </w:r>
      <w:r>
        <w:rPr>
          <w:rFonts w:hint="default" w:ascii="Times New Roman" w:hAnsi="Times New Roman" w:eastAsia="宋体" w:cs="Times New Roman"/>
          <w:bCs w:val="0"/>
          <w:color w:val="auto"/>
          <w:kern w:val="2"/>
          <w:highlight w:val="none"/>
        </w:rPr>
        <w:t>《伊宁县粮食产能提升三年行动方案（2023-2025）》《伊宁县农业技术推广中心2023年工作总结及2024年工作思路》</w:t>
      </w:r>
      <w:r>
        <w:rPr>
          <w:rFonts w:hint="default" w:ascii="Times New Roman" w:hAnsi="Times New Roman" w:eastAsia="宋体" w:cs="Times New Roman"/>
          <w:b w:val="0"/>
          <w:bCs w:val="0"/>
          <w:color w:val="auto"/>
          <w:kern w:val="2"/>
          <w:sz w:val="21"/>
          <w:szCs w:val="21"/>
          <w:highlight w:val="none"/>
          <w:lang w:val="en-US" w:eastAsia="zh-CN" w:bidi="ar-SA"/>
        </w:rPr>
        <w:t>的年度目标，设定了“</w:t>
      </w:r>
      <w:r>
        <w:rPr>
          <w:rFonts w:hint="eastAsia" w:ascii="Times New Roman" w:hAnsi="Times New Roman" w:eastAsia="宋体" w:cs="Times New Roman"/>
          <w:bCs w:val="0"/>
          <w:color w:val="auto"/>
          <w:kern w:val="2"/>
          <w:sz w:val="21"/>
          <w:szCs w:val="21"/>
          <w:highlight w:val="none"/>
          <w:lang w:val="en-US" w:eastAsia="zh-CN"/>
        </w:rPr>
        <w:t>开展各类农技培训次数</w:t>
      </w:r>
      <w:r>
        <w:rPr>
          <w:rFonts w:hint="default" w:ascii="Times New Roman" w:hAnsi="Times New Roman" w:eastAsia="宋体" w:cs="Times New Roman"/>
          <w:b w:val="0"/>
          <w:bCs w:val="0"/>
          <w:color w:val="auto"/>
          <w:kern w:val="2"/>
          <w:sz w:val="21"/>
          <w:szCs w:val="21"/>
          <w:highlight w:val="none"/>
          <w:lang w:val="en-US" w:eastAsia="zh-CN" w:bidi="ar-SA"/>
        </w:rPr>
        <w:t>”“</w:t>
      </w:r>
      <w:r>
        <w:rPr>
          <w:rFonts w:hint="default" w:ascii="Times New Roman" w:hAnsi="Times New Roman" w:eastAsia="宋体" w:cs="Times New Roman"/>
          <w:bCs w:val="0"/>
          <w:color w:val="auto"/>
          <w:kern w:val="2"/>
          <w:sz w:val="21"/>
          <w:szCs w:val="21"/>
          <w:highlight w:val="none"/>
          <w:lang w:val="en-US" w:eastAsia="zh-CN"/>
        </w:rPr>
        <w:t>中长期病虫害预测预报</w:t>
      </w:r>
      <w:r>
        <w:rPr>
          <w:rFonts w:hint="default" w:ascii="Times New Roman" w:hAnsi="Times New Roman" w:eastAsia="宋体" w:cs="Times New Roman"/>
          <w:b w:val="0"/>
          <w:bCs w:val="0"/>
          <w:color w:val="auto"/>
          <w:kern w:val="2"/>
          <w:sz w:val="21"/>
          <w:szCs w:val="21"/>
          <w:highlight w:val="none"/>
          <w:lang w:val="en-US" w:eastAsia="zh-CN" w:bidi="ar-SA"/>
        </w:rPr>
        <w:t>”等2个三级指标；</w:t>
      </w:r>
    </w:p>
    <w:p w14:paraId="0598494D">
      <w:pPr>
        <w:ind w:firstLine="664"/>
        <w:outlineLvl w:val="9"/>
        <w:rPr>
          <w:rFonts w:hint="default" w:ascii="Times New Roman" w:hAnsi="Times New Roman" w:eastAsia="宋体" w:cs="Times New Roman"/>
          <w:b w:val="0"/>
          <w:bCs w:val="0"/>
          <w:color w:val="auto"/>
          <w:kern w:val="2"/>
          <w:sz w:val="21"/>
          <w:szCs w:val="21"/>
          <w:highlight w:val="none"/>
          <w:lang w:val="en-US" w:eastAsia="zh-CN" w:bidi="ar-SA"/>
        </w:rPr>
      </w:pPr>
      <w:r>
        <w:rPr>
          <w:rFonts w:hint="default" w:ascii="Times New Roman" w:hAnsi="Times New Roman" w:eastAsia="宋体" w:cs="Times New Roman"/>
          <w:color w:val="auto"/>
          <w:kern w:val="2"/>
          <w:highlight w:val="none"/>
          <w:lang w:val="en-US" w:eastAsia="zh-CN"/>
        </w:rPr>
        <w:t>绿色防控技术推广</w:t>
      </w:r>
      <w:r>
        <w:rPr>
          <w:rFonts w:hint="default" w:ascii="Times New Roman" w:hAnsi="Times New Roman" w:eastAsia="宋体" w:cs="Times New Roman"/>
          <w:b w:val="0"/>
          <w:bCs w:val="0"/>
          <w:color w:val="auto"/>
          <w:kern w:val="2"/>
          <w:sz w:val="21"/>
          <w:szCs w:val="21"/>
          <w:highlight w:val="none"/>
          <w:lang w:val="en-US" w:eastAsia="zh-CN" w:bidi="ar-SA"/>
        </w:rPr>
        <w:t>方面：依据</w:t>
      </w:r>
      <w:r>
        <w:rPr>
          <w:rFonts w:hint="default" w:ascii="Times New Roman" w:hAnsi="Times New Roman" w:eastAsia="宋体" w:cs="Times New Roman"/>
          <w:bCs w:val="0"/>
          <w:color w:val="auto"/>
          <w:kern w:val="2"/>
          <w:highlight w:val="none"/>
        </w:rPr>
        <w:t>《伊宁县农业技术推广中心2023年工作总结及2024年工作思路》</w:t>
      </w:r>
      <w:r>
        <w:rPr>
          <w:rFonts w:hint="default" w:ascii="Times New Roman" w:hAnsi="Times New Roman" w:eastAsia="宋体" w:cs="Times New Roman"/>
          <w:b w:val="0"/>
          <w:bCs w:val="0"/>
          <w:color w:val="auto"/>
          <w:kern w:val="2"/>
          <w:sz w:val="21"/>
          <w:szCs w:val="21"/>
          <w:highlight w:val="none"/>
          <w:lang w:val="en-US" w:eastAsia="zh-CN" w:bidi="ar-SA"/>
        </w:rPr>
        <w:t>的年度目标，设定了“</w:t>
      </w:r>
      <w:r>
        <w:rPr>
          <w:rFonts w:hint="default" w:ascii="Times New Roman" w:hAnsi="Times New Roman" w:eastAsia="宋体" w:cs="Times New Roman"/>
          <w:color w:val="auto"/>
          <w:kern w:val="2"/>
          <w:sz w:val="21"/>
          <w:szCs w:val="21"/>
          <w:highlight w:val="none"/>
          <w:lang w:val="en-US" w:eastAsia="zh-CN"/>
        </w:rPr>
        <w:t>小麦粮食作物统防统治覆盖率</w:t>
      </w:r>
      <w:r>
        <w:rPr>
          <w:rFonts w:hint="default" w:ascii="Times New Roman" w:hAnsi="Times New Roman" w:eastAsia="宋体" w:cs="Times New Roman"/>
          <w:b w:val="0"/>
          <w:bCs w:val="0"/>
          <w:color w:val="auto"/>
          <w:kern w:val="2"/>
          <w:sz w:val="21"/>
          <w:szCs w:val="21"/>
          <w:highlight w:val="none"/>
          <w:lang w:val="en-US" w:eastAsia="zh-CN" w:bidi="ar-SA"/>
        </w:rPr>
        <w:t>”“</w:t>
      </w:r>
      <w:r>
        <w:rPr>
          <w:rFonts w:hint="default" w:ascii="Times New Roman" w:hAnsi="Times New Roman" w:eastAsia="宋体" w:cs="Times New Roman"/>
          <w:color w:val="auto"/>
          <w:kern w:val="2"/>
          <w:sz w:val="21"/>
          <w:szCs w:val="21"/>
          <w:highlight w:val="none"/>
          <w:lang w:val="en-US" w:eastAsia="zh-CN"/>
        </w:rPr>
        <w:t>玉米粮食作物统防统治覆盖率</w:t>
      </w:r>
      <w:r>
        <w:rPr>
          <w:rFonts w:hint="default" w:ascii="Times New Roman" w:hAnsi="Times New Roman" w:eastAsia="宋体" w:cs="Times New Roman"/>
          <w:b w:val="0"/>
          <w:bCs w:val="0"/>
          <w:color w:val="auto"/>
          <w:kern w:val="2"/>
          <w:sz w:val="21"/>
          <w:szCs w:val="21"/>
          <w:highlight w:val="none"/>
          <w:lang w:val="en-US" w:eastAsia="zh-CN" w:bidi="ar-SA"/>
        </w:rPr>
        <w:t>”“</w:t>
      </w:r>
      <w:r>
        <w:rPr>
          <w:rFonts w:hint="default" w:ascii="Times New Roman" w:hAnsi="Times New Roman" w:eastAsia="宋体" w:cs="Times New Roman"/>
          <w:color w:val="auto"/>
          <w:kern w:val="2"/>
          <w:sz w:val="21"/>
          <w:szCs w:val="21"/>
          <w:highlight w:val="none"/>
          <w:lang w:val="en-US" w:eastAsia="zh-CN"/>
        </w:rPr>
        <w:t>农作物病虫害绿色防控覆盖率</w:t>
      </w:r>
      <w:r>
        <w:rPr>
          <w:rFonts w:hint="default" w:ascii="Times New Roman" w:hAnsi="Times New Roman" w:eastAsia="宋体" w:cs="Times New Roman"/>
          <w:b w:val="0"/>
          <w:bCs w:val="0"/>
          <w:color w:val="auto"/>
          <w:kern w:val="2"/>
          <w:sz w:val="21"/>
          <w:szCs w:val="21"/>
          <w:highlight w:val="none"/>
          <w:lang w:val="en-US" w:eastAsia="zh-CN" w:bidi="ar-SA"/>
        </w:rPr>
        <w:t>”等3个三级指标；</w:t>
      </w:r>
    </w:p>
    <w:p w14:paraId="4E95BD9E">
      <w:pPr>
        <w:ind w:firstLine="664"/>
        <w:outlineLvl w:val="9"/>
        <w:rPr>
          <w:rFonts w:hint="default" w:ascii="Times New Roman" w:hAnsi="Times New Roman" w:eastAsia="宋体" w:cs="Times New Roman"/>
          <w:b w:val="0"/>
          <w:bCs w:val="0"/>
          <w:color w:val="auto"/>
          <w:kern w:val="2"/>
          <w:sz w:val="21"/>
          <w:szCs w:val="21"/>
          <w:highlight w:val="none"/>
          <w:lang w:val="en-US" w:eastAsia="zh-CN" w:bidi="ar-SA"/>
        </w:rPr>
      </w:pPr>
      <w:r>
        <w:rPr>
          <w:rFonts w:hint="default" w:ascii="Times New Roman" w:hAnsi="Times New Roman" w:eastAsia="宋体" w:cs="Times New Roman"/>
          <w:color w:val="auto"/>
          <w:kern w:val="2"/>
          <w:sz w:val="21"/>
          <w:szCs w:val="21"/>
          <w:highlight w:val="none"/>
          <w:lang w:val="en-US" w:eastAsia="zh-CN"/>
        </w:rPr>
        <w:t>粮食作物增产增收方面</w:t>
      </w:r>
      <w:r>
        <w:rPr>
          <w:rFonts w:hint="default" w:ascii="Times New Roman" w:hAnsi="Times New Roman" w:eastAsia="宋体" w:cs="Times New Roman"/>
          <w:b w:val="0"/>
          <w:bCs w:val="0"/>
          <w:color w:val="auto"/>
          <w:kern w:val="2"/>
          <w:sz w:val="21"/>
          <w:szCs w:val="21"/>
          <w:highlight w:val="none"/>
          <w:lang w:val="en-US" w:eastAsia="zh-CN" w:bidi="ar-SA"/>
        </w:rPr>
        <w:t>：依据</w:t>
      </w:r>
      <w:r>
        <w:rPr>
          <w:rFonts w:hint="default" w:ascii="Times New Roman" w:hAnsi="Times New Roman" w:eastAsia="宋体" w:cs="Times New Roman"/>
          <w:bCs w:val="0"/>
          <w:color w:val="auto"/>
          <w:kern w:val="2"/>
          <w:highlight w:val="none"/>
        </w:rPr>
        <w:t>《伊宁县农业技术推广中心2023年工作总结及2024年工作思路》</w:t>
      </w:r>
      <w:r>
        <w:rPr>
          <w:rFonts w:hint="default" w:ascii="Times New Roman" w:hAnsi="Times New Roman" w:eastAsia="宋体" w:cs="Times New Roman"/>
          <w:b w:val="0"/>
          <w:bCs w:val="0"/>
          <w:color w:val="auto"/>
          <w:kern w:val="2"/>
          <w:sz w:val="21"/>
          <w:szCs w:val="21"/>
          <w:highlight w:val="none"/>
          <w:lang w:val="en-US" w:eastAsia="zh-CN" w:bidi="ar-SA"/>
        </w:rPr>
        <w:t>的年度目标，设定了“</w:t>
      </w:r>
      <w:r>
        <w:rPr>
          <w:rFonts w:hint="default" w:ascii="Times New Roman" w:hAnsi="Times New Roman" w:eastAsia="宋体" w:cs="Times New Roman"/>
          <w:bCs w:val="0"/>
          <w:color w:val="auto"/>
          <w:kern w:val="2"/>
          <w:sz w:val="21"/>
          <w:szCs w:val="21"/>
          <w:highlight w:val="none"/>
          <w:lang w:val="en-US" w:eastAsia="zh-CN"/>
        </w:rPr>
        <w:t>每个乡镇建立百亩以上的小麦攻关田数量</w:t>
      </w:r>
      <w:r>
        <w:rPr>
          <w:rFonts w:hint="default" w:ascii="Times New Roman" w:hAnsi="Times New Roman" w:eastAsia="宋体" w:cs="Times New Roman"/>
          <w:b w:val="0"/>
          <w:bCs w:val="0"/>
          <w:color w:val="auto"/>
          <w:kern w:val="2"/>
          <w:sz w:val="21"/>
          <w:szCs w:val="21"/>
          <w:highlight w:val="none"/>
          <w:lang w:val="en-US" w:eastAsia="zh-CN" w:bidi="ar-SA"/>
        </w:rPr>
        <w:t>”“</w:t>
      </w:r>
      <w:r>
        <w:rPr>
          <w:rFonts w:hint="default" w:ascii="Times New Roman" w:hAnsi="Times New Roman" w:eastAsia="宋体" w:cs="Times New Roman"/>
          <w:bCs w:val="0"/>
          <w:color w:val="auto"/>
          <w:kern w:val="2"/>
          <w:sz w:val="21"/>
          <w:szCs w:val="21"/>
          <w:highlight w:val="none"/>
          <w:lang w:val="en-US" w:eastAsia="zh-CN"/>
        </w:rPr>
        <w:t>每个乡镇要建立千亩示范田块数量</w:t>
      </w:r>
      <w:r>
        <w:rPr>
          <w:rFonts w:hint="default" w:ascii="Times New Roman" w:hAnsi="Times New Roman" w:eastAsia="宋体" w:cs="Times New Roman"/>
          <w:b w:val="0"/>
          <w:bCs w:val="0"/>
          <w:color w:val="auto"/>
          <w:kern w:val="2"/>
          <w:sz w:val="21"/>
          <w:szCs w:val="21"/>
          <w:highlight w:val="none"/>
          <w:lang w:val="en-US" w:eastAsia="zh-CN" w:bidi="ar-SA"/>
        </w:rPr>
        <w:t>”“</w:t>
      </w:r>
      <w:r>
        <w:rPr>
          <w:rFonts w:hint="default" w:ascii="Times New Roman" w:hAnsi="Times New Roman" w:eastAsia="宋体" w:cs="Times New Roman"/>
          <w:color w:val="auto"/>
          <w:kern w:val="2"/>
          <w:sz w:val="21"/>
          <w:szCs w:val="21"/>
          <w:highlight w:val="none"/>
          <w:lang w:val="en-US" w:eastAsia="zh-CN"/>
        </w:rPr>
        <w:t>小麦单产提高率</w:t>
      </w:r>
      <w:r>
        <w:rPr>
          <w:rFonts w:hint="default" w:ascii="Times New Roman" w:hAnsi="Times New Roman" w:eastAsia="宋体" w:cs="Times New Roman"/>
          <w:b w:val="0"/>
          <w:bCs w:val="0"/>
          <w:color w:val="auto"/>
          <w:kern w:val="2"/>
          <w:sz w:val="21"/>
          <w:szCs w:val="21"/>
          <w:highlight w:val="none"/>
          <w:lang w:val="en-US" w:eastAsia="zh-CN" w:bidi="ar-SA"/>
        </w:rPr>
        <w:t>”“</w:t>
      </w:r>
      <w:r>
        <w:rPr>
          <w:rFonts w:hint="default" w:ascii="Times New Roman" w:hAnsi="Times New Roman" w:eastAsia="宋体" w:cs="Times New Roman"/>
          <w:color w:val="auto"/>
          <w:kern w:val="2"/>
          <w:sz w:val="21"/>
          <w:szCs w:val="21"/>
          <w:highlight w:val="none"/>
          <w:lang w:val="en-US" w:eastAsia="zh-CN"/>
        </w:rPr>
        <w:t>玉米每亩单产提升率</w:t>
      </w:r>
      <w:r>
        <w:rPr>
          <w:rFonts w:hint="default" w:ascii="Times New Roman" w:hAnsi="Times New Roman" w:eastAsia="宋体" w:cs="Times New Roman"/>
          <w:b w:val="0"/>
          <w:bCs w:val="0"/>
          <w:color w:val="auto"/>
          <w:kern w:val="2"/>
          <w:sz w:val="21"/>
          <w:szCs w:val="21"/>
          <w:highlight w:val="none"/>
          <w:lang w:val="en-US" w:eastAsia="zh-CN" w:bidi="ar-SA"/>
        </w:rPr>
        <w:t>”等4个三级指标；</w:t>
      </w:r>
    </w:p>
    <w:p w14:paraId="2E8893F7">
      <w:pPr>
        <w:ind w:firstLine="664"/>
        <w:outlineLvl w:val="9"/>
        <w:rPr>
          <w:rFonts w:hint="default" w:ascii="Times New Roman" w:hAnsi="Times New Roman" w:eastAsia="宋体" w:cs="Times New Roman"/>
          <w:b w:val="0"/>
          <w:bCs w:val="0"/>
          <w:color w:val="auto"/>
          <w:kern w:val="2"/>
          <w:sz w:val="21"/>
          <w:szCs w:val="21"/>
          <w:highlight w:val="none"/>
          <w:lang w:val="en-US" w:eastAsia="zh-CN" w:bidi="ar-SA"/>
        </w:rPr>
      </w:pPr>
      <w:r>
        <w:rPr>
          <w:rFonts w:hint="default" w:ascii="Times New Roman" w:hAnsi="Times New Roman" w:eastAsia="宋体" w:cs="Times New Roman"/>
          <w:b w:val="0"/>
          <w:bCs w:val="0"/>
          <w:color w:val="auto"/>
          <w:kern w:val="2"/>
          <w:sz w:val="21"/>
          <w:szCs w:val="21"/>
          <w:highlight w:val="none"/>
          <w:lang w:val="en-US" w:eastAsia="zh-CN" w:bidi="ar-SA"/>
        </w:rPr>
        <w:t>满意度方面：评价小组选取被评价部门单位职责中最受社会公众关注、关心的农业技术、预警、应用等方面的工作作为满意度指标的设定依据，设定了“</w:t>
      </w:r>
      <w:r>
        <w:rPr>
          <w:rFonts w:hint="default" w:ascii="Times New Roman" w:hAnsi="Times New Roman" w:eastAsia="宋体" w:cs="Times New Roman"/>
          <w:bCs w:val="0"/>
          <w:color w:val="auto"/>
          <w:kern w:val="2"/>
          <w:sz w:val="21"/>
          <w:szCs w:val="21"/>
          <w:highlight w:val="none"/>
          <w:lang w:val="en-US" w:eastAsia="zh-CN"/>
        </w:rPr>
        <w:t>受益农户满意度</w:t>
      </w:r>
      <w:r>
        <w:rPr>
          <w:rFonts w:hint="default" w:ascii="Times New Roman" w:hAnsi="Times New Roman" w:eastAsia="宋体" w:cs="Times New Roman"/>
          <w:b w:val="0"/>
          <w:bCs w:val="0"/>
          <w:color w:val="auto"/>
          <w:kern w:val="2"/>
          <w:sz w:val="21"/>
          <w:szCs w:val="21"/>
          <w:highlight w:val="none"/>
          <w:lang w:val="en-US" w:eastAsia="zh-CN" w:bidi="ar-SA"/>
        </w:rPr>
        <w:t>”1个满意度指标。</w:t>
      </w:r>
    </w:p>
    <w:p w14:paraId="23BE78AB">
      <w:pPr>
        <w:keepNext w:val="0"/>
        <w:keepLines w:val="0"/>
        <w:ind w:firstLine="664"/>
        <w:rPr>
          <w:rFonts w:hint="default" w:ascii="Times New Roman" w:hAnsi="Times New Roman" w:eastAsia="宋体" w:cs="Times New Roman"/>
          <w:b w:val="0"/>
          <w:bCs w:val="0"/>
          <w:color w:val="auto"/>
          <w:kern w:val="2"/>
          <w:sz w:val="21"/>
          <w:szCs w:val="21"/>
          <w:highlight w:val="none"/>
          <w:lang w:val="en-US" w:eastAsia="zh-CN" w:bidi="ar-SA"/>
        </w:rPr>
      </w:pPr>
      <w:r>
        <w:rPr>
          <w:rFonts w:hint="default" w:ascii="Times New Roman" w:hAnsi="Times New Roman" w:eastAsia="宋体" w:cs="Times New Roman"/>
          <w:b w:val="0"/>
          <w:bCs w:val="0"/>
          <w:color w:val="auto"/>
          <w:kern w:val="2"/>
          <w:sz w:val="21"/>
          <w:szCs w:val="21"/>
          <w:highlight w:val="none"/>
          <w:lang w:val="en-US" w:eastAsia="zh-CN" w:bidi="ar-SA"/>
        </w:rPr>
        <w:t>3.绩效评价等级</w:t>
      </w:r>
    </w:p>
    <w:p w14:paraId="2C0F6EED">
      <w:pPr>
        <w:ind w:firstLine="664"/>
        <w:outlineLvl w:val="9"/>
        <w:rPr>
          <w:rFonts w:hint="default" w:ascii="Times New Roman" w:hAnsi="Times New Roman" w:eastAsia="宋体" w:cs="Times New Roman"/>
          <w:b w:val="0"/>
          <w:bCs w:val="0"/>
          <w:color w:val="auto"/>
          <w:kern w:val="2"/>
          <w:sz w:val="21"/>
          <w:szCs w:val="21"/>
          <w:highlight w:val="none"/>
          <w:lang w:val="en-US" w:eastAsia="zh-CN" w:bidi="ar-SA"/>
        </w:rPr>
      </w:pPr>
      <w:r>
        <w:rPr>
          <w:rFonts w:hint="default" w:ascii="Times New Roman" w:hAnsi="Times New Roman" w:eastAsia="宋体" w:cs="Times New Roman"/>
          <w:b w:val="0"/>
          <w:bCs w:val="0"/>
          <w:color w:val="auto"/>
          <w:kern w:val="2"/>
          <w:sz w:val="21"/>
          <w:szCs w:val="21"/>
          <w:highlight w:val="none"/>
          <w:lang w:val="en-US" w:eastAsia="zh-CN" w:bidi="ar-SA"/>
        </w:rPr>
        <w:t>根据相关规定，绩效评价结果采取评分和评级相结合的方式，具体分值和等级可根据不同评价内容设定。总分设置为100.00分，等级划分为四档：90.00（含）-100.00分为优，80.00（含）-90.00分为良，60.00（含）-80.00分为中，60.00分以下为差。</w:t>
      </w:r>
    </w:p>
    <w:bookmarkEnd w:id="41"/>
    <w:p w14:paraId="3395541F">
      <w:pPr>
        <w:pStyle w:val="5"/>
        <w:bidi w:val="0"/>
        <w:rPr>
          <w:rFonts w:hint="default" w:ascii="Times New Roman" w:hAnsi="Times New Roman" w:eastAsia="宋体" w:cs="Times New Roman"/>
          <w:color w:val="auto"/>
          <w:sz w:val="24"/>
          <w:szCs w:val="24"/>
          <w:highlight w:val="none"/>
        </w:rPr>
      </w:pPr>
      <w:bookmarkStart w:id="44" w:name="_Toc6030"/>
      <w:r>
        <w:rPr>
          <w:rFonts w:hint="eastAsia" w:ascii="Times New Roman" w:hAnsi="Times New Roman" w:eastAsia="宋体" w:cs="Times New Roman"/>
          <w:color w:val="auto"/>
          <w:sz w:val="24"/>
          <w:szCs w:val="24"/>
          <w:highlight w:val="none"/>
          <w:lang w:eastAsia="zh-CN"/>
        </w:rPr>
        <w:t>（</w:t>
      </w:r>
      <w:r>
        <w:rPr>
          <w:rFonts w:hint="eastAsia" w:ascii="Times New Roman" w:hAnsi="Times New Roman" w:eastAsia="宋体" w:cs="Times New Roman"/>
          <w:color w:val="auto"/>
          <w:sz w:val="24"/>
          <w:szCs w:val="24"/>
          <w:highlight w:val="none"/>
          <w:lang w:val="en-US" w:eastAsia="zh-CN"/>
        </w:rPr>
        <w:t>五</w:t>
      </w:r>
      <w:r>
        <w:rPr>
          <w:rFonts w:hint="eastAsia"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绩效评价方法</w:t>
      </w:r>
      <w:bookmarkEnd w:id="44"/>
    </w:p>
    <w:p w14:paraId="2C45809B">
      <w:pPr>
        <w:ind w:firstLine="420"/>
        <w:rPr>
          <w:rFonts w:hint="eastAsia" w:ascii="Times New Roman" w:hAnsi="Times New Roman" w:eastAsia="宋体" w:cs="Times New Roman"/>
          <w:color w:val="auto"/>
          <w:highlight w:val="none"/>
        </w:rPr>
      </w:pPr>
      <w:bookmarkStart w:id="45" w:name="_Toc68364663"/>
      <w:r>
        <w:rPr>
          <w:rFonts w:hint="eastAsia" w:ascii="Times New Roman" w:hAnsi="Times New Roman" w:eastAsia="宋体" w:cs="Times New Roman"/>
          <w:color w:val="auto"/>
          <w:highlight w:val="none"/>
        </w:rPr>
        <w:t>正确的评价方法是评价工作顺利开展的保障，在结合实际经验的情况下，绩效评价小组根据该项目资金的性质和特点，选用比较法、因素分析法、公众评判法对项目进行评价，旨在通过综合分析影响绩效目标实现、实施效果的内外部因素，从而评价该项目绩效。根据不同三级指标的类型进行逐项分析。</w:t>
      </w:r>
    </w:p>
    <w:p w14:paraId="5CDD9FBF">
      <w:pPr>
        <w:ind w:firstLine="664"/>
        <w:outlineLvl w:val="9"/>
        <w:rPr>
          <w:rFonts w:hint="default" w:ascii="Times New Roman" w:hAnsi="Times New Roman" w:eastAsia="宋体" w:cs="Times New Roman"/>
          <w:color w:val="auto"/>
          <w:kern w:val="2"/>
          <w:highlight w:val="none"/>
        </w:rPr>
      </w:pPr>
      <w:r>
        <w:rPr>
          <w:rFonts w:hint="default" w:ascii="Times New Roman" w:hAnsi="Times New Roman" w:eastAsia="宋体" w:cs="Times New Roman"/>
          <w:color w:val="auto"/>
          <w:kern w:val="2"/>
          <w:highlight w:val="none"/>
        </w:rPr>
        <w:t>（1）部门决策类指标评价方法</w:t>
      </w:r>
    </w:p>
    <w:p w14:paraId="7AA3CBBB">
      <w:pPr>
        <w:ind w:firstLine="664"/>
        <w:outlineLvl w:val="9"/>
        <w:rPr>
          <w:rFonts w:hint="default" w:ascii="Times New Roman" w:hAnsi="Times New Roman" w:eastAsia="宋体" w:cs="Times New Roman"/>
          <w:color w:val="auto"/>
          <w:kern w:val="2"/>
          <w:highlight w:val="none"/>
        </w:rPr>
      </w:pPr>
      <w:r>
        <w:rPr>
          <w:rFonts w:hint="default" w:ascii="Times New Roman" w:hAnsi="Times New Roman" w:eastAsia="宋体" w:cs="Times New Roman"/>
          <w:color w:val="auto"/>
          <w:kern w:val="2"/>
          <w:highlight w:val="none"/>
        </w:rPr>
        <w:t>中长期规划科学合理性：比较法和文献法，分析部门中长期规划的科学性，以及与</w:t>
      </w:r>
      <w:r>
        <w:rPr>
          <w:rFonts w:hint="default" w:ascii="Times New Roman" w:hAnsi="Times New Roman" w:eastAsia="宋体" w:cs="Times New Roman"/>
          <w:color w:val="auto"/>
          <w:kern w:val="2"/>
          <w:highlight w:val="none"/>
          <w:lang w:val="en-US" w:eastAsia="zh-CN"/>
        </w:rPr>
        <w:t>伊宁县</w:t>
      </w:r>
      <w:r>
        <w:rPr>
          <w:rFonts w:hint="default" w:ascii="Times New Roman" w:hAnsi="Times New Roman" w:eastAsia="宋体" w:cs="Times New Roman"/>
          <w:color w:val="auto"/>
          <w:kern w:val="2"/>
          <w:highlight w:val="none"/>
        </w:rPr>
        <w:t>及上级部门中长期规划的匹配性。</w:t>
      </w:r>
    </w:p>
    <w:p w14:paraId="52068D96">
      <w:pPr>
        <w:ind w:firstLine="664"/>
        <w:outlineLvl w:val="9"/>
        <w:rPr>
          <w:rFonts w:hint="default" w:ascii="Times New Roman" w:hAnsi="Times New Roman" w:eastAsia="宋体" w:cs="Times New Roman"/>
          <w:color w:val="auto"/>
          <w:kern w:val="2"/>
          <w:highlight w:val="none"/>
        </w:rPr>
      </w:pPr>
      <w:r>
        <w:rPr>
          <w:rFonts w:hint="default" w:ascii="Times New Roman" w:hAnsi="Times New Roman" w:eastAsia="宋体" w:cs="Times New Roman"/>
          <w:color w:val="auto"/>
          <w:kern w:val="2"/>
          <w:highlight w:val="none"/>
        </w:rPr>
        <w:t>年度工作计划科学完整性：比较法和文献法，分析年度工作计划的合理性、明确性，与本部门规划及上级部门的适应性。</w:t>
      </w:r>
    </w:p>
    <w:p w14:paraId="200F501A">
      <w:pPr>
        <w:ind w:firstLine="664"/>
        <w:outlineLvl w:val="9"/>
        <w:rPr>
          <w:rFonts w:hint="default" w:ascii="Times New Roman" w:hAnsi="Times New Roman" w:eastAsia="宋体" w:cs="Times New Roman"/>
          <w:color w:val="auto"/>
          <w:kern w:val="2"/>
          <w:highlight w:val="none"/>
        </w:rPr>
      </w:pPr>
      <w:r>
        <w:rPr>
          <w:rFonts w:hint="default" w:ascii="Times New Roman" w:hAnsi="Times New Roman" w:eastAsia="宋体" w:cs="Times New Roman"/>
          <w:color w:val="auto"/>
          <w:kern w:val="2"/>
          <w:highlight w:val="none"/>
        </w:rPr>
        <w:t>绩效目标明确性：比较法和因素分析法，分析是否按要求编报部门整体绩效目标，是否依据充分、内容完整、覆盖全面、符合实际。</w:t>
      </w:r>
    </w:p>
    <w:p w14:paraId="7F6B7043">
      <w:pPr>
        <w:ind w:firstLine="664"/>
        <w:outlineLvl w:val="9"/>
        <w:rPr>
          <w:rFonts w:hint="default" w:ascii="Times New Roman" w:hAnsi="Times New Roman" w:eastAsia="宋体" w:cs="Times New Roman"/>
          <w:color w:val="auto"/>
          <w:kern w:val="2"/>
          <w:highlight w:val="none"/>
        </w:rPr>
      </w:pPr>
      <w:r>
        <w:rPr>
          <w:rFonts w:hint="default" w:ascii="Times New Roman" w:hAnsi="Times New Roman" w:eastAsia="宋体" w:cs="Times New Roman"/>
          <w:color w:val="auto"/>
          <w:kern w:val="2"/>
          <w:highlight w:val="none"/>
        </w:rPr>
        <w:t>绩效目标合理性：比较法和因素分析法，分析设定的绩效指标是否清晰、细化、可量化，用以反映和考核部门（单位）整体绩效目标</w:t>
      </w:r>
      <w:r>
        <w:rPr>
          <w:rFonts w:hint="default" w:ascii="Times New Roman" w:hAnsi="Times New Roman" w:eastAsia="宋体" w:cs="Times New Roman"/>
          <w:color w:val="auto"/>
          <w:kern w:val="2"/>
          <w:highlight w:val="none"/>
          <w:lang w:eastAsia="zh-CN"/>
        </w:rPr>
        <w:t>的</w:t>
      </w:r>
      <w:r>
        <w:rPr>
          <w:rFonts w:hint="default" w:ascii="Times New Roman" w:hAnsi="Times New Roman" w:eastAsia="宋体" w:cs="Times New Roman"/>
          <w:color w:val="auto"/>
          <w:kern w:val="2"/>
          <w:highlight w:val="none"/>
        </w:rPr>
        <w:t>细化情况。</w:t>
      </w:r>
    </w:p>
    <w:p w14:paraId="5AC66571">
      <w:pPr>
        <w:ind w:firstLine="664"/>
        <w:outlineLvl w:val="9"/>
        <w:rPr>
          <w:rFonts w:hint="default" w:ascii="Times New Roman" w:hAnsi="Times New Roman" w:eastAsia="宋体" w:cs="Times New Roman"/>
          <w:color w:val="auto"/>
          <w:kern w:val="2"/>
          <w:highlight w:val="none"/>
        </w:rPr>
      </w:pPr>
      <w:r>
        <w:rPr>
          <w:rFonts w:hint="default" w:ascii="Times New Roman" w:hAnsi="Times New Roman" w:eastAsia="宋体" w:cs="Times New Roman"/>
          <w:color w:val="auto"/>
          <w:kern w:val="2"/>
          <w:highlight w:val="none"/>
        </w:rPr>
        <w:t>预算编制科学规范：比较法和因素分析法，分析年度预算决策程序是否规范。</w:t>
      </w:r>
    </w:p>
    <w:p w14:paraId="49A7CD5D">
      <w:pPr>
        <w:ind w:firstLine="664"/>
        <w:outlineLvl w:val="9"/>
        <w:rPr>
          <w:rFonts w:hint="default" w:ascii="Times New Roman" w:hAnsi="Times New Roman" w:eastAsia="宋体" w:cs="Times New Roman"/>
          <w:color w:val="auto"/>
          <w:kern w:val="2"/>
          <w:highlight w:val="none"/>
        </w:rPr>
      </w:pPr>
      <w:r>
        <w:rPr>
          <w:rFonts w:hint="default" w:ascii="Times New Roman" w:hAnsi="Times New Roman" w:eastAsia="宋体" w:cs="Times New Roman"/>
          <w:color w:val="auto"/>
          <w:kern w:val="2"/>
          <w:highlight w:val="none"/>
        </w:rPr>
        <w:t>预算编制与重点工作任务的匹配性：比较法和因素分析法，分析部门预算安排和工作计划的匹配性，重点工作资金的保障性。</w:t>
      </w:r>
    </w:p>
    <w:p w14:paraId="0A0AB7E0">
      <w:pPr>
        <w:ind w:firstLine="664"/>
        <w:outlineLvl w:val="9"/>
        <w:rPr>
          <w:rFonts w:hint="default" w:ascii="Times New Roman" w:hAnsi="Times New Roman" w:eastAsia="宋体" w:cs="Times New Roman"/>
          <w:color w:val="auto"/>
          <w:kern w:val="2"/>
          <w:highlight w:val="none"/>
        </w:rPr>
      </w:pPr>
      <w:r>
        <w:rPr>
          <w:rFonts w:hint="default" w:ascii="Times New Roman" w:hAnsi="Times New Roman" w:eastAsia="宋体" w:cs="Times New Roman"/>
          <w:color w:val="auto"/>
          <w:kern w:val="2"/>
          <w:highlight w:val="none"/>
        </w:rPr>
        <w:t>（2）部门管理类指标评价方法</w:t>
      </w:r>
    </w:p>
    <w:p w14:paraId="182F42F2">
      <w:pPr>
        <w:ind w:firstLine="664"/>
        <w:outlineLvl w:val="9"/>
        <w:rPr>
          <w:rFonts w:hint="default" w:ascii="Times New Roman" w:hAnsi="Times New Roman" w:eastAsia="宋体" w:cs="Times New Roman"/>
          <w:color w:val="auto"/>
          <w:kern w:val="2"/>
          <w:highlight w:val="none"/>
        </w:rPr>
      </w:pPr>
      <w:r>
        <w:rPr>
          <w:rFonts w:hint="default" w:ascii="Times New Roman" w:hAnsi="Times New Roman" w:eastAsia="宋体" w:cs="Times New Roman"/>
          <w:color w:val="auto"/>
          <w:kern w:val="2"/>
          <w:highlight w:val="none"/>
        </w:rPr>
        <w:t>内控制度健全性：比较法和文献法，分析部门（单位）是否制定了合理、合规的内部控制体系，各项内控制度对其完成主要职责和促进事业发展的保障情况。</w:t>
      </w:r>
    </w:p>
    <w:p w14:paraId="664A8410">
      <w:pPr>
        <w:ind w:firstLine="664"/>
        <w:outlineLvl w:val="9"/>
        <w:rPr>
          <w:rFonts w:hint="default" w:ascii="Times New Roman" w:hAnsi="Times New Roman" w:eastAsia="宋体" w:cs="Times New Roman"/>
          <w:b w:val="0"/>
          <w:bCs w:val="0"/>
          <w:color w:val="auto"/>
          <w:kern w:val="2"/>
          <w:sz w:val="21"/>
          <w:szCs w:val="21"/>
          <w:highlight w:val="none"/>
          <w:lang w:val="en-US" w:eastAsia="zh-CN"/>
        </w:rPr>
      </w:pPr>
      <w:r>
        <w:rPr>
          <w:rFonts w:hint="default" w:ascii="Times New Roman" w:hAnsi="Times New Roman" w:eastAsia="宋体" w:cs="Times New Roman"/>
          <w:b w:val="0"/>
          <w:bCs w:val="0"/>
          <w:color w:val="auto"/>
          <w:kern w:val="2"/>
          <w:sz w:val="21"/>
          <w:szCs w:val="21"/>
          <w:highlight w:val="none"/>
          <w:lang w:val="en-US" w:eastAsia="zh-CN"/>
        </w:rPr>
        <w:t>预算执行率：比较法和因素分析法，考察部门预算执行情况，支出预算完成率=</w:t>
      </w:r>
      <w:r>
        <w:rPr>
          <w:rFonts w:hint="eastAsia" w:ascii="Times New Roman" w:hAnsi="Times New Roman" w:eastAsia="宋体" w:cs="Times New Roman"/>
          <w:b w:val="0"/>
          <w:bCs w:val="0"/>
          <w:color w:val="auto"/>
          <w:kern w:val="2"/>
          <w:sz w:val="21"/>
          <w:szCs w:val="21"/>
          <w:highlight w:val="none"/>
          <w:lang w:val="en-US" w:eastAsia="zh-CN"/>
        </w:rPr>
        <w:t>（</w:t>
      </w:r>
      <w:r>
        <w:rPr>
          <w:rFonts w:hint="default" w:ascii="Times New Roman" w:hAnsi="Times New Roman" w:eastAsia="宋体" w:cs="Times New Roman"/>
          <w:b w:val="0"/>
          <w:bCs w:val="0"/>
          <w:color w:val="auto"/>
          <w:kern w:val="2"/>
          <w:sz w:val="21"/>
          <w:szCs w:val="21"/>
          <w:highlight w:val="none"/>
          <w:lang w:val="en-US" w:eastAsia="zh-CN"/>
        </w:rPr>
        <w:t>支出预算完成数/支出预算下达数</w:t>
      </w:r>
      <w:r>
        <w:rPr>
          <w:rFonts w:hint="eastAsia" w:ascii="Times New Roman" w:hAnsi="Times New Roman" w:eastAsia="宋体" w:cs="Times New Roman"/>
          <w:b w:val="0"/>
          <w:bCs w:val="0"/>
          <w:color w:val="auto"/>
          <w:kern w:val="2"/>
          <w:sz w:val="21"/>
          <w:szCs w:val="21"/>
          <w:highlight w:val="none"/>
          <w:lang w:val="en-US" w:eastAsia="zh-CN"/>
        </w:rPr>
        <w:t>）</w:t>
      </w:r>
      <w:r>
        <w:rPr>
          <w:rFonts w:hint="default" w:ascii="Times New Roman" w:hAnsi="Times New Roman" w:eastAsia="宋体" w:cs="Times New Roman"/>
          <w:b w:val="0"/>
          <w:bCs w:val="0"/>
          <w:color w:val="auto"/>
          <w:kern w:val="2"/>
          <w:sz w:val="21"/>
          <w:szCs w:val="21"/>
          <w:highlight w:val="none"/>
          <w:lang w:val="en-US" w:eastAsia="zh-CN"/>
        </w:rPr>
        <w:t xml:space="preserve"> ×100%支出预算执行数：部门（单位）本年度实际完成的预算支出数支出预算数：财政部门批复的本年度部门（单位）预算支出数。</w:t>
      </w:r>
    </w:p>
    <w:p w14:paraId="5B483EBF">
      <w:pPr>
        <w:ind w:firstLine="664"/>
        <w:outlineLvl w:val="9"/>
        <w:rPr>
          <w:rFonts w:hint="default" w:ascii="Times New Roman" w:hAnsi="Times New Roman" w:eastAsia="宋体" w:cs="Times New Roman"/>
          <w:color w:val="auto"/>
          <w:kern w:val="2"/>
          <w:highlight w:val="none"/>
        </w:rPr>
      </w:pPr>
      <w:r>
        <w:rPr>
          <w:rFonts w:hint="default" w:ascii="Times New Roman" w:hAnsi="Times New Roman" w:eastAsia="宋体" w:cs="Times New Roman"/>
          <w:color w:val="auto"/>
          <w:kern w:val="2"/>
          <w:highlight w:val="none"/>
        </w:rPr>
        <w:t>预算、决算信息公开：比较法，分析预决算信息是否按时按规公开。</w:t>
      </w:r>
    </w:p>
    <w:p w14:paraId="2C0F8A6B">
      <w:pPr>
        <w:ind w:firstLine="664"/>
        <w:outlineLvl w:val="9"/>
        <w:rPr>
          <w:rFonts w:hint="default" w:ascii="Times New Roman" w:hAnsi="Times New Roman" w:eastAsia="宋体" w:cs="Times New Roman"/>
          <w:color w:val="auto"/>
          <w:kern w:val="2"/>
          <w:highlight w:val="none"/>
        </w:rPr>
      </w:pPr>
      <w:r>
        <w:rPr>
          <w:rFonts w:hint="default" w:ascii="Times New Roman" w:hAnsi="Times New Roman" w:eastAsia="宋体" w:cs="Times New Roman"/>
          <w:color w:val="auto"/>
          <w:kern w:val="2"/>
          <w:highlight w:val="none"/>
        </w:rPr>
        <w:t>资金使用合规性：比较法、文献法和因素分析法，考察部门（单位）资金支出规范性，包括资金管理、费用支出等制度是否严格执行；资金调整、调剂是否规范；会计核算是否规范、是否存在支出依据不合规、虚列项目支出的情况；是否存在截留、挤占、挪用项目资</w:t>
      </w:r>
      <w:r>
        <w:rPr>
          <w:rFonts w:hint="default" w:ascii="Times New Roman" w:hAnsi="Times New Roman" w:eastAsia="宋体" w:cs="Times New Roman"/>
          <w:color w:val="auto"/>
          <w:kern w:val="2"/>
          <w:highlight w:val="none"/>
          <w:lang w:eastAsia="zh-CN"/>
        </w:rPr>
        <w:t>金的</w:t>
      </w:r>
      <w:r>
        <w:rPr>
          <w:rFonts w:hint="default" w:ascii="Times New Roman" w:hAnsi="Times New Roman" w:eastAsia="宋体" w:cs="Times New Roman"/>
          <w:color w:val="auto"/>
          <w:kern w:val="2"/>
          <w:highlight w:val="none"/>
        </w:rPr>
        <w:t>情况。</w:t>
      </w:r>
    </w:p>
    <w:p w14:paraId="47155815">
      <w:pPr>
        <w:ind w:firstLine="664"/>
        <w:outlineLvl w:val="9"/>
        <w:rPr>
          <w:rFonts w:hint="default" w:ascii="Times New Roman" w:hAnsi="Times New Roman" w:eastAsia="宋体" w:cs="Times New Roman"/>
          <w:color w:val="auto"/>
          <w:kern w:val="2"/>
          <w:highlight w:val="none"/>
        </w:rPr>
      </w:pPr>
      <w:r>
        <w:rPr>
          <w:rFonts w:hint="default" w:ascii="Times New Roman" w:hAnsi="Times New Roman" w:eastAsia="宋体" w:cs="Times New Roman"/>
          <w:color w:val="auto"/>
          <w:kern w:val="2"/>
          <w:highlight w:val="none"/>
        </w:rPr>
        <w:t>政府采购招投标信息公开及时：比较法、文献法和因素分析法，考察是否建立健全责任明确的工作机制、简便顺畅的操作流程和集中统一的发布渠道，是否确保政府采购信息发布的及时、完整、准确，实现政府采购信息的全流程公开透明。</w:t>
      </w:r>
    </w:p>
    <w:p w14:paraId="167510EB">
      <w:pPr>
        <w:ind w:firstLine="664"/>
        <w:outlineLvl w:val="9"/>
        <w:rPr>
          <w:rFonts w:hint="default" w:ascii="Times New Roman" w:hAnsi="Times New Roman" w:eastAsia="宋体" w:cs="Times New Roman"/>
          <w:color w:val="auto"/>
          <w:kern w:val="2"/>
          <w:highlight w:val="none"/>
          <w:lang w:eastAsia="zh-CN"/>
        </w:rPr>
      </w:pPr>
      <w:r>
        <w:rPr>
          <w:rFonts w:hint="default" w:ascii="Times New Roman" w:hAnsi="Times New Roman" w:eastAsia="宋体" w:cs="Times New Roman"/>
          <w:color w:val="auto"/>
          <w:kern w:val="2"/>
          <w:highlight w:val="none"/>
        </w:rPr>
        <w:t>资产管理合规性：比较法、因素分析法、文献法：检查单位资产管理情况、资产的入账、调拨、处置、报废等资料，判断部门资产管理是否按照部门资产管理制度合规进行。</w:t>
      </w:r>
    </w:p>
    <w:p w14:paraId="27ED554A">
      <w:pPr>
        <w:ind w:firstLine="664"/>
        <w:outlineLvl w:val="9"/>
        <w:rPr>
          <w:rFonts w:hint="default" w:ascii="Times New Roman" w:hAnsi="Times New Roman" w:eastAsia="宋体" w:cs="Times New Roman"/>
          <w:color w:val="auto"/>
          <w:kern w:val="2"/>
          <w:highlight w:val="none"/>
        </w:rPr>
      </w:pPr>
      <w:r>
        <w:rPr>
          <w:rFonts w:hint="default" w:ascii="Times New Roman" w:hAnsi="Times New Roman" w:eastAsia="宋体" w:cs="Times New Roman"/>
          <w:color w:val="auto"/>
          <w:kern w:val="2"/>
          <w:highlight w:val="none"/>
        </w:rPr>
        <w:t>固定资产利用率：比较法、因素分析法：检查单位资产管理</w:t>
      </w:r>
      <w:r>
        <w:rPr>
          <w:rFonts w:hint="default" w:ascii="Times New Roman" w:hAnsi="Times New Roman" w:eastAsia="宋体" w:cs="Times New Roman"/>
          <w:color w:val="auto"/>
          <w:kern w:val="2"/>
          <w:highlight w:val="none"/>
          <w:lang w:val="en-US" w:eastAsia="zh-CN"/>
        </w:rPr>
        <w:t>及使用</w:t>
      </w:r>
      <w:r>
        <w:rPr>
          <w:rFonts w:hint="default" w:ascii="Times New Roman" w:hAnsi="Times New Roman" w:eastAsia="宋体" w:cs="Times New Roman"/>
          <w:color w:val="auto"/>
          <w:kern w:val="2"/>
          <w:highlight w:val="none"/>
        </w:rPr>
        <w:t>情况，判断部门</w:t>
      </w:r>
      <w:r>
        <w:rPr>
          <w:rFonts w:hint="default" w:ascii="Times New Roman" w:hAnsi="Times New Roman" w:eastAsia="宋体" w:cs="Times New Roman"/>
          <w:color w:val="auto"/>
          <w:kern w:val="2"/>
          <w:highlight w:val="none"/>
          <w:lang w:val="en-US" w:eastAsia="zh-CN"/>
        </w:rPr>
        <w:t>固定 资产是否得到有效利用，固定资产利用率大于或等于95.00%得满分；小于或等于85.00%，得0.00分；85.00%-95.00%之间的，用公式计算，得分=（部门单位固定资产利用率-85.00%）/（95.00%-85.00%）×该指标分值，扣完为止</w:t>
      </w:r>
      <w:r>
        <w:rPr>
          <w:rFonts w:hint="default" w:ascii="Times New Roman" w:hAnsi="Times New Roman" w:eastAsia="宋体" w:cs="Times New Roman"/>
          <w:color w:val="auto"/>
          <w:kern w:val="2"/>
          <w:highlight w:val="none"/>
        </w:rPr>
        <w:t>。</w:t>
      </w:r>
    </w:p>
    <w:p w14:paraId="75A30458">
      <w:pPr>
        <w:ind w:firstLine="664"/>
        <w:outlineLvl w:val="9"/>
        <w:rPr>
          <w:rFonts w:hint="default" w:ascii="Times New Roman" w:hAnsi="Times New Roman" w:eastAsia="宋体" w:cs="Times New Roman"/>
          <w:color w:val="auto"/>
          <w:kern w:val="2"/>
          <w:highlight w:val="none"/>
          <w:lang w:val="en-US" w:eastAsia="zh-CN"/>
        </w:rPr>
      </w:pPr>
      <w:r>
        <w:rPr>
          <w:rFonts w:hint="default" w:ascii="Times New Roman" w:hAnsi="Times New Roman" w:eastAsia="宋体" w:cs="Times New Roman"/>
          <w:color w:val="auto"/>
          <w:kern w:val="2"/>
          <w:highlight w:val="none"/>
          <w:lang w:val="en-US" w:eastAsia="zh-CN"/>
        </w:rPr>
        <w:t>项目绩效达标率：比较法、因素分析法，考察项目绩效达标情况，项目绩效达标率=项目绩效自评平均分×100.00%，项目绩效达标率大于等于90.00%，得满分；项目绩效达标率大于等于80.00%，小于90</w:t>
      </w:r>
      <w:r>
        <w:rPr>
          <w:rFonts w:hint="eastAsia" w:ascii="Times New Roman" w:hAnsi="Times New Roman" w:eastAsia="宋体" w:cs="Times New Roman"/>
          <w:color w:val="auto"/>
          <w:kern w:val="2"/>
          <w:highlight w:val="none"/>
          <w:lang w:val="en-US" w:eastAsia="zh-CN"/>
        </w:rPr>
        <w:t>.00</w:t>
      </w:r>
      <w:r>
        <w:rPr>
          <w:rFonts w:hint="default" w:ascii="Times New Roman" w:hAnsi="Times New Roman" w:eastAsia="宋体" w:cs="Times New Roman"/>
          <w:color w:val="auto"/>
          <w:kern w:val="2"/>
          <w:highlight w:val="none"/>
          <w:lang w:val="en-US" w:eastAsia="zh-CN"/>
        </w:rPr>
        <w:t>%，得2.00分；项目绩效达标率大于等于60.00%，小于80.000%，得1.00分，项目绩效达标率低于60.00%，得0.00分。注：若根据项目绩效自评印证材料发现存在自评不真实，无法印证自评结果的情况，该指标不得分。</w:t>
      </w:r>
    </w:p>
    <w:p w14:paraId="0AA352AF">
      <w:pPr>
        <w:ind w:firstLine="664"/>
        <w:outlineLvl w:val="9"/>
        <w:rPr>
          <w:rFonts w:hint="default" w:ascii="Times New Roman" w:hAnsi="Times New Roman" w:eastAsia="宋体" w:cs="Times New Roman"/>
          <w:color w:val="auto"/>
          <w:kern w:val="2"/>
          <w:highlight w:val="none"/>
          <w:lang w:val="en-US" w:eastAsia="zh-CN"/>
        </w:rPr>
      </w:pPr>
      <w:r>
        <w:rPr>
          <w:rFonts w:hint="default" w:ascii="Times New Roman" w:hAnsi="Times New Roman" w:eastAsia="宋体" w:cs="Times New Roman"/>
          <w:color w:val="auto"/>
          <w:kern w:val="2"/>
          <w:highlight w:val="none"/>
          <w:lang w:val="en-US" w:eastAsia="zh-CN"/>
        </w:rPr>
        <w:t>项目支出预算调整率：比较法、因素分析法，考察项目支出预算调整情况，项目支出预算调整率=（项目预算调整数/项目预算数）×100.00%；预算数：部门在本年度内涉及预算的追加、追减或结构调整的项目资金总和。预算调整率在±10.00%以内，得3.00分，每增减1.00%扣0.10分，扣完为止。</w:t>
      </w:r>
    </w:p>
    <w:p w14:paraId="10037E59">
      <w:pPr>
        <w:ind w:firstLine="664"/>
        <w:outlineLvl w:val="9"/>
        <w:rPr>
          <w:rFonts w:hint="default" w:ascii="Times New Roman" w:hAnsi="Times New Roman" w:eastAsia="宋体" w:cs="Times New Roman"/>
          <w:color w:val="auto"/>
          <w:kern w:val="2"/>
          <w:highlight w:val="none"/>
        </w:rPr>
      </w:pPr>
      <w:r>
        <w:rPr>
          <w:rFonts w:hint="default" w:ascii="Times New Roman" w:hAnsi="Times New Roman" w:eastAsia="宋体" w:cs="Times New Roman"/>
          <w:color w:val="auto"/>
          <w:kern w:val="2"/>
          <w:highlight w:val="none"/>
        </w:rPr>
        <w:t>（3）部门绩效类指标评价方法</w:t>
      </w:r>
    </w:p>
    <w:p w14:paraId="004EEADA">
      <w:pPr>
        <w:ind w:firstLine="664"/>
        <w:outlineLvl w:val="9"/>
        <w:rPr>
          <w:rFonts w:hint="default" w:ascii="Times New Roman" w:hAnsi="Times New Roman" w:eastAsia="宋体" w:cs="Times New Roman"/>
          <w:color w:val="auto"/>
          <w:kern w:val="2"/>
          <w:highlight w:val="none"/>
        </w:rPr>
      </w:pPr>
      <w:r>
        <w:rPr>
          <w:rFonts w:hint="default" w:ascii="Times New Roman" w:hAnsi="Times New Roman" w:eastAsia="宋体" w:cs="Times New Roman"/>
          <w:color w:val="auto"/>
          <w:kern w:val="2"/>
          <w:highlight w:val="none"/>
        </w:rPr>
        <w:t>本次绩效评价部门效益类指标下的三级指标均为量化指标主要采用因素分析法、标杆管理法和比较法，对比三级指标预期指标值和三级指标截至评价日的完成情况，综合分析绩效目标实现程度。详细评价方法的应用如下：</w:t>
      </w:r>
    </w:p>
    <w:p w14:paraId="1C3DB20C">
      <w:pPr>
        <w:ind w:firstLine="664"/>
        <w:outlineLvl w:val="9"/>
        <w:rPr>
          <w:rFonts w:hint="default" w:ascii="Times New Roman" w:hAnsi="Times New Roman" w:eastAsia="宋体" w:cs="Times New Roman"/>
          <w:color w:val="auto"/>
          <w:kern w:val="2"/>
          <w:highlight w:val="none"/>
        </w:rPr>
      </w:pPr>
      <w:r>
        <w:rPr>
          <w:rFonts w:hint="default" w:ascii="Times New Roman" w:hAnsi="Times New Roman" w:eastAsia="宋体" w:cs="Times New Roman"/>
          <w:color w:val="auto"/>
          <w:kern w:val="2"/>
          <w:highlight w:val="none"/>
        </w:rPr>
        <w:t>①一般量化统计类等定量指标：通过对比实际完成值和预期指标值和历史值对比分析，并以国内同行业中较高的绩效水平为标杆进行评判，达成预期指标值的，记该指标所赋全部分值；对完成值高于指标值较多的，要分析原因，如果是由于年初指标值设定明显偏低造成的，要按照偏离度适度调减分值；未完成指标值的，按照完成值与指标值的比值计算分值。</w:t>
      </w:r>
    </w:p>
    <w:p w14:paraId="700633DF">
      <w:pPr>
        <w:ind w:firstLine="664"/>
        <w:outlineLvl w:val="9"/>
        <w:rPr>
          <w:rFonts w:hint="eastAsia" w:ascii="Times New Roman" w:hAnsi="Times New Roman" w:eastAsia="宋体" w:cs="Times New Roman"/>
          <w:color w:val="auto"/>
          <w:highlight w:val="none"/>
        </w:rPr>
      </w:pPr>
      <w:r>
        <w:rPr>
          <w:rFonts w:hint="default" w:ascii="Times New Roman" w:hAnsi="Times New Roman" w:eastAsia="宋体" w:cs="Times New Roman"/>
          <w:color w:val="auto"/>
          <w:kern w:val="2"/>
          <w:highlight w:val="none"/>
        </w:rPr>
        <w:t>②满意度指标：通过专家评估、公众问卷及抽样调查等方式了解社会对</w:t>
      </w:r>
      <w:r>
        <w:rPr>
          <w:rFonts w:hint="default" w:ascii="Times New Roman" w:hAnsi="Times New Roman" w:eastAsia="宋体" w:cs="Times New Roman"/>
          <w:bCs w:val="0"/>
          <w:color w:val="auto"/>
          <w:kern w:val="2"/>
          <w:highlight w:val="none"/>
          <w:lang w:eastAsia="zh-CN"/>
        </w:rPr>
        <w:t>伊宁县农技推广中心</w:t>
      </w:r>
      <w:r>
        <w:rPr>
          <w:rFonts w:hint="default" w:ascii="Times New Roman" w:hAnsi="Times New Roman" w:eastAsia="宋体" w:cs="Times New Roman"/>
          <w:color w:val="auto"/>
          <w:kern w:val="2"/>
          <w:highlight w:val="none"/>
        </w:rPr>
        <w:t>部门整体工作成果的满意程度，并对调查数据的趋势进行分析评价。</w:t>
      </w:r>
    </w:p>
    <w:p w14:paraId="3D3D4301">
      <w:pPr>
        <w:pStyle w:val="5"/>
        <w:ind w:firstLine="640"/>
        <w:rPr>
          <w:rFonts w:hint="default" w:ascii="Times New Roman" w:hAnsi="Times New Roman" w:eastAsia="宋体" w:cs="Times New Roman"/>
          <w:bCs w:val="0"/>
          <w:color w:val="auto"/>
          <w:highlight w:val="none"/>
        </w:rPr>
      </w:pPr>
      <w:bookmarkStart w:id="46" w:name="_Toc1104"/>
      <w:r>
        <w:rPr>
          <w:rFonts w:hint="default" w:ascii="Times New Roman" w:hAnsi="Times New Roman" w:eastAsia="宋体" w:cs="Times New Roman"/>
          <w:bCs w:val="0"/>
          <w:color w:val="auto"/>
          <w:highlight w:val="none"/>
        </w:rPr>
        <w:t>（</w:t>
      </w:r>
      <w:r>
        <w:rPr>
          <w:rFonts w:hint="eastAsia" w:ascii="Times New Roman" w:hAnsi="Times New Roman" w:eastAsia="宋体" w:cs="Times New Roman"/>
          <w:bCs w:val="0"/>
          <w:color w:val="auto"/>
          <w:highlight w:val="none"/>
          <w:lang w:val="en-US" w:eastAsia="zh-CN"/>
        </w:rPr>
        <w:t>六</w:t>
      </w:r>
      <w:r>
        <w:rPr>
          <w:rFonts w:hint="default" w:ascii="Times New Roman" w:hAnsi="Times New Roman" w:eastAsia="宋体" w:cs="Times New Roman"/>
          <w:bCs w:val="0"/>
          <w:color w:val="auto"/>
          <w:highlight w:val="none"/>
        </w:rPr>
        <w:t>）绩效评价过程</w:t>
      </w:r>
      <w:bookmarkEnd w:id="45"/>
      <w:bookmarkEnd w:id="46"/>
    </w:p>
    <w:p w14:paraId="6F80F9F2">
      <w:pPr>
        <w:bidi w:val="0"/>
        <w:ind w:firstLine="664"/>
        <w:outlineLvl w:val="9"/>
        <w:rPr>
          <w:rFonts w:hint="default" w:ascii="Times New Roman" w:hAnsi="Times New Roman" w:eastAsia="宋体" w:cs="Times New Roman"/>
          <w:color w:val="auto"/>
          <w:kern w:val="2"/>
          <w:highlight w:val="none"/>
          <w:lang w:eastAsia="zh-CN"/>
        </w:rPr>
      </w:pPr>
      <w:r>
        <w:rPr>
          <w:rFonts w:hint="default" w:ascii="Times New Roman" w:hAnsi="Times New Roman" w:eastAsia="宋体" w:cs="Times New Roman"/>
          <w:color w:val="auto"/>
          <w:kern w:val="2"/>
          <w:highlight w:val="none"/>
          <w:lang w:val="en-US" w:eastAsia="zh-CN"/>
        </w:rPr>
        <w:t>我们接受委托，</w:t>
      </w:r>
      <w:r>
        <w:rPr>
          <w:rFonts w:hint="default" w:ascii="Times New Roman" w:hAnsi="Times New Roman" w:eastAsia="宋体" w:cs="Times New Roman"/>
          <w:color w:val="auto"/>
          <w:kern w:val="2"/>
          <w:highlight w:val="none"/>
          <w:lang w:eastAsia="zh-CN"/>
        </w:rPr>
        <w:t>按</w:t>
      </w:r>
      <w:r>
        <w:rPr>
          <w:rFonts w:hint="default" w:ascii="Times New Roman" w:hAnsi="Times New Roman" w:eastAsia="宋体" w:cs="Times New Roman"/>
          <w:color w:val="auto"/>
          <w:kern w:val="2"/>
          <w:highlight w:val="none"/>
          <w:lang w:val="en-US" w:eastAsia="zh-CN"/>
        </w:rPr>
        <w:t>规定开展了前期准备</w:t>
      </w:r>
      <w:r>
        <w:rPr>
          <w:rFonts w:hint="default" w:ascii="Times New Roman" w:hAnsi="Times New Roman" w:eastAsia="宋体" w:cs="Times New Roman"/>
          <w:color w:val="auto"/>
          <w:kern w:val="2"/>
          <w:highlight w:val="none"/>
          <w:lang w:eastAsia="zh-CN"/>
        </w:rPr>
        <w:t>、制定</w:t>
      </w:r>
      <w:r>
        <w:rPr>
          <w:rFonts w:hint="default" w:ascii="Times New Roman" w:hAnsi="Times New Roman" w:eastAsia="宋体" w:cs="Times New Roman"/>
          <w:color w:val="auto"/>
          <w:kern w:val="2"/>
          <w:highlight w:val="none"/>
          <w:lang w:val="en-US" w:eastAsia="zh-CN"/>
        </w:rPr>
        <w:t>绩效</w:t>
      </w:r>
      <w:r>
        <w:rPr>
          <w:rFonts w:hint="default" w:ascii="Times New Roman" w:hAnsi="Times New Roman" w:eastAsia="宋体" w:cs="Times New Roman"/>
          <w:color w:val="auto"/>
          <w:kern w:val="2"/>
          <w:highlight w:val="none"/>
          <w:lang w:eastAsia="zh-CN"/>
        </w:rPr>
        <w:t>评价工作方案</w:t>
      </w:r>
      <w:r>
        <w:rPr>
          <w:rFonts w:hint="default" w:ascii="Times New Roman" w:hAnsi="Times New Roman" w:eastAsia="宋体" w:cs="Times New Roman"/>
          <w:color w:val="auto"/>
          <w:kern w:val="2"/>
          <w:highlight w:val="none"/>
          <w:lang w:val="en-US" w:eastAsia="zh-CN"/>
        </w:rPr>
        <w:t>、</w:t>
      </w:r>
      <w:r>
        <w:rPr>
          <w:rFonts w:hint="default" w:ascii="Times New Roman" w:hAnsi="Times New Roman" w:eastAsia="宋体" w:cs="Times New Roman"/>
          <w:color w:val="auto"/>
          <w:kern w:val="2"/>
          <w:highlight w:val="none"/>
          <w:lang w:eastAsia="zh-CN"/>
        </w:rPr>
        <w:t>组织实施、报告撰写</w:t>
      </w:r>
      <w:r>
        <w:rPr>
          <w:rFonts w:hint="default" w:ascii="Times New Roman" w:hAnsi="Times New Roman" w:eastAsia="宋体" w:cs="Times New Roman"/>
          <w:color w:val="auto"/>
          <w:kern w:val="2"/>
          <w:highlight w:val="none"/>
          <w:lang w:val="en-US" w:eastAsia="zh-CN"/>
        </w:rPr>
        <w:t>等绩效评价工作程序</w:t>
      </w:r>
      <w:r>
        <w:rPr>
          <w:rFonts w:hint="default" w:ascii="Times New Roman" w:hAnsi="Times New Roman" w:eastAsia="宋体" w:cs="Times New Roman"/>
          <w:color w:val="auto"/>
          <w:kern w:val="2"/>
          <w:highlight w:val="none"/>
          <w:lang w:eastAsia="zh-CN"/>
        </w:rPr>
        <w:t>。绩效评价从202</w:t>
      </w:r>
      <w:r>
        <w:rPr>
          <w:rFonts w:hint="default" w:ascii="Times New Roman" w:hAnsi="Times New Roman" w:eastAsia="宋体" w:cs="Times New Roman"/>
          <w:color w:val="auto"/>
          <w:kern w:val="2"/>
          <w:highlight w:val="none"/>
          <w:lang w:val="en-US" w:eastAsia="zh-CN"/>
        </w:rPr>
        <w:t>5</w:t>
      </w:r>
      <w:r>
        <w:rPr>
          <w:rFonts w:hint="default" w:ascii="Times New Roman" w:hAnsi="Times New Roman" w:eastAsia="宋体" w:cs="Times New Roman"/>
          <w:color w:val="auto"/>
          <w:kern w:val="2"/>
          <w:highlight w:val="none"/>
          <w:lang w:eastAsia="zh-CN"/>
        </w:rPr>
        <w:t>年</w:t>
      </w:r>
      <w:r>
        <w:rPr>
          <w:rFonts w:hint="default" w:ascii="Times New Roman" w:hAnsi="Times New Roman" w:eastAsia="宋体" w:cs="Times New Roman"/>
          <w:color w:val="auto"/>
          <w:kern w:val="2"/>
          <w:highlight w:val="none"/>
          <w:lang w:val="en-US" w:eastAsia="zh-CN"/>
        </w:rPr>
        <w:t>7</w:t>
      </w:r>
      <w:r>
        <w:rPr>
          <w:rFonts w:hint="default" w:ascii="Times New Roman" w:hAnsi="Times New Roman" w:eastAsia="宋体" w:cs="Times New Roman"/>
          <w:color w:val="auto"/>
          <w:kern w:val="2"/>
          <w:highlight w:val="none"/>
          <w:lang w:eastAsia="zh-CN"/>
        </w:rPr>
        <w:t>月</w:t>
      </w:r>
      <w:r>
        <w:rPr>
          <w:rFonts w:hint="default" w:ascii="Times New Roman" w:hAnsi="Times New Roman" w:eastAsia="宋体" w:cs="Times New Roman"/>
          <w:color w:val="auto"/>
          <w:kern w:val="2"/>
          <w:highlight w:val="none"/>
          <w:lang w:val="en-US" w:eastAsia="zh-CN"/>
        </w:rPr>
        <w:t>1</w:t>
      </w:r>
      <w:r>
        <w:rPr>
          <w:rFonts w:hint="default" w:ascii="Times New Roman" w:hAnsi="Times New Roman" w:eastAsia="宋体" w:cs="Times New Roman"/>
          <w:color w:val="auto"/>
          <w:kern w:val="2"/>
          <w:highlight w:val="none"/>
          <w:lang w:eastAsia="zh-CN"/>
        </w:rPr>
        <w:t>日启动，</w:t>
      </w:r>
      <w:r>
        <w:rPr>
          <w:rFonts w:hint="default" w:ascii="Times New Roman" w:hAnsi="Times New Roman" w:eastAsia="宋体" w:cs="Times New Roman"/>
          <w:color w:val="auto"/>
          <w:kern w:val="2"/>
          <w:highlight w:val="none"/>
          <w:lang w:val="en-US" w:eastAsia="zh-CN"/>
        </w:rPr>
        <w:t>在</w:t>
      </w:r>
      <w:r>
        <w:rPr>
          <w:rFonts w:hint="default" w:ascii="Times New Roman" w:hAnsi="Times New Roman" w:eastAsia="宋体" w:cs="Times New Roman"/>
          <w:color w:val="auto"/>
          <w:kern w:val="2"/>
          <w:highlight w:val="none"/>
          <w:lang w:eastAsia="zh-CN"/>
        </w:rPr>
        <w:t>各方有效配合</w:t>
      </w:r>
      <w:r>
        <w:rPr>
          <w:rFonts w:hint="default" w:ascii="Times New Roman" w:hAnsi="Times New Roman" w:eastAsia="宋体" w:cs="Times New Roman"/>
          <w:color w:val="auto"/>
          <w:kern w:val="2"/>
          <w:highlight w:val="none"/>
          <w:lang w:val="en-US" w:eastAsia="zh-CN"/>
        </w:rPr>
        <w:t>下</w:t>
      </w:r>
      <w:r>
        <w:rPr>
          <w:rFonts w:hint="default" w:ascii="Times New Roman" w:hAnsi="Times New Roman" w:eastAsia="宋体" w:cs="Times New Roman"/>
          <w:color w:val="auto"/>
          <w:kern w:val="2"/>
          <w:highlight w:val="none"/>
          <w:lang w:eastAsia="zh-CN"/>
        </w:rPr>
        <w:t>，评价工作于202</w:t>
      </w:r>
      <w:r>
        <w:rPr>
          <w:rFonts w:hint="default" w:ascii="Times New Roman" w:hAnsi="Times New Roman" w:eastAsia="宋体" w:cs="Times New Roman"/>
          <w:color w:val="auto"/>
          <w:kern w:val="2"/>
          <w:highlight w:val="none"/>
          <w:lang w:val="en-US" w:eastAsia="zh-CN"/>
        </w:rPr>
        <w:t>5</w:t>
      </w:r>
      <w:r>
        <w:rPr>
          <w:rFonts w:hint="default" w:ascii="Times New Roman" w:hAnsi="Times New Roman" w:eastAsia="宋体" w:cs="Times New Roman"/>
          <w:color w:val="auto"/>
          <w:kern w:val="2"/>
          <w:highlight w:val="none"/>
          <w:lang w:eastAsia="zh-CN"/>
        </w:rPr>
        <w:t>年</w:t>
      </w:r>
      <w:r>
        <w:rPr>
          <w:rFonts w:hint="default" w:ascii="Times New Roman" w:hAnsi="Times New Roman" w:eastAsia="宋体" w:cs="Times New Roman"/>
          <w:color w:val="auto"/>
          <w:kern w:val="2"/>
          <w:highlight w:val="none"/>
          <w:lang w:val="en-US" w:eastAsia="zh-CN"/>
        </w:rPr>
        <w:t>7</w:t>
      </w:r>
      <w:r>
        <w:rPr>
          <w:rFonts w:hint="default" w:ascii="Times New Roman" w:hAnsi="Times New Roman" w:eastAsia="宋体" w:cs="Times New Roman"/>
          <w:color w:val="auto"/>
          <w:kern w:val="2"/>
          <w:highlight w:val="none"/>
          <w:lang w:eastAsia="zh-CN"/>
        </w:rPr>
        <w:t>月</w:t>
      </w:r>
      <w:r>
        <w:rPr>
          <w:rFonts w:hint="default" w:ascii="Times New Roman" w:hAnsi="Times New Roman" w:eastAsia="宋体" w:cs="Times New Roman"/>
          <w:color w:val="auto"/>
          <w:kern w:val="2"/>
          <w:highlight w:val="none"/>
          <w:lang w:val="en-US" w:eastAsia="zh-CN"/>
        </w:rPr>
        <w:t>28</w:t>
      </w:r>
      <w:r>
        <w:rPr>
          <w:rFonts w:hint="default" w:ascii="Times New Roman" w:hAnsi="Times New Roman" w:eastAsia="宋体" w:cs="Times New Roman"/>
          <w:color w:val="auto"/>
          <w:kern w:val="2"/>
          <w:highlight w:val="none"/>
          <w:lang w:eastAsia="zh-CN"/>
        </w:rPr>
        <w:t>日前完成。</w:t>
      </w:r>
      <w:r>
        <w:rPr>
          <w:rFonts w:hint="default" w:ascii="Times New Roman" w:hAnsi="Times New Roman" w:eastAsia="宋体" w:cs="Times New Roman"/>
          <w:color w:val="auto"/>
          <w:kern w:val="2"/>
          <w:highlight w:val="none"/>
          <w:lang w:val="en-US" w:eastAsia="zh-CN"/>
        </w:rPr>
        <w:t>主要</w:t>
      </w:r>
      <w:r>
        <w:rPr>
          <w:rFonts w:hint="default" w:ascii="Times New Roman" w:hAnsi="Times New Roman" w:eastAsia="宋体" w:cs="Times New Roman"/>
          <w:color w:val="auto"/>
          <w:kern w:val="2"/>
          <w:highlight w:val="none"/>
          <w:lang w:eastAsia="zh-CN"/>
        </w:rPr>
        <w:t>实施</w:t>
      </w:r>
      <w:r>
        <w:rPr>
          <w:rFonts w:hint="default" w:ascii="Times New Roman" w:hAnsi="Times New Roman" w:eastAsia="宋体" w:cs="Times New Roman"/>
          <w:color w:val="auto"/>
          <w:kern w:val="2"/>
          <w:highlight w:val="none"/>
          <w:lang w:val="en-US" w:eastAsia="zh-CN"/>
        </w:rPr>
        <w:t>过程</w:t>
      </w:r>
      <w:r>
        <w:rPr>
          <w:rFonts w:hint="default" w:ascii="Times New Roman" w:hAnsi="Times New Roman" w:eastAsia="宋体" w:cs="Times New Roman"/>
          <w:color w:val="auto"/>
          <w:kern w:val="2"/>
          <w:highlight w:val="none"/>
          <w:lang w:eastAsia="zh-CN"/>
        </w:rPr>
        <w:t>如下：</w:t>
      </w:r>
    </w:p>
    <w:p w14:paraId="67F47483">
      <w:pPr>
        <w:ind w:firstLine="664"/>
        <w:outlineLvl w:val="9"/>
        <w:rPr>
          <w:rFonts w:hint="default" w:ascii="Times New Roman" w:hAnsi="Times New Roman" w:eastAsia="宋体" w:cs="Times New Roman"/>
          <w:b w:val="0"/>
          <w:bCs w:val="0"/>
          <w:color w:val="auto"/>
          <w:kern w:val="2"/>
          <w:highlight w:val="none"/>
        </w:rPr>
      </w:pPr>
      <w:r>
        <w:rPr>
          <w:rFonts w:hint="default" w:ascii="Times New Roman" w:hAnsi="Times New Roman" w:eastAsia="宋体" w:cs="Times New Roman"/>
          <w:bCs w:val="0"/>
          <w:color w:val="auto"/>
          <w:kern w:val="2"/>
          <w:highlight w:val="none"/>
          <w:lang w:eastAsia="zh-CN"/>
        </w:rPr>
        <w:t>（</w:t>
      </w:r>
      <w:r>
        <w:rPr>
          <w:rFonts w:hint="default" w:ascii="Times New Roman" w:hAnsi="Times New Roman" w:eastAsia="宋体" w:cs="Times New Roman"/>
          <w:bCs w:val="0"/>
          <w:color w:val="auto"/>
          <w:kern w:val="2"/>
          <w:highlight w:val="none"/>
          <w:lang w:val="en-US" w:eastAsia="zh-CN"/>
        </w:rPr>
        <w:t>1</w:t>
      </w:r>
      <w:r>
        <w:rPr>
          <w:rFonts w:hint="default" w:ascii="Times New Roman" w:hAnsi="Times New Roman" w:eastAsia="宋体" w:cs="Times New Roman"/>
          <w:bCs w:val="0"/>
          <w:color w:val="auto"/>
          <w:kern w:val="2"/>
          <w:highlight w:val="none"/>
          <w:lang w:eastAsia="zh-CN"/>
        </w:rPr>
        <w:t>）</w:t>
      </w:r>
      <w:r>
        <w:rPr>
          <w:rFonts w:hint="default" w:ascii="Times New Roman" w:hAnsi="Times New Roman" w:eastAsia="宋体" w:cs="Times New Roman"/>
          <w:bCs w:val="0"/>
          <w:color w:val="auto"/>
          <w:kern w:val="2"/>
          <w:highlight w:val="none"/>
        </w:rPr>
        <w:t>根据项目实际情况，确定绩效评价目的、对象和范围、评价期限</w:t>
      </w:r>
      <w:r>
        <w:rPr>
          <w:rFonts w:hint="default" w:ascii="Times New Roman" w:hAnsi="Times New Roman" w:eastAsia="宋体" w:cs="Times New Roman"/>
          <w:b w:val="0"/>
          <w:bCs w:val="0"/>
          <w:color w:val="auto"/>
          <w:kern w:val="2"/>
          <w:highlight w:val="none"/>
        </w:rPr>
        <w:t>，拟定评价工作方案，与委托人签订绩效评价服务合同。</w:t>
      </w:r>
    </w:p>
    <w:p w14:paraId="2A98D964">
      <w:pPr>
        <w:ind w:firstLine="664"/>
        <w:outlineLvl w:val="9"/>
        <w:rPr>
          <w:rFonts w:hint="eastAsia" w:ascii="Times New Roman" w:hAnsi="Times New Roman" w:eastAsia="宋体" w:cs="Times New Roman"/>
          <w:color w:val="auto"/>
          <w:highlight w:val="none"/>
        </w:rPr>
      </w:pPr>
      <w:r>
        <w:rPr>
          <w:rFonts w:hint="default" w:ascii="Times New Roman" w:hAnsi="Times New Roman" w:eastAsia="宋体" w:cs="Times New Roman"/>
          <w:b w:val="0"/>
          <w:bCs w:val="0"/>
          <w:color w:val="auto"/>
          <w:kern w:val="2"/>
          <w:highlight w:val="none"/>
          <w:lang w:eastAsia="zh-CN"/>
        </w:rPr>
        <w:t>（</w:t>
      </w:r>
      <w:r>
        <w:rPr>
          <w:rFonts w:hint="default" w:ascii="Times New Roman" w:hAnsi="Times New Roman" w:eastAsia="宋体" w:cs="Times New Roman"/>
          <w:b w:val="0"/>
          <w:bCs w:val="0"/>
          <w:color w:val="auto"/>
          <w:kern w:val="2"/>
          <w:highlight w:val="none"/>
          <w:lang w:val="en-US" w:eastAsia="zh-CN"/>
        </w:rPr>
        <w:t>2</w:t>
      </w:r>
      <w:r>
        <w:rPr>
          <w:rFonts w:hint="default" w:ascii="Times New Roman" w:hAnsi="Times New Roman" w:eastAsia="宋体" w:cs="Times New Roman"/>
          <w:b w:val="0"/>
          <w:bCs w:val="0"/>
          <w:color w:val="auto"/>
          <w:kern w:val="2"/>
          <w:highlight w:val="none"/>
          <w:lang w:eastAsia="zh-CN"/>
        </w:rPr>
        <w:t>）</w:t>
      </w:r>
      <w:r>
        <w:rPr>
          <w:rFonts w:hint="default" w:ascii="Times New Roman" w:hAnsi="Times New Roman" w:eastAsia="宋体" w:cs="Times New Roman"/>
          <w:b w:val="0"/>
          <w:bCs w:val="0"/>
          <w:color w:val="auto"/>
          <w:kern w:val="2"/>
          <w:highlight w:val="none"/>
        </w:rPr>
        <w:t>成立绩效评价小组。</w:t>
      </w:r>
      <w:r>
        <w:rPr>
          <w:rFonts w:hint="default" w:ascii="Times New Roman" w:hAnsi="Times New Roman" w:eastAsia="宋体" w:cs="Times New Roman"/>
          <w:b w:val="0"/>
          <w:bCs w:val="0"/>
          <w:color w:val="auto"/>
          <w:kern w:val="2"/>
          <w:highlight w:val="none"/>
          <w:lang w:val="en-US" w:eastAsia="zh-CN"/>
        </w:rPr>
        <w:t>绩效评价小组</w:t>
      </w:r>
      <w:r>
        <w:rPr>
          <w:rFonts w:hint="default" w:ascii="Times New Roman" w:hAnsi="Times New Roman" w:eastAsia="宋体" w:cs="Times New Roman"/>
          <w:b w:val="0"/>
          <w:bCs w:val="0"/>
          <w:color w:val="auto"/>
          <w:kern w:val="2"/>
          <w:highlight w:val="none"/>
        </w:rPr>
        <w:t>实行组长负责制，项目总负责人统筹全盘工作，对</w:t>
      </w:r>
      <w:r>
        <w:rPr>
          <w:rFonts w:hint="default" w:ascii="Times New Roman" w:hAnsi="Times New Roman" w:eastAsia="宋体" w:cs="Times New Roman"/>
          <w:b w:val="0"/>
          <w:bCs w:val="0"/>
          <w:color w:val="auto"/>
          <w:kern w:val="2"/>
          <w:highlight w:val="none"/>
          <w:lang w:val="en-US" w:eastAsia="zh-CN"/>
        </w:rPr>
        <w:t>绩效评价</w:t>
      </w:r>
      <w:r>
        <w:rPr>
          <w:rFonts w:hint="default" w:ascii="Times New Roman" w:hAnsi="Times New Roman" w:eastAsia="宋体" w:cs="Times New Roman"/>
          <w:b w:val="0"/>
          <w:bCs w:val="0"/>
          <w:color w:val="auto"/>
          <w:kern w:val="2"/>
          <w:highlight w:val="none"/>
        </w:rPr>
        <w:t>工作提供技术指导与支持，</w:t>
      </w:r>
      <w:r>
        <w:rPr>
          <w:rFonts w:hint="eastAsia" w:ascii="Times New Roman" w:hAnsi="Times New Roman" w:eastAsia="宋体" w:cs="Times New Roman"/>
          <w:b w:val="0"/>
          <w:bCs w:val="0"/>
          <w:color w:val="auto"/>
          <w:kern w:val="2"/>
          <w:highlight w:val="none"/>
          <w:lang w:val="en-US" w:eastAsia="zh-CN"/>
        </w:rPr>
        <w:t>报告稽核负责人</w:t>
      </w:r>
      <w:r>
        <w:rPr>
          <w:rFonts w:hint="default" w:ascii="Times New Roman" w:hAnsi="Times New Roman" w:eastAsia="宋体" w:cs="Times New Roman"/>
          <w:b w:val="0"/>
          <w:bCs w:val="0"/>
          <w:color w:val="auto"/>
          <w:kern w:val="2"/>
          <w:highlight w:val="none"/>
        </w:rPr>
        <w:t>对评价工作质量把关，并负责报告数据审核验收、报告撰写指导、报告验收等技术工作；绩效评价组成员计划安排</w:t>
      </w:r>
      <w:r>
        <w:rPr>
          <w:rFonts w:hint="default" w:ascii="Times New Roman" w:hAnsi="Times New Roman" w:eastAsia="宋体" w:cs="Times New Roman"/>
          <w:b w:val="0"/>
          <w:bCs w:val="0"/>
          <w:color w:val="auto"/>
          <w:kern w:val="2"/>
          <w:highlight w:val="none"/>
          <w:lang w:val="en-US" w:eastAsia="zh-CN"/>
        </w:rPr>
        <w:t>项目经理及项目助理</w:t>
      </w:r>
      <w:r>
        <w:rPr>
          <w:rFonts w:hint="default" w:ascii="Times New Roman" w:hAnsi="Times New Roman" w:eastAsia="宋体" w:cs="Times New Roman"/>
          <w:b w:val="0"/>
          <w:bCs w:val="0"/>
          <w:color w:val="auto"/>
          <w:kern w:val="2"/>
          <w:highlight w:val="none"/>
        </w:rPr>
        <w:t>，并完成现场调研</w:t>
      </w:r>
      <w:r>
        <w:rPr>
          <w:rFonts w:hint="default" w:ascii="Times New Roman" w:hAnsi="Times New Roman" w:eastAsia="宋体" w:cs="Times New Roman"/>
          <w:color w:val="auto"/>
          <w:kern w:val="2"/>
          <w:highlight w:val="none"/>
        </w:rPr>
        <w:t>、资料收集和检查、项目相关人员访谈、问题清单整</w:t>
      </w:r>
      <w:r>
        <w:rPr>
          <w:rFonts w:hint="eastAsia" w:ascii="Times New Roman" w:hAnsi="Times New Roman" w:eastAsia="宋体" w:cs="Times New Roman"/>
          <w:color w:val="auto"/>
          <w:highlight w:val="none"/>
        </w:rPr>
        <w:t>理、数据整理、撰写报告等工作</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具体成员及职责分工如下：</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557"/>
        <w:gridCol w:w="880"/>
        <w:gridCol w:w="1136"/>
        <w:gridCol w:w="1644"/>
        <w:gridCol w:w="4119"/>
      </w:tblGrid>
      <w:tr w14:paraId="11630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Header/>
          <w:jc w:val="center"/>
        </w:trPr>
        <w:tc>
          <w:tcPr>
            <w:tcW w:w="334" w:type="pct"/>
            <w:noWrap w:val="0"/>
            <w:vAlign w:val="center"/>
          </w:tcPr>
          <w:p w14:paraId="28A26EA5">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b/>
                <w:color w:val="auto"/>
                <w:sz w:val="21"/>
                <w:szCs w:val="21"/>
                <w:highlight w:val="none"/>
                <w:lang w:eastAsia="en-US"/>
              </w:rPr>
            </w:pPr>
            <w:r>
              <w:rPr>
                <w:rFonts w:hint="default" w:ascii="Times New Roman" w:hAnsi="Times New Roman" w:eastAsia="宋体" w:cs="Times New Roman"/>
                <w:b/>
                <w:color w:val="auto"/>
                <w:kern w:val="0"/>
                <w:sz w:val="21"/>
                <w:szCs w:val="21"/>
                <w:highlight w:val="none"/>
                <w:lang w:bidi="ar"/>
              </w:rPr>
              <w:t>序号</w:t>
            </w:r>
          </w:p>
        </w:tc>
        <w:tc>
          <w:tcPr>
            <w:tcW w:w="528" w:type="pct"/>
            <w:noWrap w:val="0"/>
            <w:vAlign w:val="center"/>
          </w:tcPr>
          <w:p w14:paraId="7C19045F">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b/>
                <w:color w:val="auto"/>
                <w:sz w:val="21"/>
                <w:szCs w:val="21"/>
                <w:highlight w:val="none"/>
                <w:lang w:eastAsia="en-US"/>
              </w:rPr>
            </w:pPr>
            <w:r>
              <w:rPr>
                <w:rFonts w:hint="default" w:ascii="Times New Roman" w:hAnsi="Times New Roman" w:eastAsia="宋体" w:cs="Times New Roman"/>
                <w:b/>
                <w:color w:val="auto"/>
                <w:kern w:val="0"/>
                <w:sz w:val="21"/>
                <w:szCs w:val="21"/>
                <w:highlight w:val="none"/>
                <w:lang w:bidi="ar"/>
              </w:rPr>
              <w:t>姓名</w:t>
            </w:r>
          </w:p>
        </w:tc>
        <w:tc>
          <w:tcPr>
            <w:tcW w:w="681" w:type="pct"/>
            <w:noWrap w:val="0"/>
            <w:vAlign w:val="center"/>
          </w:tcPr>
          <w:p w14:paraId="5FD5C018">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rPr>
              <w:t>项目角色</w:t>
            </w:r>
          </w:p>
        </w:tc>
        <w:tc>
          <w:tcPr>
            <w:tcW w:w="986" w:type="pct"/>
            <w:noWrap w:val="0"/>
            <w:vAlign w:val="center"/>
          </w:tcPr>
          <w:p w14:paraId="5D684798">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b/>
                <w:color w:val="auto"/>
                <w:sz w:val="21"/>
                <w:szCs w:val="21"/>
                <w:highlight w:val="none"/>
                <w:lang w:eastAsia="en-US"/>
              </w:rPr>
            </w:pPr>
            <w:r>
              <w:rPr>
                <w:rFonts w:hint="default" w:ascii="Times New Roman" w:hAnsi="Times New Roman" w:eastAsia="宋体" w:cs="Times New Roman"/>
                <w:b/>
                <w:color w:val="auto"/>
                <w:kern w:val="0"/>
                <w:sz w:val="21"/>
                <w:szCs w:val="21"/>
                <w:highlight w:val="none"/>
                <w:lang w:bidi="ar"/>
              </w:rPr>
              <w:t>资质或公司职位</w:t>
            </w:r>
          </w:p>
        </w:tc>
        <w:tc>
          <w:tcPr>
            <w:tcW w:w="2470" w:type="pct"/>
            <w:noWrap w:val="0"/>
            <w:vAlign w:val="center"/>
          </w:tcPr>
          <w:p w14:paraId="689BABDB">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b/>
                <w:color w:val="auto"/>
                <w:kern w:val="0"/>
                <w:sz w:val="21"/>
                <w:szCs w:val="21"/>
                <w:highlight w:val="none"/>
                <w:lang w:bidi="ar"/>
              </w:rPr>
            </w:pPr>
            <w:r>
              <w:rPr>
                <w:rFonts w:hint="default" w:ascii="Times New Roman" w:hAnsi="Times New Roman" w:eastAsia="宋体" w:cs="Times New Roman"/>
                <w:b/>
                <w:color w:val="auto"/>
                <w:kern w:val="0"/>
                <w:sz w:val="21"/>
                <w:szCs w:val="21"/>
                <w:highlight w:val="none"/>
                <w:lang w:bidi="ar"/>
              </w:rPr>
              <w:t>主要职责</w:t>
            </w:r>
          </w:p>
        </w:tc>
      </w:tr>
      <w:tr w14:paraId="02098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noWrap w:val="0"/>
            <w:vAlign w:val="center"/>
          </w:tcPr>
          <w:p w14:paraId="014193E4">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bidi="ar"/>
              </w:rPr>
              <w:t>1</w:t>
            </w:r>
          </w:p>
        </w:tc>
        <w:tc>
          <w:tcPr>
            <w:tcW w:w="528" w:type="pct"/>
            <w:noWrap w:val="0"/>
            <w:vAlign w:val="center"/>
          </w:tcPr>
          <w:p w14:paraId="0CCDD45D">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bCs/>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冯延萍</w:t>
            </w:r>
          </w:p>
        </w:tc>
        <w:tc>
          <w:tcPr>
            <w:tcW w:w="681" w:type="pct"/>
            <w:noWrap w:val="0"/>
            <w:vAlign w:val="center"/>
          </w:tcPr>
          <w:p w14:paraId="028696EC">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主评人</w:t>
            </w:r>
          </w:p>
        </w:tc>
        <w:tc>
          <w:tcPr>
            <w:tcW w:w="986" w:type="pct"/>
            <w:noWrap w:val="0"/>
            <w:vAlign w:val="center"/>
          </w:tcPr>
          <w:p w14:paraId="3CF96436">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注册会计师、中级会计师</w:t>
            </w:r>
          </w:p>
        </w:tc>
        <w:tc>
          <w:tcPr>
            <w:tcW w:w="2470" w:type="pct"/>
            <w:noWrap w:val="0"/>
            <w:vAlign w:val="center"/>
          </w:tcPr>
          <w:p w14:paraId="59BB9251">
            <w:pPr>
              <w:keepNext w:val="0"/>
              <w:keepLines w:val="0"/>
              <w:pageBreakBefore w:val="0"/>
              <w:shd w:val="clear" w:color="auto" w:fill="auto"/>
              <w:kinsoku/>
              <w:wordWrap/>
              <w:overflowPunct/>
              <w:topLinePunct w:val="0"/>
              <w:autoSpaceDE/>
              <w:autoSpaceDN/>
              <w:bidi w:val="0"/>
              <w:adjustRightInd/>
              <w:snapToGrid/>
              <w:spacing w:line="240" w:lineRule="auto"/>
              <w:ind w:firstLine="0" w:firstLineChars="0"/>
              <w:jc w:val="left"/>
              <w:rPr>
                <w:rFonts w:hint="eastAsia"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bCs/>
                <w:snapToGrid w:val="0"/>
                <w:color w:val="auto"/>
                <w:sz w:val="21"/>
                <w:szCs w:val="21"/>
                <w:highlight w:val="none"/>
              </w:rPr>
              <w:t>负责项目总体计划的审批，项目重大风险的整体把握，对整体检查工作进行全面技术把关和指导，以保证评价工作按时按质完成；对整体项目评价结论进行最终复核。</w:t>
            </w:r>
          </w:p>
        </w:tc>
      </w:tr>
      <w:tr w14:paraId="1089A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noWrap w:val="0"/>
            <w:vAlign w:val="center"/>
          </w:tcPr>
          <w:p w14:paraId="0C77464A">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color w:val="auto"/>
                <w:kern w:val="0"/>
                <w:sz w:val="21"/>
                <w:szCs w:val="21"/>
                <w:highlight w:val="none"/>
                <w:lang w:val="en-US" w:eastAsia="zh-CN" w:bidi="ar"/>
              </w:rPr>
            </w:pPr>
            <w:r>
              <w:rPr>
                <w:rFonts w:hint="eastAsia" w:ascii="Times New Roman" w:hAnsi="Times New Roman" w:eastAsia="宋体" w:cs="Times New Roman"/>
                <w:color w:val="auto"/>
                <w:kern w:val="0"/>
                <w:sz w:val="21"/>
                <w:szCs w:val="21"/>
                <w:highlight w:val="none"/>
                <w:lang w:val="en-US" w:eastAsia="zh-CN" w:bidi="ar"/>
              </w:rPr>
              <w:t>2</w:t>
            </w:r>
          </w:p>
        </w:tc>
        <w:tc>
          <w:tcPr>
            <w:tcW w:w="528" w:type="pct"/>
            <w:noWrap w:val="0"/>
            <w:vAlign w:val="center"/>
          </w:tcPr>
          <w:p w14:paraId="6761DB01">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腊晓林</w:t>
            </w:r>
          </w:p>
        </w:tc>
        <w:tc>
          <w:tcPr>
            <w:tcW w:w="681" w:type="pct"/>
            <w:noWrap w:val="0"/>
            <w:vAlign w:val="center"/>
          </w:tcPr>
          <w:p w14:paraId="32758242">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报告复核人</w:t>
            </w:r>
          </w:p>
        </w:tc>
        <w:tc>
          <w:tcPr>
            <w:tcW w:w="986" w:type="pct"/>
            <w:noWrap w:val="0"/>
            <w:vAlign w:val="center"/>
          </w:tcPr>
          <w:p w14:paraId="128735A6">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咨询工程师</w:t>
            </w:r>
          </w:p>
        </w:tc>
        <w:tc>
          <w:tcPr>
            <w:tcW w:w="2470" w:type="pct"/>
            <w:noWrap w:val="0"/>
            <w:vAlign w:val="center"/>
          </w:tcPr>
          <w:p w14:paraId="7DC08579">
            <w:pPr>
              <w:keepNext w:val="0"/>
              <w:keepLines w:val="0"/>
              <w:pageBreakBefore w:val="0"/>
              <w:shd w:val="clear" w:color="auto" w:fill="auto"/>
              <w:kinsoku/>
              <w:wordWrap/>
              <w:overflowPunct/>
              <w:topLinePunct w:val="0"/>
              <w:autoSpaceDE/>
              <w:autoSpaceDN/>
              <w:bidi w:val="0"/>
              <w:adjustRightInd/>
              <w:snapToGrid/>
              <w:spacing w:line="240" w:lineRule="auto"/>
              <w:ind w:firstLine="0" w:firstLineChars="0"/>
              <w:jc w:val="left"/>
              <w:rPr>
                <w:rFonts w:hint="eastAsia" w:ascii="Times New Roman" w:hAnsi="Times New Roman" w:eastAsia="宋体" w:cs="Times New Roman"/>
                <w:bCs/>
                <w:snapToGrid w:val="0"/>
                <w:color w:val="auto"/>
                <w:sz w:val="21"/>
                <w:szCs w:val="21"/>
                <w:highlight w:val="none"/>
                <w:lang w:val="en-US" w:eastAsia="zh-CN"/>
              </w:rPr>
            </w:pPr>
            <w:r>
              <w:rPr>
                <w:rFonts w:hint="eastAsia" w:ascii="Times New Roman" w:hAnsi="Times New Roman" w:eastAsia="宋体" w:cs="Times New Roman"/>
                <w:bCs/>
                <w:snapToGrid w:val="0"/>
                <w:color w:val="auto"/>
                <w:sz w:val="21"/>
                <w:szCs w:val="21"/>
                <w:highlight w:val="none"/>
                <w:lang w:val="en-US" w:eastAsia="zh-CN"/>
              </w:rPr>
              <w:t>审核实施方案，负责对项目成果进行复核，</w:t>
            </w:r>
            <w:r>
              <w:rPr>
                <w:rFonts w:hint="eastAsia" w:ascii="Times New Roman" w:hAnsi="Times New Roman" w:eastAsia="宋体" w:cs="Times New Roman"/>
                <w:color w:val="auto"/>
                <w:sz w:val="21"/>
                <w:szCs w:val="21"/>
                <w:highlight w:val="none"/>
              </w:rPr>
              <w:t>杜绝或减少对外出具的报告中出现不应出错或低级错误的发生，确保工作质量不出现重大纰漏。通过稽核强化工作质量管理，严格把控评价结果报告质量关，规范出具报告的标准。</w:t>
            </w:r>
          </w:p>
        </w:tc>
      </w:tr>
      <w:tr w14:paraId="1A189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noWrap w:val="0"/>
            <w:vAlign w:val="center"/>
          </w:tcPr>
          <w:p w14:paraId="2906130A">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color w:val="auto"/>
                <w:sz w:val="21"/>
                <w:szCs w:val="21"/>
                <w:highlight w:val="none"/>
                <w:lang w:eastAsia="zh-CN"/>
              </w:rPr>
            </w:pPr>
            <w:r>
              <w:rPr>
                <w:rFonts w:hint="eastAsia" w:ascii="Times New Roman" w:hAnsi="Times New Roman" w:eastAsia="宋体" w:cs="Times New Roman"/>
                <w:color w:val="auto"/>
                <w:kern w:val="0"/>
                <w:sz w:val="21"/>
                <w:szCs w:val="21"/>
                <w:highlight w:val="none"/>
                <w:lang w:val="en-US" w:eastAsia="zh-CN" w:bidi="ar"/>
              </w:rPr>
              <w:t>3</w:t>
            </w:r>
          </w:p>
        </w:tc>
        <w:tc>
          <w:tcPr>
            <w:tcW w:w="528" w:type="pct"/>
            <w:noWrap w:val="0"/>
            <w:vAlign w:val="center"/>
          </w:tcPr>
          <w:p w14:paraId="1F79C64D">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张珊</w:t>
            </w:r>
          </w:p>
        </w:tc>
        <w:tc>
          <w:tcPr>
            <w:tcW w:w="681" w:type="pct"/>
            <w:noWrap w:val="0"/>
            <w:vAlign w:val="center"/>
          </w:tcPr>
          <w:p w14:paraId="4260DB6A">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color w:val="auto"/>
                <w:sz w:val="21"/>
                <w:szCs w:val="21"/>
                <w:highlight w:val="none"/>
                <w:lang w:eastAsia="en-US"/>
              </w:rPr>
            </w:pPr>
            <w:r>
              <w:rPr>
                <w:rFonts w:hint="eastAsia" w:ascii="Times New Roman" w:hAnsi="Times New Roman" w:eastAsia="宋体" w:cs="Times New Roman"/>
                <w:color w:val="auto"/>
                <w:sz w:val="21"/>
                <w:szCs w:val="21"/>
                <w:highlight w:val="none"/>
              </w:rPr>
              <w:t>项目负责人</w:t>
            </w:r>
          </w:p>
        </w:tc>
        <w:tc>
          <w:tcPr>
            <w:tcW w:w="986" w:type="pct"/>
            <w:noWrap w:val="0"/>
            <w:vAlign w:val="center"/>
          </w:tcPr>
          <w:p w14:paraId="42B75D8B">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项目</w:t>
            </w:r>
            <w:r>
              <w:rPr>
                <w:rFonts w:hint="eastAsia" w:ascii="Times New Roman" w:hAnsi="Times New Roman" w:eastAsia="宋体" w:cs="Times New Roman"/>
                <w:color w:val="auto"/>
                <w:sz w:val="21"/>
                <w:szCs w:val="21"/>
                <w:highlight w:val="none"/>
                <w:lang w:eastAsia="zh-Hans"/>
              </w:rPr>
              <w:t>经理</w:t>
            </w:r>
          </w:p>
        </w:tc>
        <w:tc>
          <w:tcPr>
            <w:tcW w:w="2470" w:type="pct"/>
            <w:noWrap w:val="0"/>
            <w:vAlign w:val="center"/>
          </w:tcPr>
          <w:p w14:paraId="5424D065">
            <w:pPr>
              <w:keepNext w:val="0"/>
              <w:keepLines w:val="0"/>
              <w:pageBreakBefore w:val="0"/>
              <w:shd w:val="clear" w:color="auto" w:fill="auto"/>
              <w:kinsoku/>
              <w:wordWrap/>
              <w:overflowPunct/>
              <w:topLinePunct w:val="0"/>
              <w:autoSpaceDE/>
              <w:autoSpaceDN/>
              <w:bidi w:val="0"/>
              <w:adjustRightInd/>
              <w:snapToGrid/>
              <w:spacing w:line="240" w:lineRule="auto"/>
              <w:ind w:firstLine="0" w:firstLineChars="0"/>
              <w:jc w:val="left"/>
              <w:rPr>
                <w:rFonts w:hint="eastAsia" w:ascii="Times New Roman" w:hAnsi="Times New Roman" w:eastAsia="宋体" w:cs="Times New Roman"/>
                <w:color w:val="auto"/>
                <w:kern w:val="0"/>
                <w:sz w:val="21"/>
                <w:szCs w:val="21"/>
                <w:highlight w:val="none"/>
                <w:lang w:eastAsia="zh-CN" w:bidi="ar"/>
              </w:rPr>
            </w:pPr>
            <w:r>
              <w:rPr>
                <w:rFonts w:hint="eastAsia" w:ascii="Times New Roman" w:hAnsi="Times New Roman" w:eastAsia="宋体" w:cs="Times New Roman"/>
                <w:bCs/>
                <w:snapToGrid w:val="0"/>
                <w:color w:val="auto"/>
                <w:sz w:val="21"/>
                <w:szCs w:val="21"/>
                <w:highlight w:val="none"/>
              </w:rPr>
              <w:t>负责制定项目实施计划，并组织开展具体评价工作，把控项目质量、项目进度和方向，推动服务方案执行和落实；讨论阶段性成果，向本单位和委托方关于本项目进展情况定期汇报进展情况；对项目过程中的技术方法提供咨询和辅导，及时完成项目成果</w:t>
            </w:r>
            <w:r>
              <w:rPr>
                <w:rFonts w:hint="eastAsia" w:ascii="Times New Roman" w:hAnsi="Times New Roman" w:eastAsia="宋体" w:cs="Times New Roman"/>
                <w:bCs/>
                <w:snapToGrid w:val="0"/>
                <w:color w:val="auto"/>
                <w:sz w:val="21"/>
                <w:szCs w:val="21"/>
                <w:highlight w:val="none"/>
                <w:lang w:eastAsia="zh-CN"/>
              </w:rPr>
              <w:t>。</w:t>
            </w:r>
          </w:p>
        </w:tc>
      </w:tr>
      <w:tr w14:paraId="3C47D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noWrap w:val="0"/>
            <w:vAlign w:val="center"/>
          </w:tcPr>
          <w:p w14:paraId="1AB62E66">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color w:val="auto"/>
                <w:kern w:val="0"/>
                <w:sz w:val="21"/>
                <w:szCs w:val="21"/>
                <w:highlight w:val="none"/>
                <w:lang w:eastAsia="zh-CN" w:bidi="ar"/>
              </w:rPr>
            </w:pPr>
            <w:r>
              <w:rPr>
                <w:rFonts w:hint="eastAsia" w:ascii="Times New Roman" w:hAnsi="Times New Roman" w:eastAsia="宋体" w:cs="Times New Roman"/>
                <w:color w:val="auto"/>
                <w:kern w:val="0"/>
                <w:sz w:val="21"/>
                <w:szCs w:val="21"/>
                <w:highlight w:val="none"/>
                <w:lang w:val="en-US" w:eastAsia="zh-CN" w:bidi="ar"/>
              </w:rPr>
              <w:t>4</w:t>
            </w:r>
          </w:p>
        </w:tc>
        <w:tc>
          <w:tcPr>
            <w:tcW w:w="528" w:type="pct"/>
            <w:shd w:val="clear" w:color="auto" w:fill="auto"/>
            <w:noWrap w:val="0"/>
            <w:vAlign w:val="center"/>
          </w:tcPr>
          <w:p w14:paraId="187F142A">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bCs/>
                <w:snapToGrid w:val="0"/>
                <w:color w:val="auto"/>
                <w:spacing w:val="6"/>
                <w:kern w:val="2"/>
                <w:sz w:val="21"/>
                <w:szCs w:val="21"/>
                <w:highlight w:val="none"/>
                <w:lang w:val="en-US" w:eastAsia="zh-CN" w:bidi="ar-SA"/>
              </w:rPr>
            </w:pPr>
            <w:r>
              <w:rPr>
                <w:rFonts w:hint="eastAsia" w:ascii="Times New Roman" w:hAnsi="Times New Roman" w:eastAsia="宋体" w:cs="Times New Roman"/>
                <w:color w:val="auto"/>
                <w:sz w:val="21"/>
                <w:szCs w:val="21"/>
                <w:highlight w:val="none"/>
                <w:lang w:val="en-US" w:eastAsia="zh-CN"/>
              </w:rPr>
              <w:t>孙婕</w:t>
            </w:r>
          </w:p>
        </w:tc>
        <w:tc>
          <w:tcPr>
            <w:tcW w:w="681" w:type="pct"/>
            <w:shd w:val="clear" w:color="auto" w:fill="auto"/>
            <w:noWrap w:val="0"/>
            <w:vAlign w:val="center"/>
          </w:tcPr>
          <w:p w14:paraId="655892FA">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rPr>
              <w:t>项目绩效评价人员</w:t>
            </w:r>
          </w:p>
        </w:tc>
        <w:tc>
          <w:tcPr>
            <w:tcW w:w="986" w:type="pct"/>
            <w:shd w:val="clear" w:color="auto" w:fill="auto"/>
            <w:noWrap w:val="0"/>
            <w:vAlign w:val="center"/>
          </w:tcPr>
          <w:p w14:paraId="507CF7BD">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项目主审</w:t>
            </w:r>
          </w:p>
        </w:tc>
        <w:tc>
          <w:tcPr>
            <w:tcW w:w="2470" w:type="pct"/>
            <w:noWrap w:val="0"/>
            <w:vAlign w:val="center"/>
          </w:tcPr>
          <w:p w14:paraId="2358F27D">
            <w:pPr>
              <w:keepNext w:val="0"/>
              <w:keepLines w:val="0"/>
              <w:pageBreakBefore w:val="0"/>
              <w:shd w:val="clear" w:color="auto" w:fill="auto"/>
              <w:kinsoku/>
              <w:wordWrap/>
              <w:overflowPunct/>
              <w:topLinePunct w:val="0"/>
              <w:autoSpaceDE/>
              <w:autoSpaceDN/>
              <w:bidi w:val="0"/>
              <w:adjustRightInd/>
              <w:snapToGrid/>
              <w:spacing w:line="240" w:lineRule="auto"/>
              <w:ind w:firstLine="0" w:firstLineChars="0"/>
              <w:jc w:val="left"/>
              <w:rPr>
                <w:rFonts w:hint="eastAsia"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bCs/>
                <w:snapToGrid w:val="0"/>
                <w:color w:val="auto"/>
                <w:sz w:val="21"/>
                <w:szCs w:val="21"/>
                <w:highlight w:val="none"/>
              </w:rPr>
              <w:t>按照计划和分工</w:t>
            </w:r>
            <w:r>
              <w:rPr>
                <w:rFonts w:hint="eastAsia" w:ascii="Times New Roman" w:hAnsi="Times New Roman" w:eastAsia="宋体" w:cs="Times New Roman"/>
                <w:bCs/>
                <w:snapToGrid w:val="0"/>
                <w:color w:val="auto"/>
                <w:sz w:val="21"/>
                <w:szCs w:val="21"/>
                <w:highlight w:val="none"/>
                <w:lang w:eastAsia="zh-CN"/>
              </w:rPr>
              <w:t>完成</w:t>
            </w:r>
            <w:r>
              <w:rPr>
                <w:rFonts w:hint="eastAsia" w:ascii="Times New Roman" w:hAnsi="Times New Roman" w:eastAsia="宋体" w:cs="Times New Roman"/>
                <w:bCs/>
                <w:snapToGrid w:val="0"/>
                <w:color w:val="auto"/>
                <w:sz w:val="21"/>
                <w:szCs w:val="21"/>
                <w:highlight w:val="none"/>
              </w:rPr>
              <w:t>现场调研、资料收集和检查、项目相关人员访谈、问题清单整理、数据整理、撰写报告等工作。</w:t>
            </w:r>
          </w:p>
        </w:tc>
      </w:tr>
    </w:tbl>
    <w:p w14:paraId="77DFA7AE">
      <w:pPr>
        <w:bidi w:val="0"/>
        <w:rPr>
          <w:rFonts w:hint="eastAsia" w:ascii="Times New Roman" w:hAnsi="Times New Roman" w:eastAsia="宋体" w:cs="Times New Roman"/>
          <w:color w:val="auto"/>
          <w:highlight w:val="none"/>
        </w:rPr>
      </w:pPr>
    </w:p>
    <w:p w14:paraId="5045BEC6">
      <w:pPr>
        <w:pStyle w:val="6"/>
        <w:ind w:firstLine="641"/>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2.确定绩效评价工作方案</w:t>
      </w:r>
    </w:p>
    <w:p w14:paraId="460653B7">
      <w:pPr>
        <w:bidi w:val="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绩</w:t>
      </w:r>
      <w:r>
        <w:rPr>
          <w:rFonts w:hint="default" w:ascii="Times New Roman" w:hAnsi="Times New Roman" w:eastAsia="宋体" w:cs="Times New Roman"/>
          <w:color w:val="auto"/>
          <w:kern w:val="2"/>
          <w:highlight w:val="none"/>
        </w:rPr>
        <w:t>效评价小组根据前期初步收集的</w:t>
      </w:r>
      <w:r>
        <w:rPr>
          <w:rFonts w:hint="default" w:ascii="Times New Roman" w:hAnsi="Times New Roman" w:eastAsia="宋体" w:cs="Times New Roman"/>
          <w:color w:val="auto"/>
          <w:kern w:val="2"/>
          <w:highlight w:val="none"/>
          <w:lang w:val="en-US" w:eastAsia="zh-CN"/>
        </w:rPr>
        <w:t>部门整体工作</w:t>
      </w:r>
      <w:r>
        <w:rPr>
          <w:rFonts w:hint="default" w:ascii="Times New Roman" w:hAnsi="Times New Roman" w:eastAsia="宋体" w:cs="Times New Roman"/>
          <w:color w:val="auto"/>
          <w:kern w:val="2"/>
          <w:highlight w:val="none"/>
        </w:rPr>
        <w:t>资料，</w:t>
      </w:r>
      <w:r>
        <w:rPr>
          <w:rFonts w:hint="default" w:ascii="Times New Roman" w:hAnsi="Times New Roman" w:eastAsia="宋体" w:cs="Times New Roman"/>
          <w:color w:val="auto"/>
          <w:kern w:val="2"/>
          <w:highlight w:val="none"/>
          <w:lang w:eastAsia="zh-CN"/>
        </w:rPr>
        <w:t>根据</w:t>
      </w:r>
      <w:r>
        <w:rPr>
          <w:rFonts w:hint="default" w:ascii="Times New Roman" w:hAnsi="Times New Roman" w:eastAsia="宋体" w:cs="Times New Roman"/>
          <w:b w:val="0"/>
          <w:bCs w:val="0"/>
          <w:color w:val="auto"/>
          <w:kern w:val="2"/>
          <w:sz w:val="21"/>
          <w:szCs w:val="21"/>
          <w:highlight w:val="none"/>
          <w:lang w:val="en-US" w:eastAsia="zh-CN" w:bidi="ar-SA"/>
        </w:rPr>
        <w:t>部门职能、中长期规划、年度工作计划、重点工作等工作材料分析，梳理分析年度重点工作任务及要求，确定年度部门整体支出的评价重点和部门整体支出绩效目标，</w:t>
      </w:r>
      <w:r>
        <w:rPr>
          <w:rFonts w:hint="default" w:ascii="Times New Roman" w:hAnsi="Times New Roman" w:eastAsia="宋体" w:cs="Times New Roman"/>
          <w:color w:val="auto"/>
          <w:kern w:val="2"/>
          <w:highlight w:val="none"/>
        </w:rPr>
        <w:t>制定《</w:t>
      </w:r>
      <w:r>
        <w:rPr>
          <w:rFonts w:hint="default" w:ascii="Times New Roman" w:hAnsi="Times New Roman" w:eastAsia="宋体" w:cs="Times New Roman"/>
          <w:color w:val="auto"/>
          <w:kern w:val="2"/>
          <w:highlight w:val="none"/>
          <w:lang w:eastAsia="zh-CN"/>
        </w:rPr>
        <w:t>伊宁县农技推广中心</w:t>
      </w:r>
      <w:r>
        <w:rPr>
          <w:rFonts w:hint="default" w:ascii="Times New Roman" w:hAnsi="Times New Roman" w:eastAsia="宋体" w:cs="Times New Roman"/>
          <w:color w:val="auto"/>
          <w:kern w:val="2"/>
          <w:highlight w:val="none"/>
          <w:lang w:val="en-US" w:eastAsia="zh-CN"/>
        </w:rPr>
        <w:t>部门整体支出</w:t>
      </w:r>
      <w:r>
        <w:rPr>
          <w:rFonts w:hint="default" w:ascii="Times New Roman" w:hAnsi="Times New Roman" w:eastAsia="宋体" w:cs="Times New Roman"/>
          <w:color w:val="auto"/>
          <w:kern w:val="2"/>
          <w:highlight w:val="none"/>
        </w:rPr>
        <w:t>绩效评价实施方案》。</w:t>
      </w:r>
      <w:r>
        <w:rPr>
          <w:rFonts w:hint="default" w:ascii="Times New Roman" w:hAnsi="Times New Roman" w:eastAsia="宋体" w:cs="Times New Roman"/>
          <w:color w:val="auto"/>
          <w:kern w:val="2"/>
          <w:highlight w:val="none"/>
          <w:lang w:val="en-US" w:eastAsia="zh-CN"/>
        </w:rPr>
        <w:t>2025</w:t>
      </w:r>
      <w:r>
        <w:rPr>
          <w:rFonts w:hint="default" w:ascii="Times New Roman" w:hAnsi="Times New Roman" w:eastAsia="宋体" w:cs="Times New Roman"/>
          <w:color w:val="auto"/>
          <w:kern w:val="2"/>
          <w:highlight w:val="none"/>
        </w:rPr>
        <w:t>年</w:t>
      </w:r>
      <w:r>
        <w:rPr>
          <w:rFonts w:hint="default" w:ascii="Times New Roman" w:hAnsi="Times New Roman" w:eastAsia="宋体" w:cs="Times New Roman"/>
          <w:color w:val="auto"/>
          <w:kern w:val="2"/>
          <w:highlight w:val="none"/>
          <w:lang w:val="en-US" w:eastAsia="zh-CN"/>
        </w:rPr>
        <w:t>7</w:t>
      </w:r>
      <w:r>
        <w:rPr>
          <w:rFonts w:hint="default" w:ascii="Times New Roman" w:hAnsi="Times New Roman" w:eastAsia="宋体" w:cs="Times New Roman"/>
          <w:color w:val="auto"/>
          <w:kern w:val="2"/>
          <w:highlight w:val="none"/>
        </w:rPr>
        <w:t>月</w:t>
      </w:r>
      <w:r>
        <w:rPr>
          <w:rFonts w:hint="default" w:ascii="Times New Roman" w:hAnsi="Times New Roman" w:eastAsia="宋体" w:cs="Times New Roman"/>
          <w:color w:val="auto"/>
          <w:kern w:val="2"/>
          <w:highlight w:val="none"/>
          <w:lang w:val="en-US" w:eastAsia="zh-CN"/>
        </w:rPr>
        <w:t>1</w:t>
      </w:r>
      <w:r>
        <w:rPr>
          <w:rFonts w:hint="default" w:ascii="Times New Roman" w:hAnsi="Times New Roman" w:eastAsia="宋体" w:cs="Times New Roman"/>
          <w:color w:val="auto"/>
          <w:kern w:val="2"/>
          <w:highlight w:val="none"/>
        </w:rPr>
        <w:t>日</w:t>
      </w:r>
      <w:r>
        <w:rPr>
          <w:rFonts w:hint="eastAsia" w:ascii="Times New Roman" w:hAnsi="Times New Roman" w:eastAsia="宋体" w:cs="Times New Roman"/>
          <w:color w:val="auto"/>
          <w:highlight w:val="none"/>
        </w:rPr>
        <w:t>，经</w:t>
      </w:r>
      <w:r>
        <w:rPr>
          <w:rFonts w:hint="eastAsia" w:ascii="Times New Roman" w:hAnsi="Times New Roman" w:eastAsia="宋体" w:cs="Times New Roman"/>
          <w:color w:val="auto"/>
          <w:highlight w:val="none"/>
          <w:lang w:val="en-US" w:eastAsia="zh-CN"/>
        </w:rPr>
        <w:t>项目负责人审核</w:t>
      </w:r>
      <w:r>
        <w:rPr>
          <w:rFonts w:hint="eastAsia" w:ascii="Times New Roman" w:hAnsi="Times New Roman" w:eastAsia="宋体" w:cs="Times New Roman"/>
          <w:color w:val="auto"/>
          <w:highlight w:val="none"/>
        </w:rPr>
        <w:t>通过后，项目绩效评价工作正式启动。</w:t>
      </w:r>
    </w:p>
    <w:p w14:paraId="72EC2729">
      <w:pPr>
        <w:pStyle w:val="6"/>
        <w:ind w:firstLine="641"/>
        <w:rPr>
          <w:rFonts w:ascii="Times New Roman" w:hAnsi="Times New Roman" w:eastAsia="宋体" w:cs="Times New Roman"/>
          <w:color w:val="auto"/>
          <w:highlight w:val="none"/>
        </w:rPr>
      </w:pPr>
      <w:r>
        <w:rPr>
          <w:rFonts w:ascii="Times New Roman" w:hAnsi="Times New Roman" w:eastAsia="宋体" w:cs="Times New Roman"/>
          <w:color w:val="auto"/>
          <w:highlight w:val="none"/>
        </w:rPr>
        <w:t>3.组织实施</w:t>
      </w:r>
    </w:p>
    <w:p w14:paraId="0457C609">
      <w:pPr>
        <w:ind w:firstLine="0"/>
        <w:rPr>
          <w:rFonts w:hint="default" w:ascii="Times New Roman" w:hAnsi="Times New Roman" w:eastAsia="宋体" w:cs="Times New Roman"/>
          <w:color w:val="auto"/>
          <w:kern w:val="2"/>
          <w:highlight w:val="none"/>
        </w:rPr>
      </w:pPr>
      <w:r>
        <w:rPr>
          <w:rFonts w:hint="default" w:ascii="Times New Roman" w:hAnsi="Times New Roman" w:eastAsia="宋体" w:cs="Times New Roman"/>
          <w:color w:val="auto"/>
          <w:kern w:val="2"/>
          <w:highlight w:val="none"/>
          <w:lang w:val="en-US" w:eastAsia="zh-CN"/>
        </w:rPr>
        <w:t>2025</w:t>
      </w:r>
      <w:r>
        <w:rPr>
          <w:rFonts w:hint="default" w:ascii="Times New Roman" w:hAnsi="Times New Roman" w:eastAsia="宋体" w:cs="Times New Roman"/>
          <w:color w:val="auto"/>
          <w:kern w:val="2"/>
          <w:highlight w:val="none"/>
        </w:rPr>
        <w:t>年</w:t>
      </w:r>
      <w:r>
        <w:rPr>
          <w:rFonts w:hint="default" w:ascii="Times New Roman" w:hAnsi="Times New Roman" w:eastAsia="宋体" w:cs="Times New Roman"/>
          <w:color w:val="auto"/>
          <w:kern w:val="2"/>
          <w:highlight w:val="none"/>
          <w:lang w:val="en-US" w:eastAsia="zh-CN"/>
        </w:rPr>
        <w:t>7</w:t>
      </w:r>
      <w:r>
        <w:rPr>
          <w:rFonts w:hint="default" w:ascii="Times New Roman" w:hAnsi="Times New Roman" w:eastAsia="宋体" w:cs="Times New Roman"/>
          <w:color w:val="auto"/>
          <w:kern w:val="2"/>
          <w:highlight w:val="none"/>
        </w:rPr>
        <w:t>月</w:t>
      </w:r>
      <w:r>
        <w:rPr>
          <w:rFonts w:hint="default" w:ascii="Times New Roman" w:hAnsi="Times New Roman" w:eastAsia="宋体" w:cs="Times New Roman"/>
          <w:color w:val="auto"/>
          <w:kern w:val="2"/>
          <w:highlight w:val="none"/>
          <w:lang w:val="en-US" w:eastAsia="zh-CN"/>
        </w:rPr>
        <w:t>2</w:t>
      </w:r>
      <w:r>
        <w:rPr>
          <w:rFonts w:hint="default" w:ascii="Times New Roman" w:hAnsi="Times New Roman" w:eastAsia="宋体" w:cs="Times New Roman"/>
          <w:color w:val="auto"/>
          <w:kern w:val="2"/>
          <w:highlight w:val="none"/>
        </w:rPr>
        <w:t>日</w:t>
      </w:r>
      <w:r>
        <w:rPr>
          <w:rFonts w:hint="default" w:ascii="Times New Roman" w:hAnsi="Times New Roman" w:eastAsia="宋体" w:cs="Times New Roman"/>
          <w:color w:val="auto"/>
          <w:kern w:val="2"/>
          <w:highlight w:val="none"/>
          <w:lang w:val="en-US" w:eastAsia="zh-CN"/>
        </w:rPr>
        <w:t>至2025</w:t>
      </w:r>
      <w:r>
        <w:rPr>
          <w:rFonts w:hint="default" w:ascii="Times New Roman" w:hAnsi="Times New Roman" w:eastAsia="宋体" w:cs="Times New Roman"/>
          <w:color w:val="auto"/>
          <w:kern w:val="2"/>
          <w:highlight w:val="none"/>
        </w:rPr>
        <w:t>年</w:t>
      </w:r>
      <w:r>
        <w:rPr>
          <w:rFonts w:hint="default" w:ascii="Times New Roman" w:hAnsi="Times New Roman" w:eastAsia="宋体" w:cs="Times New Roman"/>
          <w:color w:val="auto"/>
          <w:kern w:val="2"/>
          <w:highlight w:val="none"/>
          <w:lang w:val="en-US" w:eastAsia="zh-CN"/>
        </w:rPr>
        <w:t>7</w:t>
      </w:r>
      <w:r>
        <w:rPr>
          <w:rFonts w:hint="default" w:ascii="Times New Roman" w:hAnsi="Times New Roman" w:eastAsia="宋体" w:cs="Times New Roman"/>
          <w:color w:val="auto"/>
          <w:kern w:val="2"/>
          <w:highlight w:val="none"/>
        </w:rPr>
        <w:t>月</w:t>
      </w:r>
      <w:r>
        <w:rPr>
          <w:rFonts w:hint="default" w:ascii="Times New Roman" w:hAnsi="Times New Roman" w:eastAsia="宋体" w:cs="Times New Roman"/>
          <w:color w:val="auto"/>
          <w:kern w:val="2"/>
          <w:highlight w:val="none"/>
          <w:lang w:val="en-US" w:eastAsia="zh-CN"/>
        </w:rPr>
        <w:t>20</w:t>
      </w:r>
      <w:r>
        <w:rPr>
          <w:rFonts w:hint="default" w:ascii="Times New Roman" w:hAnsi="Times New Roman" w:eastAsia="宋体" w:cs="Times New Roman"/>
          <w:color w:val="auto"/>
          <w:kern w:val="2"/>
          <w:highlight w:val="none"/>
        </w:rPr>
        <w:t>日</w:t>
      </w:r>
      <w:r>
        <w:rPr>
          <w:rFonts w:hint="default" w:ascii="Times New Roman" w:hAnsi="Times New Roman" w:eastAsia="宋体" w:cs="Times New Roman"/>
          <w:color w:val="auto"/>
          <w:kern w:val="2"/>
          <w:highlight w:val="none"/>
          <w:lang w:eastAsia="zh-CN"/>
        </w:rPr>
        <w:t>，</w:t>
      </w:r>
      <w:r>
        <w:rPr>
          <w:rFonts w:hint="default" w:ascii="Times New Roman" w:hAnsi="Times New Roman" w:eastAsia="宋体" w:cs="Times New Roman"/>
          <w:color w:val="auto"/>
          <w:kern w:val="2"/>
          <w:highlight w:val="none"/>
        </w:rPr>
        <w:t>绩效评价组采取现场和非现场评价相结合的方式开展调研、查阅基础资料、数据采集、问卷调查、访谈、数据分析等绩效评价工作，具体实施情况如下：</w:t>
      </w:r>
    </w:p>
    <w:p w14:paraId="20DDF9B1">
      <w:pPr>
        <w:ind w:firstLine="0"/>
        <w:rPr>
          <w:rFonts w:hint="default" w:ascii="Times New Roman" w:hAnsi="Times New Roman" w:eastAsia="宋体" w:cs="Times New Roman"/>
          <w:color w:val="auto"/>
          <w:kern w:val="2"/>
          <w:highlight w:val="none"/>
        </w:rPr>
      </w:pPr>
      <w:bookmarkStart w:id="47" w:name="_Toc11994"/>
      <w:r>
        <w:rPr>
          <w:rFonts w:hint="default" w:ascii="Times New Roman" w:hAnsi="Times New Roman" w:eastAsia="宋体" w:cs="Times New Roman"/>
          <w:color w:val="auto"/>
          <w:kern w:val="2"/>
          <w:highlight w:val="none"/>
        </w:rPr>
        <w:t>（1）与</w:t>
      </w:r>
      <w:r>
        <w:rPr>
          <w:rFonts w:hint="default" w:ascii="Times New Roman" w:hAnsi="Times New Roman" w:eastAsia="宋体" w:cs="Times New Roman"/>
          <w:color w:val="auto"/>
          <w:kern w:val="2"/>
          <w:highlight w:val="none"/>
          <w:lang w:eastAsia="zh-CN"/>
        </w:rPr>
        <w:t>伊宁县农技推广中心</w:t>
      </w:r>
      <w:r>
        <w:rPr>
          <w:rFonts w:hint="default" w:ascii="Times New Roman" w:hAnsi="Times New Roman" w:eastAsia="宋体" w:cs="Times New Roman"/>
          <w:color w:val="auto"/>
          <w:kern w:val="2"/>
          <w:highlight w:val="none"/>
          <w:lang w:val="en-US" w:eastAsia="zh-CN"/>
        </w:rPr>
        <w:t>的办公室，财务室，土肥站，植保站，栽培站</w:t>
      </w:r>
      <w:r>
        <w:rPr>
          <w:rFonts w:hint="default" w:ascii="Times New Roman" w:hAnsi="Times New Roman" w:eastAsia="宋体" w:cs="Times New Roman"/>
          <w:color w:val="auto"/>
          <w:kern w:val="2"/>
          <w:highlight w:val="none"/>
        </w:rPr>
        <w:t>管理人员进行访谈沟通，全面了解</w:t>
      </w:r>
      <w:r>
        <w:rPr>
          <w:rFonts w:hint="default" w:ascii="Times New Roman" w:hAnsi="Times New Roman" w:eastAsia="宋体" w:cs="Times New Roman"/>
          <w:color w:val="auto"/>
          <w:kern w:val="2"/>
          <w:highlight w:val="none"/>
          <w:lang w:val="en-US" w:eastAsia="zh-CN"/>
        </w:rPr>
        <w:t>部门单位的主要职责、年度重点任务</w:t>
      </w:r>
      <w:r>
        <w:rPr>
          <w:rFonts w:hint="default" w:ascii="Times New Roman" w:hAnsi="Times New Roman" w:eastAsia="宋体" w:cs="Times New Roman"/>
          <w:color w:val="auto"/>
          <w:kern w:val="2"/>
          <w:highlight w:val="none"/>
        </w:rPr>
        <w:t>安排</w:t>
      </w:r>
      <w:r>
        <w:rPr>
          <w:rFonts w:hint="default" w:ascii="Times New Roman" w:hAnsi="Times New Roman" w:eastAsia="宋体" w:cs="Times New Roman"/>
          <w:color w:val="auto"/>
          <w:kern w:val="2"/>
          <w:highlight w:val="none"/>
          <w:lang w:val="en-US" w:eastAsia="zh-CN"/>
        </w:rPr>
        <w:t>、核心履职效能</w:t>
      </w:r>
      <w:r>
        <w:rPr>
          <w:rFonts w:hint="default" w:ascii="Times New Roman" w:hAnsi="Times New Roman" w:eastAsia="宋体" w:cs="Times New Roman"/>
          <w:color w:val="auto"/>
          <w:kern w:val="2"/>
          <w:highlight w:val="none"/>
        </w:rPr>
        <w:t>、</w:t>
      </w:r>
      <w:r>
        <w:rPr>
          <w:rFonts w:hint="default" w:ascii="Times New Roman" w:hAnsi="Times New Roman" w:eastAsia="宋体" w:cs="Times New Roman"/>
          <w:color w:val="auto"/>
          <w:kern w:val="2"/>
          <w:highlight w:val="none"/>
          <w:lang w:val="en-US" w:eastAsia="zh-CN"/>
        </w:rPr>
        <w:t>部门整体预算安排及使用情况</w:t>
      </w:r>
      <w:r>
        <w:rPr>
          <w:rFonts w:hint="default" w:ascii="Times New Roman" w:hAnsi="Times New Roman" w:eastAsia="宋体" w:cs="Times New Roman"/>
          <w:color w:val="auto"/>
          <w:kern w:val="2"/>
          <w:highlight w:val="none"/>
        </w:rPr>
        <w:t>等方面的内容。</w:t>
      </w:r>
      <w:r>
        <w:rPr>
          <w:rFonts w:hint="default" w:ascii="Times New Roman" w:hAnsi="Times New Roman" w:eastAsia="宋体" w:cs="Times New Roman"/>
          <w:bCs w:val="0"/>
          <w:color w:val="auto"/>
          <w:kern w:val="2"/>
          <w:highlight w:val="none"/>
        </w:rPr>
        <w:t>全面收集项目相关资料和基础数据，</w:t>
      </w:r>
      <w:r>
        <w:rPr>
          <w:rFonts w:hint="default" w:ascii="Times New Roman" w:hAnsi="Times New Roman" w:eastAsia="宋体" w:cs="Times New Roman"/>
          <w:bCs w:val="0"/>
          <w:color w:val="auto"/>
          <w:kern w:val="2"/>
          <w:highlight w:val="none"/>
          <w:lang w:val="zh-TW" w:eastAsia="zh-TW"/>
        </w:rPr>
        <w:t>整理</w:t>
      </w:r>
      <w:r>
        <w:rPr>
          <w:rFonts w:hint="default" w:ascii="Times New Roman" w:hAnsi="Times New Roman" w:eastAsia="宋体" w:cs="Times New Roman"/>
          <w:bCs w:val="0"/>
          <w:color w:val="auto"/>
          <w:kern w:val="2"/>
          <w:highlight w:val="none"/>
        </w:rPr>
        <w:t>获取</w:t>
      </w:r>
      <w:r>
        <w:rPr>
          <w:rFonts w:hint="default" w:ascii="Times New Roman" w:hAnsi="Times New Roman" w:eastAsia="宋体" w:cs="Times New Roman"/>
          <w:bCs w:val="0"/>
          <w:color w:val="auto"/>
          <w:kern w:val="2"/>
          <w:highlight w:val="none"/>
          <w:lang w:val="en-US" w:eastAsia="zh-CN"/>
        </w:rPr>
        <w:t>部门单位机构设置</w:t>
      </w:r>
      <w:r>
        <w:rPr>
          <w:rFonts w:hint="default" w:ascii="Times New Roman" w:hAnsi="Times New Roman" w:eastAsia="宋体" w:cs="Times New Roman"/>
          <w:bCs w:val="0"/>
          <w:color w:val="auto"/>
          <w:kern w:val="2"/>
          <w:highlight w:val="none"/>
          <w:lang w:val="zh-TW" w:eastAsia="zh-TW"/>
        </w:rPr>
        <w:t>、</w:t>
      </w:r>
      <w:r>
        <w:rPr>
          <w:rFonts w:hint="default" w:ascii="Times New Roman" w:hAnsi="Times New Roman" w:eastAsia="宋体" w:cs="Times New Roman"/>
          <w:bCs w:val="0"/>
          <w:color w:val="auto"/>
          <w:kern w:val="2"/>
          <w:highlight w:val="none"/>
        </w:rPr>
        <w:t>部门</w:t>
      </w:r>
      <w:r>
        <w:rPr>
          <w:rFonts w:hint="default" w:ascii="Times New Roman" w:hAnsi="Times New Roman" w:eastAsia="宋体" w:cs="Times New Roman"/>
          <w:bCs w:val="0"/>
          <w:color w:val="auto"/>
          <w:kern w:val="2"/>
          <w:highlight w:val="none"/>
          <w:lang w:val="zh-TW" w:eastAsia="zh-TW"/>
        </w:rPr>
        <w:t>职能、</w:t>
      </w:r>
      <w:r>
        <w:rPr>
          <w:rFonts w:hint="default" w:ascii="Times New Roman" w:hAnsi="Times New Roman" w:eastAsia="宋体" w:cs="Times New Roman"/>
          <w:bCs w:val="0"/>
          <w:color w:val="auto"/>
          <w:kern w:val="2"/>
          <w:highlight w:val="none"/>
        </w:rPr>
        <w:t>中长期</w:t>
      </w:r>
      <w:r>
        <w:rPr>
          <w:rFonts w:hint="default" w:ascii="Times New Roman" w:hAnsi="Times New Roman" w:eastAsia="宋体" w:cs="Times New Roman"/>
          <w:bCs w:val="0"/>
          <w:color w:val="auto"/>
          <w:kern w:val="2"/>
          <w:highlight w:val="none"/>
          <w:lang w:val="zh-TW" w:eastAsia="zh-TW"/>
        </w:rPr>
        <w:t>规划、年度</w:t>
      </w:r>
      <w:r>
        <w:rPr>
          <w:rFonts w:hint="default" w:ascii="Times New Roman" w:hAnsi="Times New Roman" w:eastAsia="宋体" w:cs="Times New Roman"/>
          <w:bCs w:val="0"/>
          <w:color w:val="auto"/>
          <w:kern w:val="2"/>
          <w:highlight w:val="none"/>
        </w:rPr>
        <w:t>工作</w:t>
      </w:r>
      <w:r>
        <w:rPr>
          <w:rFonts w:hint="default" w:ascii="Times New Roman" w:hAnsi="Times New Roman" w:eastAsia="宋体" w:cs="Times New Roman"/>
          <w:bCs w:val="0"/>
          <w:color w:val="auto"/>
          <w:kern w:val="2"/>
          <w:highlight w:val="none"/>
          <w:lang w:val="zh-TW" w:eastAsia="zh-TW"/>
        </w:rPr>
        <w:t>计划</w:t>
      </w:r>
      <w:r>
        <w:rPr>
          <w:rFonts w:hint="default" w:ascii="Times New Roman" w:hAnsi="Times New Roman" w:eastAsia="宋体" w:cs="Times New Roman"/>
          <w:bCs w:val="0"/>
          <w:color w:val="auto"/>
          <w:kern w:val="2"/>
          <w:highlight w:val="none"/>
        </w:rPr>
        <w:t>和重点工作完成情况</w:t>
      </w:r>
      <w:r>
        <w:rPr>
          <w:rFonts w:hint="default" w:ascii="Times New Roman" w:hAnsi="Times New Roman" w:eastAsia="宋体" w:cs="Times New Roman"/>
          <w:bCs w:val="0"/>
          <w:color w:val="auto"/>
          <w:kern w:val="2"/>
          <w:highlight w:val="none"/>
          <w:lang w:val="zh-TW" w:eastAsia="zh-TW"/>
        </w:rPr>
        <w:t>、资金安排与使用</w:t>
      </w:r>
      <w:r>
        <w:rPr>
          <w:rFonts w:hint="default" w:ascii="Times New Roman" w:hAnsi="Times New Roman" w:eastAsia="宋体" w:cs="Times New Roman"/>
          <w:bCs w:val="0"/>
          <w:color w:val="auto"/>
          <w:kern w:val="2"/>
          <w:highlight w:val="none"/>
        </w:rPr>
        <w:t>情况</w:t>
      </w:r>
      <w:r>
        <w:rPr>
          <w:rFonts w:hint="default" w:ascii="Times New Roman" w:hAnsi="Times New Roman" w:eastAsia="宋体" w:cs="Times New Roman"/>
          <w:bCs w:val="0"/>
          <w:color w:val="auto"/>
          <w:kern w:val="2"/>
          <w:highlight w:val="none"/>
          <w:lang w:val="zh-TW" w:eastAsia="zh-TW"/>
        </w:rPr>
        <w:t>等基础</w:t>
      </w:r>
      <w:r>
        <w:rPr>
          <w:rFonts w:hint="default" w:ascii="Times New Roman" w:hAnsi="Times New Roman" w:eastAsia="宋体" w:cs="Times New Roman"/>
          <w:bCs w:val="0"/>
          <w:color w:val="auto"/>
          <w:kern w:val="2"/>
          <w:highlight w:val="none"/>
        </w:rPr>
        <w:t>资料</w:t>
      </w:r>
      <w:r>
        <w:rPr>
          <w:rFonts w:hint="default" w:ascii="Times New Roman" w:hAnsi="Times New Roman" w:eastAsia="宋体" w:cs="Times New Roman"/>
          <w:bCs w:val="0"/>
          <w:color w:val="auto"/>
          <w:kern w:val="2"/>
          <w:highlight w:val="none"/>
          <w:lang w:val="zh-TW" w:eastAsia="zh-TW"/>
        </w:rPr>
        <w:t>，</w:t>
      </w:r>
      <w:r>
        <w:rPr>
          <w:rFonts w:hint="default" w:ascii="Times New Roman" w:hAnsi="Times New Roman" w:eastAsia="宋体" w:cs="Times New Roman"/>
          <w:bCs w:val="0"/>
          <w:color w:val="auto"/>
          <w:kern w:val="2"/>
          <w:highlight w:val="none"/>
        </w:rPr>
        <w:t>分类梳理</w:t>
      </w:r>
      <w:r>
        <w:rPr>
          <w:rFonts w:hint="default" w:ascii="Times New Roman" w:hAnsi="Times New Roman" w:eastAsia="宋体" w:cs="Times New Roman"/>
          <w:bCs w:val="0"/>
          <w:color w:val="auto"/>
          <w:kern w:val="2"/>
          <w:highlight w:val="none"/>
          <w:lang w:val="zh-TW" w:eastAsia="zh-TW"/>
        </w:rPr>
        <w:t>202</w:t>
      </w:r>
      <w:r>
        <w:rPr>
          <w:rFonts w:hint="default" w:ascii="Times New Roman" w:hAnsi="Times New Roman" w:eastAsia="宋体" w:cs="Times New Roman"/>
          <w:bCs w:val="0"/>
          <w:color w:val="auto"/>
          <w:kern w:val="2"/>
          <w:highlight w:val="none"/>
          <w:lang w:val="en-US" w:eastAsia="zh-CN"/>
        </w:rPr>
        <w:t>4</w:t>
      </w:r>
      <w:r>
        <w:rPr>
          <w:rFonts w:hint="default" w:ascii="Times New Roman" w:hAnsi="Times New Roman" w:eastAsia="宋体" w:cs="Times New Roman"/>
          <w:bCs w:val="0"/>
          <w:color w:val="auto"/>
          <w:kern w:val="2"/>
          <w:highlight w:val="none"/>
          <w:lang w:val="zh-TW" w:eastAsia="zh-TW"/>
        </w:rPr>
        <w:t>年度部门预算资金</w:t>
      </w:r>
      <w:r>
        <w:rPr>
          <w:rFonts w:hint="default" w:ascii="Times New Roman" w:hAnsi="Times New Roman" w:eastAsia="宋体" w:cs="Times New Roman"/>
          <w:bCs w:val="0"/>
          <w:color w:val="auto"/>
          <w:kern w:val="2"/>
          <w:highlight w:val="none"/>
        </w:rPr>
        <w:t>管理</w:t>
      </w:r>
      <w:r>
        <w:rPr>
          <w:rFonts w:hint="default" w:ascii="Times New Roman" w:hAnsi="Times New Roman" w:eastAsia="宋体" w:cs="Times New Roman"/>
          <w:bCs w:val="0"/>
          <w:color w:val="auto"/>
          <w:kern w:val="2"/>
          <w:highlight w:val="none"/>
          <w:lang w:val="zh-TW" w:eastAsia="zh-TW"/>
        </w:rPr>
        <w:t>、</w:t>
      </w:r>
      <w:r>
        <w:rPr>
          <w:rFonts w:hint="default" w:ascii="Times New Roman" w:hAnsi="Times New Roman" w:eastAsia="宋体" w:cs="Times New Roman"/>
          <w:bCs w:val="0"/>
          <w:color w:val="auto"/>
          <w:kern w:val="2"/>
          <w:highlight w:val="none"/>
        </w:rPr>
        <w:t>部门履职、内控制度管理、</w:t>
      </w:r>
      <w:r>
        <w:rPr>
          <w:rFonts w:hint="default" w:ascii="Times New Roman" w:hAnsi="Times New Roman" w:eastAsia="宋体" w:cs="Times New Roman"/>
          <w:bCs w:val="0"/>
          <w:color w:val="auto"/>
          <w:kern w:val="2"/>
          <w:highlight w:val="none"/>
          <w:lang w:val="zh-TW" w:eastAsia="zh-TW"/>
        </w:rPr>
        <w:t>项目实施、绩效目标完成情况等数据，</w:t>
      </w:r>
      <w:r>
        <w:rPr>
          <w:rFonts w:hint="default" w:ascii="Times New Roman" w:hAnsi="Times New Roman" w:eastAsia="宋体" w:cs="Times New Roman"/>
          <w:bCs w:val="0"/>
          <w:color w:val="auto"/>
          <w:kern w:val="2"/>
          <w:highlight w:val="none"/>
        </w:rPr>
        <w:t>并</w:t>
      </w:r>
      <w:r>
        <w:rPr>
          <w:rFonts w:hint="default" w:ascii="Times New Roman" w:hAnsi="Times New Roman" w:eastAsia="宋体" w:cs="Times New Roman"/>
          <w:bCs w:val="0"/>
          <w:color w:val="auto"/>
          <w:kern w:val="2"/>
          <w:highlight w:val="none"/>
          <w:lang w:val="zh-TW" w:eastAsia="zh-TW"/>
        </w:rPr>
        <w:t>对采集的数据做详细的分析和统计</w:t>
      </w:r>
      <w:r>
        <w:rPr>
          <w:rFonts w:hint="default" w:ascii="Times New Roman" w:hAnsi="Times New Roman" w:eastAsia="宋体" w:cs="Times New Roman"/>
          <w:color w:val="auto"/>
          <w:kern w:val="2"/>
          <w:highlight w:val="none"/>
        </w:rPr>
        <w:t>。</w:t>
      </w:r>
    </w:p>
    <w:p w14:paraId="71325E84">
      <w:pPr>
        <w:ind w:firstLine="0"/>
        <w:rPr>
          <w:rFonts w:hint="default" w:ascii="Times New Roman" w:hAnsi="Times New Roman" w:eastAsia="宋体" w:cs="Times New Roman"/>
          <w:b w:val="0"/>
          <w:bCs w:val="0"/>
          <w:color w:val="auto"/>
          <w:kern w:val="2"/>
          <w:highlight w:val="none"/>
          <w:lang w:val="en-US" w:eastAsia="zh-CN"/>
        </w:rPr>
      </w:pPr>
      <w:r>
        <w:rPr>
          <w:rFonts w:hint="default" w:ascii="Times New Roman" w:hAnsi="Times New Roman" w:eastAsia="宋体" w:cs="Times New Roman"/>
          <w:color w:val="auto"/>
          <w:kern w:val="2"/>
          <w:highlight w:val="none"/>
        </w:rPr>
        <w:t>（</w:t>
      </w:r>
      <w:r>
        <w:rPr>
          <w:rFonts w:hint="default" w:ascii="Times New Roman" w:hAnsi="Times New Roman" w:eastAsia="宋体" w:cs="Times New Roman"/>
          <w:color w:val="auto"/>
          <w:kern w:val="2"/>
          <w:highlight w:val="none"/>
          <w:lang w:val="en-US" w:eastAsia="zh-CN"/>
        </w:rPr>
        <w:t>2</w:t>
      </w:r>
      <w:r>
        <w:rPr>
          <w:rFonts w:hint="default" w:ascii="Times New Roman" w:hAnsi="Times New Roman" w:eastAsia="宋体" w:cs="Times New Roman"/>
          <w:color w:val="auto"/>
          <w:kern w:val="2"/>
          <w:highlight w:val="none"/>
        </w:rPr>
        <w:t>）</w:t>
      </w:r>
      <w:bookmarkEnd w:id="47"/>
      <w:bookmarkStart w:id="48" w:name="_Toc419984726"/>
      <w:bookmarkStart w:id="49" w:name="_Toc428278235"/>
      <w:bookmarkStart w:id="50" w:name="_Toc26870"/>
      <w:r>
        <w:rPr>
          <w:rFonts w:hint="default" w:ascii="Times New Roman" w:hAnsi="Times New Roman" w:eastAsia="宋体" w:cs="Times New Roman"/>
          <w:color w:val="auto"/>
          <w:kern w:val="2"/>
          <w:highlight w:val="none"/>
        </w:rPr>
        <w:t>实地调研和现场勘察</w:t>
      </w:r>
      <w:r>
        <w:rPr>
          <w:rFonts w:hint="default" w:ascii="Times New Roman" w:hAnsi="Times New Roman" w:eastAsia="宋体" w:cs="Times New Roman"/>
          <w:color w:val="auto"/>
          <w:kern w:val="2"/>
          <w:highlight w:val="none"/>
          <w:lang w:eastAsia="zh-CN"/>
        </w:rPr>
        <w:t>，</w:t>
      </w:r>
      <w:r>
        <w:rPr>
          <w:rFonts w:hint="default" w:ascii="Times New Roman" w:hAnsi="Times New Roman" w:eastAsia="宋体" w:cs="Times New Roman"/>
          <w:color w:val="auto"/>
          <w:kern w:val="2"/>
          <w:highlight w:val="none"/>
          <w:lang w:val="en-US" w:eastAsia="zh-CN"/>
        </w:rPr>
        <w:t>由评价小组实地走访</w:t>
      </w:r>
      <w:r>
        <w:rPr>
          <w:rFonts w:hint="default" w:ascii="Times New Roman" w:hAnsi="Times New Roman" w:eastAsia="宋体" w:cs="Times New Roman"/>
          <w:color w:val="auto"/>
          <w:kern w:val="2"/>
          <w:highlight w:val="none"/>
          <w:lang w:eastAsia="zh-CN"/>
        </w:rPr>
        <w:t>伊宁县农技推广中心</w:t>
      </w:r>
      <w:r>
        <w:rPr>
          <w:rFonts w:hint="default" w:ascii="Times New Roman" w:hAnsi="Times New Roman" w:eastAsia="宋体" w:cs="Times New Roman"/>
          <w:color w:val="auto"/>
          <w:kern w:val="2"/>
          <w:highlight w:val="none"/>
          <w:lang w:val="en-US" w:eastAsia="zh-CN"/>
        </w:rPr>
        <w:t>，对单位的具体运行情况进行实地走访，对单位财务人员和业务科室相关人员对伊宁县整体发展要求、单位中长期发展、单位组织架构、单位人员构成、内控制度建设、财务管理、绩效管理、政府采购管理、资产管理等方面进行实地调研了解。同时，剔除单位日常人员工资、社保等刚性支出外，随机抽取单位7笔财务凭证涉及金额124.04万元，</w:t>
      </w:r>
      <w:r>
        <w:rPr>
          <w:rFonts w:hint="default" w:ascii="Times New Roman" w:hAnsi="Times New Roman" w:eastAsia="宋体" w:cs="Times New Roman"/>
          <w:color w:val="auto"/>
          <w:kern w:val="2"/>
          <w:highlight w:val="none"/>
        </w:rPr>
        <w:t>涵盖差旅</w:t>
      </w:r>
      <w:r>
        <w:rPr>
          <w:rFonts w:hint="default" w:ascii="Times New Roman" w:hAnsi="Times New Roman" w:eastAsia="宋体" w:cs="Times New Roman"/>
          <w:color w:val="auto"/>
          <w:kern w:val="2"/>
          <w:highlight w:val="none"/>
          <w:lang w:val="en-US" w:eastAsia="zh-CN"/>
        </w:rPr>
        <w:t>费支出</w:t>
      </w:r>
      <w:r>
        <w:rPr>
          <w:rFonts w:hint="default" w:ascii="Times New Roman" w:hAnsi="Times New Roman" w:eastAsia="宋体" w:cs="Times New Roman"/>
          <w:color w:val="auto"/>
          <w:kern w:val="2"/>
          <w:highlight w:val="none"/>
        </w:rPr>
        <w:t>、维修、采购等</w:t>
      </w:r>
      <w:r>
        <w:rPr>
          <w:rFonts w:hint="default" w:ascii="Times New Roman" w:hAnsi="Times New Roman" w:eastAsia="宋体" w:cs="Times New Roman"/>
          <w:color w:val="auto"/>
          <w:kern w:val="2"/>
          <w:highlight w:val="none"/>
          <w:lang w:val="en-US" w:eastAsia="zh-CN"/>
        </w:rPr>
        <w:t>不同类型的</w:t>
      </w:r>
      <w:r>
        <w:rPr>
          <w:rFonts w:hint="default" w:ascii="Times New Roman" w:hAnsi="Times New Roman" w:eastAsia="宋体" w:cs="Times New Roman"/>
          <w:color w:val="auto"/>
          <w:kern w:val="2"/>
          <w:highlight w:val="none"/>
        </w:rPr>
        <w:t>业务活动</w:t>
      </w:r>
      <w:r>
        <w:rPr>
          <w:rFonts w:hint="default" w:ascii="Times New Roman" w:hAnsi="Times New Roman" w:eastAsia="宋体" w:cs="Times New Roman"/>
          <w:color w:val="auto"/>
          <w:kern w:val="2"/>
          <w:highlight w:val="none"/>
          <w:lang w:eastAsia="zh-CN"/>
        </w:rPr>
        <w:t>，</w:t>
      </w:r>
      <w:r>
        <w:rPr>
          <w:rFonts w:hint="default" w:ascii="Times New Roman" w:hAnsi="Times New Roman" w:eastAsia="宋体" w:cs="Times New Roman"/>
          <w:color w:val="auto"/>
          <w:kern w:val="2"/>
          <w:highlight w:val="none"/>
          <w:lang w:val="en-US" w:eastAsia="zh-CN"/>
        </w:rPr>
        <w:t>查阅项目支出规范性</w:t>
      </w:r>
      <w:r>
        <w:rPr>
          <w:rFonts w:hint="default" w:ascii="Times New Roman" w:hAnsi="Times New Roman" w:eastAsia="宋体" w:cs="Times New Roman"/>
          <w:color w:val="auto"/>
          <w:kern w:val="2"/>
          <w:highlight w:val="none"/>
          <w:lang w:eastAsia="zh-CN"/>
        </w:rPr>
        <w:t>；</w:t>
      </w:r>
      <w:r>
        <w:rPr>
          <w:rFonts w:hint="default" w:ascii="Times New Roman" w:hAnsi="Times New Roman" w:eastAsia="宋体" w:cs="Times New Roman"/>
          <w:color w:val="auto"/>
          <w:kern w:val="2"/>
          <w:highlight w:val="none"/>
          <w:lang w:val="en-US" w:eastAsia="zh-CN"/>
        </w:rPr>
        <w:t>调阅单位资产管理平台，随机抽盘单位资产管理情况，查阅单位资产管理有效性；抽查</w:t>
      </w:r>
      <w:r>
        <w:rPr>
          <w:rFonts w:hint="default" w:ascii="Times New Roman" w:hAnsi="Times New Roman" w:eastAsia="宋体" w:cs="Times New Roman"/>
          <w:color w:val="auto"/>
          <w:kern w:val="2"/>
          <w:highlight w:val="none"/>
        </w:rPr>
        <w:t>新疆维吾尔自治区财政预算绩效系统数据</w:t>
      </w:r>
      <w:r>
        <w:rPr>
          <w:rFonts w:hint="default" w:ascii="Times New Roman" w:hAnsi="Times New Roman" w:eastAsia="宋体" w:cs="Times New Roman"/>
          <w:color w:val="auto"/>
          <w:kern w:val="2"/>
          <w:highlight w:val="none"/>
          <w:lang w:eastAsia="zh-CN"/>
        </w:rPr>
        <w:t>，</w:t>
      </w:r>
      <w:r>
        <w:rPr>
          <w:rFonts w:hint="default" w:ascii="Times New Roman" w:hAnsi="Times New Roman" w:eastAsia="宋体" w:cs="Times New Roman"/>
          <w:color w:val="auto"/>
          <w:kern w:val="2"/>
          <w:highlight w:val="none"/>
          <w:lang w:val="en-US" w:eastAsia="zh-CN"/>
        </w:rPr>
        <w:t>查阅单位部门整体绩效评价与项目绩效评价管理情况，并对其指标上传的印证资料进行逐项核对真实性。</w:t>
      </w:r>
    </w:p>
    <w:p w14:paraId="7F4784C8">
      <w:pPr>
        <w:ind w:firstLine="0"/>
        <w:rPr>
          <w:rFonts w:hint="default" w:ascii="Times New Roman" w:hAnsi="Times New Roman" w:eastAsia="宋体" w:cs="Times New Roman"/>
          <w:color w:val="auto"/>
          <w:kern w:val="2"/>
          <w:highlight w:val="none"/>
          <w:lang w:val="zh-TW" w:eastAsia="zh-CN"/>
        </w:rPr>
      </w:pPr>
      <w:r>
        <w:rPr>
          <w:rFonts w:hint="default" w:ascii="Times New Roman" w:hAnsi="Times New Roman" w:eastAsia="宋体" w:cs="Times New Roman"/>
          <w:b w:val="0"/>
          <w:bCs w:val="0"/>
          <w:color w:val="auto"/>
          <w:kern w:val="2"/>
          <w:highlight w:val="none"/>
          <w:lang w:eastAsia="zh-CN"/>
        </w:rPr>
        <w:t>（</w:t>
      </w:r>
      <w:r>
        <w:rPr>
          <w:rFonts w:hint="default" w:ascii="Times New Roman" w:hAnsi="Times New Roman" w:eastAsia="宋体" w:cs="Times New Roman"/>
          <w:b w:val="0"/>
          <w:bCs w:val="0"/>
          <w:color w:val="auto"/>
          <w:kern w:val="2"/>
          <w:highlight w:val="none"/>
          <w:lang w:val="en-US" w:eastAsia="zh-CN"/>
        </w:rPr>
        <w:t>3</w:t>
      </w:r>
      <w:r>
        <w:rPr>
          <w:rFonts w:hint="default" w:ascii="Times New Roman" w:hAnsi="Times New Roman" w:eastAsia="宋体" w:cs="Times New Roman"/>
          <w:b w:val="0"/>
          <w:bCs w:val="0"/>
          <w:color w:val="auto"/>
          <w:kern w:val="2"/>
          <w:highlight w:val="none"/>
          <w:lang w:eastAsia="zh-CN"/>
        </w:rPr>
        <w:t>）</w:t>
      </w:r>
      <w:r>
        <w:rPr>
          <w:rFonts w:hint="default" w:ascii="Times New Roman" w:hAnsi="Times New Roman" w:eastAsia="宋体" w:cs="Times New Roman"/>
          <w:b w:val="0"/>
          <w:bCs w:val="0"/>
          <w:color w:val="auto"/>
          <w:kern w:val="2"/>
          <w:highlight w:val="none"/>
        </w:rPr>
        <w:t>经调研了解，</w:t>
      </w:r>
      <w:bookmarkEnd w:id="48"/>
      <w:bookmarkEnd w:id="49"/>
      <w:bookmarkEnd w:id="50"/>
      <w:r>
        <w:rPr>
          <w:rFonts w:hint="default" w:ascii="Times New Roman" w:hAnsi="Times New Roman" w:eastAsia="宋体" w:cs="Times New Roman"/>
          <w:bCs w:val="0"/>
          <w:color w:val="auto"/>
          <w:kern w:val="2"/>
          <w:highlight w:val="none"/>
        </w:rPr>
        <w:t>绩效评</w:t>
      </w:r>
      <w:r>
        <w:rPr>
          <w:rFonts w:hint="default" w:ascii="Times New Roman" w:hAnsi="Times New Roman" w:eastAsia="宋体" w:cs="Times New Roman"/>
          <w:color w:val="auto"/>
          <w:kern w:val="2"/>
          <w:highlight w:val="none"/>
          <w:lang w:val="en-US" w:eastAsia="zh-CN"/>
        </w:rPr>
        <w:t>价组结合现场调研情况以及部门工作开展情况，明确部门履职而影响到的受益群体为当地农户，通过调查问卷形式了解部门服务对象对</w:t>
      </w:r>
      <w:r>
        <w:rPr>
          <w:rFonts w:hint="default" w:ascii="Times New Roman" w:hAnsi="Times New Roman" w:eastAsia="宋体" w:cs="Times New Roman"/>
          <w:color w:val="auto"/>
          <w:kern w:val="2"/>
          <w:highlight w:val="none"/>
          <w:lang w:val="zh-TW" w:eastAsia="zh-CN"/>
        </w:rPr>
        <w:t>伊宁县农技推广中心</w:t>
      </w:r>
      <w:r>
        <w:rPr>
          <w:rFonts w:hint="default" w:ascii="Times New Roman" w:hAnsi="Times New Roman" w:eastAsia="宋体" w:cs="Times New Roman"/>
          <w:color w:val="auto"/>
          <w:kern w:val="2"/>
          <w:highlight w:val="none"/>
          <w:lang w:val="en-US" w:eastAsia="zh-CN"/>
        </w:rPr>
        <w:t>的农技推广宣传、农业技术指导、农作物重大病虫害预警、农技推广中心工作人员服务态度等的满意程度，以及服务提供情况与现实需求的匹配程度。</w:t>
      </w:r>
      <w:r>
        <w:rPr>
          <w:rFonts w:hint="default" w:ascii="Times New Roman" w:hAnsi="Times New Roman" w:eastAsia="宋体" w:cs="Times New Roman"/>
          <w:color w:val="auto"/>
          <w:kern w:val="2"/>
          <w:highlight w:val="none"/>
          <w:lang w:val="zh-TW" w:eastAsia="zh-CN"/>
        </w:rPr>
        <w:t>该项目问卷调查使用抽样的方式，对</w:t>
      </w:r>
      <w:r>
        <w:rPr>
          <w:rFonts w:hint="default" w:ascii="Times New Roman" w:hAnsi="Times New Roman" w:eastAsia="宋体" w:cs="Times New Roman"/>
          <w:color w:val="auto"/>
          <w:kern w:val="2"/>
          <w:highlight w:val="none"/>
          <w:lang w:val="en-US" w:eastAsia="zh-CN"/>
        </w:rPr>
        <w:t>伊宁县农户随机发放线上调查问卷</w:t>
      </w:r>
      <w:r>
        <w:rPr>
          <w:rFonts w:hint="default" w:ascii="Times New Roman" w:hAnsi="Times New Roman" w:eastAsia="宋体" w:cs="Times New Roman"/>
          <w:color w:val="auto"/>
          <w:kern w:val="2"/>
          <w:highlight w:val="none"/>
          <w:lang w:val="zh-TW" w:eastAsia="zh-CN"/>
        </w:rPr>
        <w:t>。</w:t>
      </w:r>
      <w:r>
        <w:rPr>
          <w:rFonts w:hint="default" w:ascii="Times New Roman" w:hAnsi="Times New Roman" w:eastAsia="宋体" w:cs="Times New Roman"/>
          <w:color w:val="auto"/>
          <w:kern w:val="2"/>
          <w:highlight w:val="none"/>
          <w:lang w:val="en-US" w:eastAsia="zh-CN"/>
        </w:rPr>
        <w:t>共发放并收回满意度调查问卷487份。</w:t>
      </w:r>
    </w:p>
    <w:p w14:paraId="1102A95F">
      <w:pPr>
        <w:ind w:firstLine="0"/>
        <w:rPr>
          <w:rFonts w:hint="default" w:ascii="Times New Roman" w:hAnsi="Times New Roman" w:eastAsia="宋体" w:cs="Times New Roman"/>
          <w:color w:val="auto"/>
          <w:kern w:val="2"/>
          <w:highlight w:val="none"/>
        </w:rPr>
      </w:pPr>
      <w:r>
        <w:rPr>
          <w:rFonts w:hint="default" w:ascii="Times New Roman" w:hAnsi="Times New Roman" w:eastAsia="宋体" w:cs="Times New Roman"/>
          <w:color w:val="auto"/>
          <w:kern w:val="2"/>
          <w:szCs w:val="21"/>
          <w:highlight w:val="none"/>
        </w:rPr>
        <w:t>（5）通过对采集的数据资料进行复核汇总、分类整理和综合分析，按照设立的评价指标、标准、权重、方法实施评价，并形成评价工作底稿</w:t>
      </w:r>
      <w:r>
        <w:rPr>
          <w:rFonts w:hint="default" w:ascii="Times New Roman" w:hAnsi="Times New Roman" w:eastAsia="宋体" w:cs="Times New Roman"/>
          <w:color w:val="auto"/>
          <w:kern w:val="2"/>
          <w:highlight w:val="none"/>
        </w:rPr>
        <w:t>。</w:t>
      </w:r>
    </w:p>
    <w:p w14:paraId="20F482B4">
      <w:pPr>
        <w:pStyle w:val="6"/>
        <w:rPr>
          <w:rFonts w:hint="default" w:ascii="Times New Roman" w:hAnsi="Times New Roman" w:eastAsia="宋体" w:cs="Times New Roman"/>
          <w:color w:val="auto"/>
          <w:highlight w:val="none"/>
        </w:rPr>
      </w:pPr>
      <w:bookmarkStart w:id="51" w:name="_Toc19481"/>
      <w:r>
        <w:rPr>
          <w:rFonts w:hint="eastAsia" w:ascii="Times New Roman" w:hAnsi="Times New Roman" w:eastAsia="宋体" w:cs="Times New Roman"/>
          <w:color w:val="auto"/>
          <w:highlight w:val="none"/>
          <w:lang w:val="en-US" w:eastAsia="zh-CN"/>
        </w:rPr>
        <w:t>4.</w:t>
      </w:r>
      <w:r>
        <w:rPr>
          <w:rFonts w:hint="default" w:ascii="Times New Roman" w:hAnsi="Times New Roman" w:eastAsia="宋体" w:cs="Times New Roman"/>
          <w:color w:val="auto"/>
          <w:highlight w:val="none"/>
        </w:rPr>
        <w:t>撰写</w:t>
      </w:r>
      <w:r>
        <w:rPr>
          <w:rFonts w:hint="eastAsia" w:ascii="Times New Roman" w:hAnsi="Times New Roman" w:eastAsia="宋体" w:cs="Times New Roman"/>
          <w:color w:val="auto"/>
          <w:highlight w:val="none"/>
          <w:lang w:val="en-US" w:eastAsia="zh-CN"/>
        </w:rPr>
        <w:t>绩效评价</w:t>
      </w:r>
      <w:r>
        <w:rPr>
          <w:rFonts w:hint="default" w:ascii="Times New Roman" w:hAnsi="Times New Roman" w:eastAsia="宋体" w:cs="Times New Roman"/>
          <w:color w:val="auto"/>
          <w:highlight w:val="none"/>
        </w:rPr>
        <w:t>报告</w:t>
      </w:r>
      <w:bookmarkEnd w:id="51"/>
    </w:p>
    <w:p w14:paraId="3D2A0D88">
      <w:pPr>
        <w:ind w:firstLine="0"/>
        <w:rPr>
          <w:rFonts w:hint="default" w:ascii="Times New Roman" w:hAnsi="Times New Roman" w:eastAsia="宋体" w:cs="Times New Roman"/>
          <w:color w:val="auto"/>
          <w:kern w:val="2"/>
          <w:highlight w:val="none"/>
        </w:rPr>
      </w:pPr>
      <w:r>
        <w:rPr>
          <w:rFonts w:hint="default" w:ascii="Times New Roman" w:hAnsi="Times New Roman" w:eastAsia="宋体" w:cs="Times New Roman"/>
          <w:color w:val="auto"/>
          <w:kern w:val="2"/>
          <w:highlight w:val="none"/>
          <w:lang w:val="en-US" w:eastAsia="zh-CN"/>
        </w:rPr>
        <w:t>2025</w:t>
      </w:r>
      <w:r>
        <w:rPr>
          <w:rFonts w:hint="default" w:ascii="Times New Roman" w:hAnsi="Times New Roman" w:eastAsia="宋体" w:cs="Times New Roman"/>
          <w:color w:val="auto"/>
          <w:kern w:val="2"/>
          <w:highlight w:val="none"/>
        </w:rPr>
        <w:t>年</w:t>
      </w:r>
      <w:r>
        <w:rPr>
          <w:rFonts w:hint="default" w:ascii="Times New Roman" w:hAnsi="Times New Roman" w:eastAsia="宋体" w:cs="Times New Roman"/>
          <w:color w:val="auto"/>
          <w:kern w:val="2"/>
          <w:highlight w:val="none"/>
          <w:lang w:val="en-US" w:eastAsia="zh-CN"/>
        </w:rPr>
        <w:t>7</w:t>
      </w:r>
      <w:r>
        <w:rPr>
          <w:rFonts w:hint="default" w:ascii="Times New Roman" w:hAnsi="Times New Roman" w:eastAsia="宋体" w:cs="Times New Roman"/>
          <w:color w:val="auto"/>
          <w:kern w:val="2"/>
          <w:highlight w:val="none"/>
        </w:rPr>
        <w:t>月</w:t>
      </w:r>
      <w:r>
        <w:rPr>
          <w:rFonts w:hint="default" w:ascii="Times New Roman" w:hAnsi="Times New Roman" w:eastAsia="宋体" w:cs="Times New Roman"/>
          <w:color w:val="auto"/>
          <w:kern w:val="2"/>
          <w:highlight w:val="none"/>
          <w:lang w:val="en-US" w:eastAsia="zh-CN"/>
        </w:rPr>
        <w:t>21</w:t>
      </w:r>
      <w:r>
        <w:rPr>
          <w:rFonts w:hint="default" w:ascii="Times New Roman" w:hAnsi="Times New Roman" w:eastAsia="宋体" w:cs="Times New Roman"/>
          <w:color w:val="auto"/>
          <w:kern w:val="2"/>
          <w:highlight w:val="none"/>
        </w:rPr>
        <w:t>日</w:t>
      </w:r>
      <w:r>
        <w:rPr>
          <w:rFonts w:hint="default" w:ascii="Times New Roman" w:hAnsi="Times New Roman" w:eastAsia="宋体" w:cs="Times New Roman"/>
          <w:color w:val="auto"/>
          <w:kern w:val="2"/>
          <w:highlight w:val="none"/>
          <w:lang w:val="en-US" w:eastAsia="zh-CN"/>
        </w:rPr>
        <w:t>至2025</w:t>
      </w:r>
      <w:r>
        <w:rPr>
          <w:rFonts w:hint="default" w:ascii="Times New Roman" w:hAnsi="Times New Roman" w:eastAsia="宋体" w:cs="Times New Roman"/>
          <w:color w:val="auto"/>
          <w:kern w:val="2"/>
          <w:highlight w:val="none"/>
        </w:rPr>
        <w:t>年</w:t>
      </w:r>
      <w:r>
        <w:rPr>
          <w:rFonts w:hint="default" w:ascii="Times New Roman" w:hAnsi="Times New Roman" w:eastAsia="宋体" w:cs="Times New Roman"/>
          <w:color w:val="auto"/>
          <w:kern w:val="2"/>
          <w:highlight w:val="none"/>
          <w:lang w:val="en-US" w:eastAsia="zh-CN"/>
        </w:rPr>
        <w:t>7</w:t>
      </w:r>
      <w:r>
        <w:rPr>
          <w:rFonts w:hint="default" w:ascii="Times New Roman" w:hAnsi="Times New Roman" w:eastAsia="宋体" w:cs="Times New Roman"/>
          <w:color w:val="auto"/>
          <w:kern w:val="2"/>
          <w:highlight w:val="none"/>
        </w:rPr>
        <w:t>月</w:t>
      </w:r>
      <w:r>
        <w:rPr>
          <w:rFonts w:hint="default" w:ascii="Times New Roman" w:hAnsi="Times New Roman" w:eastAsia="宋体" w:cs="Times New Roman"/>
          <w:color w:val="auto"/>
          <w:kern w:val="2"/>
          <w:highlight w:val="none"/>
          <w:lang w:val="en-US" w:eastAsia="zh-CN"/>
        </w:rPr>
        <w:t>2</w:t>
      </w:r>
      <w:r>
        <w:rPr>
          <w:rFonts w:hint="eastAsia" w:ascii="Times New Roman" w:hAnsi="Times New Roman" w:eastAsia="宋体" w:cs="Times New Roman"/>
          <w:color w:val="auto"/>
          <w:kern w:val="2"/>
          <w:highlight w:val="none"/>
          <w:lang w:val="en-US" w:eastAsia="zh-CN"/>
        </w:rPr>
        <w:t>8</w:t>
      </w:r>
      <w:r>
        <w:rPr>
          <w:rFonts w:hint="default" w:ascii="Times New Roman" w:hAnsi="Times New Roman" w:eastAsia="宋体" w:cs="Times New Roman"/>
          <w:color w:val="auto"/>
          <w:kern w:val="2"/>
          <w:highlight w:val="none"/>
        </w:rPr>
        <w:t>日</w:t>
      </w:r>
      <w:r>
        <w:rPr>
          <w:rFonts w:hint="default" w:ascii="Times New Roman" w:hAnsi="Times New Roman" w:eastAsia="宋体" w:cs="Times New Roman"/>
          <w:color w:val="auto"/>
          <w:kern w:val="2"/>
          <w:highlight w:val="none"/>
          <w:lang w:eastAsia="zh-CN"/>
        </w:rPr>
        <w:t>，</w:t>
      </w:r>
      <w:r>
        <w:rPr>
          <w:rFonts w:hint="default" w:ascii="Times New Roman" w:hAnsi="Times New Roman" w:eastAsia="宋体" w:cs="Times New Roman"/>
          <w:color w:val="auto"/>
          <w:kern w:val="2"/>
          <w:highlight w:val="none"/>
          <w:lang w:val="en-US" w:eastAsia="zh-CN"/>
        </w:rPr>
        <w:t>项目组</w:t>
      </w:r>
      <w:r>
        <w:rPr>
          <w:rFonts w:hint="default" w:ascii="Times New Roman" w:hAnsi="Times New Roman" w:eastAsia="宋体" w:cs="Times New Roman"/>
          <w:color w:val="auto"/>
          <w:kern w:val="2"/>
          <w:highlight w:val="none"/>
        </w:rPr>
        <w:t>归集</w:t>
      </w:r>
      <w:r>
        <w:rPr>
          <w:rFonts w:hint="default" w:ascii="Times New Roman" w:hAnsi="Times New Roman" w:eastAsia="宋体" w:cs="Times New Roman"/>
          <w:color w:val="auto"/>
          <w:kern w:val="2"/>
          <w:highlight w:val="none"/>
          <w:lang w:val="en-US" w:eastAsia="zh-CN"/>
        </w:rPr>
        <w:t>绩效评价</w:t>
      </w:r>
      <w:r>
        <w:rPr>
          <w:rFonts w:hint="default" w:ascii="Times New Roman" w:hAnsi="Times New Roman" w:eastAsia="宋体" w:cs="Times New Roman"/>
          <w:color w:val="auto"/>
          <w:kern w:val="2"/>
          <w:highlight w:val="none"/>
        </w:rPr>
        <w:t>工作底稿，起草</w:t>
      </w:r>
      <w:r>
        <w:rPr>
          <w:rFonts w:hint="default" w:ascii="Times New Roman" w:hAnsi="Times New Roman" w:eastAsia="宋体" w:cs="Times New Roman"/>
          <w:color w:val="auto"/>
          <w:kern w:val="2"/>
          <w:highlight w:val="none"/>
          <w:lang w:val="en-US" w:eastAsia="zh-CN"/>
        </w:rPr>
        <w:t>绩效评价</w:t>
      </w:r>
      <w:r>
        <w:rPr>
          <w:rFonts w:hint="default" w:ascii="Times New Roman" w:hAnsi="Times New Roman" w:eastAsia="宋体" w:cs="Times New Roman"/>
          <w:color w:val="auto"/>
          <w:kern w:val="2"/>
          <w:highlight w:val="none"/>
        </w:rPr>
        <w:t>报告，经公司内部质量审核通过后向委托人提交评估报告初稿，并报送项目实施机构以及行业主管部门，进行结果反馈，充分交换意见。</w:t>
      </w:r>
    </w:p>
    <w:p w14:paraId="23F4A713">
      <w:pPr>
        <w:pStyle w:val="6"/>
        <w:numPr>
          <w:ilvl w:val="0"/>
          <w:numId w:val="0"/>
        </w:numPr>
        <w:spacing w:before="0" w:after="0" w:line="360" w:lineRule="auto"/>
        <w:ind w:firstLine="422" w:firstLineChars="200"/>
        <w:rPr>
          <w:rFonts w:hint="eastAsia" w:ascii="Times New Roman" w:hAnsi="Times New Roman" w:eastAsia="宋体" w:cs="Times New Roman"/>
          <w:color w:val="auto"/>
          <w:lang w:val="en-US" w:eastAsia="zh-CN"/>
        </w:rPr>
      </w:pPr>
      <w:r>
        <w:rPr>
          <w:rFonts w:hint="eastAsia" w:ascii="Times New Roman" w:hAnsi="Times New Roman" w:eastAsia="宋体" w:cs="Times New Roman"/>
          <w:b/>
          <w:bCs/>
          <w:color w:val="auto"/>
          <w:kern w:val="0"/>
          <w:sz w:val="21"/>
          <w:szCs w:val="32"/>
          <w:lang w:val="en-US" w:eastAsia="zh-CN" w:bidi="ar-SA"/>
        </w:rPr>
        <w:t>5.</w:t>
      </w:r>
      <w:r>
        <w:rPr>
          <w:rFonts w:hint="eastAsia" w:ascii="Times New Roman" w:hAnsi="Times New Roman" w:eastAsia="宋体" w:cs="Times New Roman"/>
          <w:color w:val="auto"/>
          <w:lang w:val="en-US" w:eastAsia="zh-CN"/>
        </w:rPr>
        <w:t>报告意见反馈及沟通情况</w:t>
      </w:r>
    </w:p>
    <w:p w14:paraId="2AB31C58">
      <w:pPr>
        <w:pStyle w:val="6"/>
        <w:spacing w:before="0" w:after="0" w:line="360" w:lineRule="auto"/>
        <w:ind w:firstLine="641"/>
        <w:rPr>
          <w:rFonts w:hint="default" w:ascii="Times New Roman" w:hAnsi="Times New Roman" w:eastAsia="宋体" w:cs="Times New Roman"/>
          <w:b w:val="0"/>
          <w:bCs w:val="0"/>
          <w:color w:val="auto"/>
          <w:kern w:val="2"/>
          <w:sz w:val="21"/>
          <w:szCs w:val="21"/>
          <w:lang w:val="en-US" w:eastAsia="zh-CN" w:bidi="ar-SA"/>
        </w:rPr>
      </w:pPr>
      <w:r>
        <w:rPr>
          <w:rFonts w:hint="default" w:ascii="Times New Roman" w:hAnsi="Times New Roman" w:eastAsia="宋体" w:cs="Times New Roman"/>
          <w:b w:val="0"/>
          <w:bCs w:val="0"/>
          <w:color w:val="auto"/>
          <w:kern w:val="2"/>
          <w:sz w:val="21"/>
          <w:szCs w:val="21"/>
          <w:lang w:val="en-US" w:eastAsia="zh-CN" w:bidi="ar-SA"/>
        </w:rPr>
        <w:t>我单位于202</w:t>
      </w:r>
      <w:r>
        <w:rPr>
          <w:rFonts w:hint="eastAsia" w:ascii="Times New Roman" w:hAnsi="Times New Roman" w:eastAsia="宋体" w:cs="Times New Roman"/>
          <w:b w:val="0"/>
          <w:bCs w:val="0"/>
          <w:color w:val="auto"/>
          <w:kern w:val="2"/>
          <w:sz w:val="21"/>
          <w:szCs w:val="21"/>
          <w:lang w:val="en-US" w:eastAsia="zh-CN" w:bidi="ar-SA"/>
        </w:rPr>
        <w:t>5</w:t>
      </w:r>
      <w:r>
        <w:rPr>
          <w:rFonts w:hint="default" w:ascii="Times New Roman" w:hAnsi="Times New Roman" w:eastAsia="宋体" w:cs="Times New Roman"/>
          <w:b w:val="0"/>
          <w:bCs w:val="0"/>
          <w:color w:val="auto"/>
          <w:kern w:val="2"/>
          <w:sz w:val="21"/>
          <w:szCs w:val="21"/>
          <w:lang w:val="en-US" w:eastAsia="zh-CN" w:bidi="ar-SA"/>
        </w:rPr>
        <w:t>年</w:t>
      </w:r>
      <w:r>
        <w:rPr>
          <w:rFonts w:hint="eastAsia" w:ascii="Times New Roman" w:hAnsi="Times New Roman" w:eastAsia="宋体" w:cs="Times New Roman"/>
          <w:b w:val="0"/>
          <w:bCs w:val="0"/>
          <w:color w:val="auto"/>
          <w:kern w:val="2"/>
          <w:sz w:val="21"/>
          <w:szCs w:val="21"/>
          <w:lang w:val="en-US" w:eastAsia="zh-CN" w:bidi="ar-SA"/>
        </w:rPr>
        <w:t>8</w:t>
      </w:r>
      <w:r>
        <w:rPr>
          <w:rFonts w:hint="default" w:ascii="Times New Roman" w:hAnsi="Times New Roman" w:eastAsia="宋体" w:cs="Times New Roman"/>
          <w:b w:val="0"/>
          <w:bCs w:val="0"/>
          <w:color w:val="auto"/>
          <w:kern w:val="2"/>
          <w:sz w:val="21"/>
          <w:szCs w:val="21"/>
          <w:lang w:val="en-US" w:eastAsia="zh-CN" w:bidi="ar-SA"/>
        </w:rPr>
        <w:t>月</w:t>
      </w:r>
      <w:r>
        <w:rPr>
          <w:rFonts w:hint="eastAsia" w:ascii="Times New Roman" w:hAnsi="Times New Roman" w:eastAsia="宋体" w:cs="Times New Roman"/>
          <w:b w:val="0"/>
          <w:bCs w:val="0"/>
          <w:color w:val="auto"/>
          <w:kern w:val="2"/>
          <w:sz w:val="21"/>
          <w:szCs w:val="21"/>
          <w:lang w:val="en-US" w:eastAsia="zh-CN" w:bidi="ar-SA"/>
        </w:rPr>
        <w:t>18</w:t>
      </w:r>
      <w:r>
        <w:rPr>
          <w:rFonts w:hint="default" w:ascii="Times New Roman" w:hAnsi="Times New Roman" w:eastAsia="宋体" w:cs="Times New Roman"/>
          <w:b w:val="0"/>
          <w:bCs w:val="0"/>
          <w:color w:val="auto"/>
          <w:kern w:val="2"/>
          <w:sz w:val="21"/>
          <w:szCs w:val="21"/>
          <w:lang w:val="en-US" w:eastAsia="zh-CN" w:bidi="ar-SA"/>
        </w:rPr>
        <w:t>日将《绩效评价报告意见反馈表》 《伊宁县农技推广中心部门整体支出绩效评价报告（征求意见稿）》报送至</w:t>
      </w:r>
      <w:r>
        <w:rPr>
          <w:rFonts w:hint="eastAsia" w:ascii="Times New Roman" w:hAnsi="Times New Roman" w:eastAsia="宋体" w:cs="Times New Roman"/>
          <w:b w:val="0"/>
          <w:bCs w:val="0"/>
          <w:color w:val="auto"/>
          <w:kern w:val="2"/>
          <w:sz w:val="21"/>
          <w:szCs w:val="21"/>
          <w:lang w:val="en-US" w:eastAsia="zh-CN" w:bidi="ar-SA"/>
        </w:rPr>
        <w:t>伊宁县农技推广中心</w:t>
      </w:r>
      <w:r>
        <w:rPr>
          <w:rFonts w:hint="default" w:ascii="Times New Roman" w:hAnsi="Times New Roman" w:eastAsia="宋体" w:cs="Times New Roman"/>
          <w:b w:val="0"/>
          <w:bCs w:val="0"/>
          <w:color w:val="auto"/>
          <w:kern w:val="2"/>
          <w:sz w:val="21"/>
          <w:szCs w:val="21"/>
          <w:lang w:val="en-US" w:eastAsia="zh-CN" w:bidi="ar-SA"/>
        </w:rPr>
        <w:t>。</w:t>
      </w:r>
    </w:p>
    <w:p w14:paraId="4A79C1EE">
      <w:pPr>
        <w:pStyle w:val="6"/>
        <w:spacing w:before="0" w:after="0" w:line="360" w:lineRule="auto"/>
        <w:ind w:firstLine="641"/>
        <w:rPr>
          <w:rFonts w:hint="default" w:ascii="Times New Roman" w:hAnsi="Times New Roman" w:eastAsia="宋体" w:cs="Times New Roman"/>
          <w:color w:val="auto"/>
          <w:kern w:val="2"/>
          <w:highlight w:val="none"/>
        </w:rPr>
      </w:pPr>
      <w:r>
        <w:rPr>
          <w:rFonts w:hint="eastAsia" w:ascii="Times New Roman" w:hAnsi="Times New Roman" w:eastAsia="宋体" w:cs="Times New Roman"/>
          <w:b w:val="0"/>
          <w:bCs w:val="0"/>
          <w:color w:val="auto"/>
          <w:kern w:val="2"/>
          <w:sz w:val="21"/>
          <w:szCs w:val="21"/>
          <w:lang w:val="en-US" w:eastAsia="zh-CN" w:bidi="ar-SA"/>
        </w:rPr>
        <w:t>伊宁县农技推广中心</w:t>
      </w:r>
      <w:r>
        <w:rPr>
          <w:rFonts w:hint="default" w:ascii="Times New Roman" w:hAnsi="Times New Roman" w:eastAsia="宋体" w:cs="Times New Roman"/>
          <w:b w:val="0"/>
          <w:bCs w:val="0"/>
          <w:color w:val="auto"/>
          <w:kern w:val="2"/>
          <w:sz w:val="21"/>
          <w:szCs w:val="21"/>
          <w:lang w:val="en-US" w:eastAsia="zh-CN" w:bidi="ar-SA"/>
        </w:rPr>
        <w:t>于202</w:t>
      </w:r>
      <w:r>
        <w:rPr>
          <w:rFonts w:hint="eastAsia" w:ascii="Times New Roman" w:hAnsi="Times New Roman" w:eastAsia="宋体" w:cs="Times New Roman"/>
          <w:b w:val="0"/>
          <w:bCs w:val="0"/>
          <w:color w:val="auto"/>
          <w:kern w:val="2"/>
          <w:sz w:val="21"/>
          <w:szCs w:val="21"/>
          <w:lang w:val="en-US" w:eastAsia="zh-CN" w:bidi="ar-SA"/>
        </w:rPr>
        <w:t>5</w:t>
      </w:r>
      <w:r>
        <w:rPr>
          <w:rFonts w:hint="default" w:ascii="Times New Roman" w:hAnsi="Times New Roman" w:eastAsia="宋体" w:cs="Times New Roman"/>
          <w:b w:val="0"/>
          <w:bCs w:val="0"/>
          <w:color w:val="auto"/>
          <w:kern w:val="2"/>
          <w:sz w:val="21"/>
          <w:szCs w:val="21"/>
          <w:lang w:val="en-US" w:eastAsia="zh-CN" w:bidi="ar-SA"/>
        </w:rPr>
        <w:t>年</w:t>
      </w:r>
      <w:r>
        <w:rPr>
          <w:rFonts w:hint="eastAsia" w:ascii="Times New Roman" w:hAnsi="Times New Roman" w:eastAsia="宋体" w:cs="Times New Roman"/>
          <w:b w:val="0"/>
          <w:bCs w:val="0"/>
          <w:color w:val="auto"/>
          <w:kern w:val="2"/>
          <w:sz w:val="21"/>
          <w:szCs w:val="21"/>
          <w:lang w:val="en-US" w:eastAsia="zh-CN" w:bidi="ar-SA"/>
        </w:rPr>
        <w:t>8</w:t>
      </w:r>
      <w:r>
        <w:rPr>
          <w:rFonts w:hint="default" w:ascii="Times New Roman" w:hAnsi="Times New Roman" w:eastAsia="宋体" w:cs="Times New Roman"/>
          <w:b w:val="0"/>
          <w:bCs w:val="0"/>
          <w:color w:val="auto"/>
          <w:kern w:val="2"/>
          <w:sz w:val="21"/>
          <w:szCs w:val="21"/>
          <w:lang w:val="en-US" w:eastAsia="zh-CN" w:bidi="ar-SA"/>
        </w:rPr>
        <w:t>月</w:t>
      </w:r>
      <w:r>
        <w:rPr>
          <w:rFonts w:hint="eastAsia" w:ascii="Times New Roman" w:hAnsi="Times New Roman" w:eastAsia="宋体" w:cs="Times New Roman"/>
          <w:b w:val="0"/>
          <w:bCs w:val="0"/>
          <w:color w:val="auto"/>
          <w:kern w:val="2"/>
          <w:sz w:val="21"/>
          <w:szCs w:val="21"/>
          <w:lang w:val="en-US" w:eastAsia="zh-CN" w:bidi="ar-SA"/>
        </w:rPr>
        <w:t>22</w:t>
      </w:r>
      <w:r>
        <w:rPr>
          <w:rFonts w:hint="default" w:ascii="Times New Roman" w:hAnsi="Times New Roman" w:eastAsia="宋体" w:cs="Times New Roman"/>
          <w:b w:val="0"/>
          <w:bCs w:val="0"/>
          <w:color w:val="auto"/>
          <w:kern w:val="2"/>
          <w:sz w:val="21"/>
          <w:szCs w:val="21"/>
          <w:lang w:val="en-US" w:eastAsia="zh-CN" w:bidi="ar-SA"/>
        </w:rPr>
        <w:t>日反馈绩效评价报告的审核意见，反馈意见为无意见，</w:t>
      </w:r>
      <w:r>
        <w:rPr>
          <w:rFonts w:hint="eastAsia" w:ascii="Times New Roman" w:hAnsi="Times New Roman" w:eastAsia="宋体" w:cs="Times New Roman"/>
          <w:b w:val="0"/>
          <w:bCs w:val="0"/>
          <w:color w:val="auto"/>
          <w:kern w:val="2"/>
          <w:sz w:val="21"/>
          <w:szCs w:val="21"/>
          <w:lang w:val="en-US" w:eastAsia="zh-CN" w:bidi="ar-SA"/>
        </w:rPr>
        <w:t>详</w:t>
      </w:r>
      <w:r>
        <w:rPr>
          <w:rFonts w:hint="default" w:ascii="Times New Roman" w:hAnsi="Times New Roman" w:eastAsia="宋体" w:cs="Times New Roman"/>
          <w:b w:val="0"/>
          <w:bCs w:val="0"/>
          <w:color w:val="auto"/>
          <w:kern w:val="2"/>
          <w:sz w:val="21"/>
          <w:szCs w:val="21"/>
          <w:lang w:val="en-US" w:eastAsia="zh-CN" w:bidi="ar-SA"/>
        </w:rPr>
        <w:t>见《绩效评价报告意见反馈表》。</w:t>
      </w:r>
    </w:p>
    <w:p w14:paraId="1FF35E99">
      <w:pPr>
        <w:numPr>
          <w:ilvl w:val="0"/>
          <w:numId w:val="0"/>
        </w:numPr>
        <w:ind w:firstLine="422" w:firstLineChars="200"/>
        <w:rPr>
          <w:rFonts w:hint="eastAsia" w:ascii="Times New Roman" w:hAnsi="Times New Roman" w:eastAsia="宋体" w:cs="Times New Roman"/>
          <w:b/>
          <w:bCs/>
          <w:color w:val="auto"/>
          <w:kern w:val="0"/>
          <w:sz w:val="21"/>
          <w:szCs w:val="32"/>
          <w:lang w:val="en-US" w:eastAsia="zh-CN" w:bidi="ar-SA"/>
        </w:rPr>
      </w:pPr>
      <w:r>
        <w:rPr>
          <w:rFonts w:hint="eastAsia" w:ascii="Times New Roman" w:hAnsi="Times New Roman" w:eastAsia="宋体" w:cs="Times New Roman"/>
          <w:b/>
          <w:bCs/>
          <w:color w:val="auto"/>
          <w:kern w:val="0"/>
          <w:sz w:val="21"/>
          <w:szCs w:val="32"/>
          <w:lang w:val="en-US" w:eastAsia="zh-CN" w:bidi="ar-SA"/>
        </w:rPr>
        <w:t>6.资料档案</w:t>
      </w:r>
    </w:p>
    <w:p w14:paraId="37982AB1">
      <w:pPr>
        <w:numPr>
          <w:ilvl w:val="0"/>
          <w:numId w:val="0"/>
        </w:numPr>
        <w:ind w:firstLine="420" w:firstLineChars="200"/>
        <w:rPr>
          <w:rFonts w:hint="default" w:ascii="Times New Roman" w:hAnsi="Times New Roman" w:eastAsia="宋体" w:cs="Times New Roman"/>
          <w:bCs/>
          <w:color w:val="auto"/>
          <w:highlight w:val="none"/>
        </w:rPr>
      </w:pPr>
      <w:r>
        <w:rPr>
          <w:rFonts w:hint="default" w:ascii="Times New Roman" w:hAnsi="Times New Roman" w:eastAsia="宋体" w:cs="Times New Roman"/>
          <w:color w:val="auto"/>
          <w:highlight w:val="none"/>
          <w:lang w:val="en-US" w:eastAsia="zh-CN"/>
        </w:rPr>
        <w:t>第三方机构将绩效评价过程中收集的全部有效资料，主要包括绩效评价工作方案、绩效指标的佐证材料、</w:t>
      </w:r>
      <w:r>
        <w:rPr>
          <w:rFonts w:hint="eastAsia" w:ascii="Times New Roman" w:hAnsi="Times New Roman" w:eastAsia="宋体" w:cs="Times New Roman"/>
          <w:color w:val="auto"/>
          <w:highlight w:val="none"/>
          <w:lang w:val="en-US" w:eastAsia="zh-CN"/>
        </w:rPr>
        <w:t>各单位反馈</w:t>
      </w:r>
      <w:r>
        <w:rPr>
          <w:rFonts w:hint="default" w:ascii="Times New Roman" w:hAnsi="Times New Roman" w:eastAsia="宋体" w:cs="Times New Roman"/>
          <w:color w:val="auto"/>
          <w:highlight w:val="none"/>
          <w:lang w:val="en-US" w:eastAsia="zh-CN"/>
        </w:rPr>
        <w:t>意见和建议、实地调研记录、调查问卷、绩效评价报告等一并归档，并按照有关档案管理规定妥善管理</w:t>
      </w:r>
      <w:r>
        <w:rPr>
          <w:rFonts w:hint="default" w:ascii="Times New Roman" w:hAnsi="Times New Roman" w:eastAsia="宋体" w:cs="Times New Roman"/>
          <w:bCs/>
          <w:color w:val="auto"/>
          <w:highlight w:val="none"/>
        </w:rPr>
        <w:t>。</w:t>
      </w:r>
    </w:p>
    <w:p w14:paraId="1A3B42DE">
      <w:pPr>
        <w:pStyle w:val="4"/>
        <w:ind w:firstLine="640"/>
        <w:rPr>
          <w:rFonts w:hint="default" w:ascii="Times New Roman" w:hAnsi="Times New Roman" w:eastAsia="宋体" w:cs="Times New Roman"/>
          <w:color w:val="auto"/>
          <w:highlight w:val="none"/>
        </w:rPr>
      </w:pPr>
      <w:bookmarkStart w:id="52" w:name="_Toc29768"/>
      <w:bookmarkStart w:id="53" w:name="_Toc68364664"/>
      <w:r>
        <w:rPr>
          <w:rFonts w:hint="default" w:ascii="Times New Roman" w:hAnsi="Times New Roman" w:eastAsia="宋体" w:cs="Times New Roman"/>
          <w:color w:val="auto"/>
          <w:highlight w:val="none"/>
        </w:rPr>
        <w:t>三、综合评价情况及评价结论</w:t>
      </w:r>
      <w:bookmarkEnd w:id="52"/>
      <w:bookmarkEnd w:id="53"/>
    </w:p>
    <w:p w14:paraId="240F5357">
      <w:pPr>
        <w:pStyle w:val="5"/>
        <w:ind w:firstLine="640"/>
        <w:rPr>
          <w:rFonts w:hint="default" w:ascii="Times New Roman" w:hAnsi="Times New Roman" w:eastAsia="宋体" w:cs="Times New Roman"/>
          <w:bCs w:val="0"/>
          <w:color w:val="auto"/>
          <w:highlight w:val="none"/>
        </w:rPr>
      </w:pPr>
      <w:bookmarkStart w:id="54" w:name="_Toc24412"/>
      <w:r>
        <w:rPr>
          <w:rFonts w:hint="default" w:ascii="Times New Roman" w:hAnsi="Times New Roman" w:eastAsia="宋体" w:cs="Times New Roman"/>
          <w:bCs w:val="0"/>
          <w:color w:val="auto"/>
          <w:highlight w:val="none"/>
        </w:rPr>
        <w:t>（一）绩效评价结果</w:t>
      </w:r>
      <w:bookmarkEnd w:id="54"/>
    </w:p>
    <w:p w14:paraId="66184C34">
      <w:pPr>
        <w:ind w:firstLine="64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lang w:val="zh-TW" w:eastAsia="zh-TW"/>
        </w:rPr>
        <w:t>通过</w:t>
      </w:r>
      <w:r>
        <w:rPr>
          <w:rFonts w:hint="default" w:ascii="Times New Roman" w:hAnsi="Times New Roman" w:eastAsia="宋体" w:cs="Times New Roman"/>
          <w:color w:val="auto"/>
          <w:kern w:val="2"/>
          <w:highlight w:val="none"/>
          <w:lang w:val="en-US" w:eastAsia="zh-CN"/>
        </w:rPr>
        <w:t>调研、数据分析、访谈等方式，根据绩效评价方案确定的指标体系及评分标准，对“伊宁县农技推广中心部门整体支出”绩效进行客观评价，得出综合评价结论如下：伊宁县农技推广中心部门整体支出绩效评价共设置绩效目标25个，实现目标1</w:t>
      </w:r>
      <w:r>
        <w:rPr>
          <w:rFonts w:hint="eastAsia" w:ascii="Times New Roman" w:hAnsi="Times New Roman" w:eastAsia="宋体" w:cs="Times New Roman"/>
          <w:color w:val="auto"/>
          <w:kern w:val="2"/>
          <w:highlight w:val="none"/>
          <w:lang w:val="en-US" w:eastAsia="zh-CN"/>
        </w:rPr>
        <w:t>9</w:t>
      </w:r>
      <w:r>
        <w:rPr>
          <w:rFonts w:hint="default" w:ascii="Times New Roman" w:hAnsi="Times New Roman" w:eastAsia="宋体" w:cs="Times New Roman"/>
          <w:color w:val="auto"/>
          <w:kern w:val="2"/>
          <w:highlight w:val="none"/>
          <w:lang w:val="en-US" w:eastAsia="zh-CN"/>
        </w:rPr>
        <w:t>个，最终评分结果为8</w:t>
      </w:r>
      <w:r>
        <w:rPr>
          <w:rFonts w:hint="eastAsia" w:ascii="Times New Roman" w:hAnsi="Times New Roman" w:eastAsia="宋体" w:cs="Times New Roman"/>
          <w:color w:val="auto"/>
          <w:kern w:val="2"/>
          <w:highlight w:val="none"/>
          <w:lang w:val="en-US" w:eastAsia="zh-CN"/>
        </w:rPr>
        <w:t>8.2</w:t>
      </w:r>
      <w:r>
        <w:rPr>
          <w:rFonts w:hint="default" w:ascii="Times New Roman" w:hAnsi="Times New Roman" w:eastAsia="宋体" w:cs="Times New Roman"/>
          <w:color w:val="auto"/>
          <w:kern w:val="2"/>
          <w:highlight w:val="none"/>
          <w:lang w:val="en-US" w:eastAsia="zh-CN"/>
        </w:rPr>
        <w:t>0分，绩效评级为“良好”。各部分权重和绩效分值如</w:t>
      </w:r>
      <w:r>
        <w:rPr>
          <w:rFonts w:hint="eastAsia" w:ascii="Times New Roman" w:hAnsi="Times New Roman" w:eastAsia="宋体" w:cs="Times New Roman"/>
          <w:color w:val="auto"/>
          <w:highlight w:val="none"/>
          <w:lang w:val="zh-TW" w:eastAsia="zh-TW"/>
        </w:rPr>
        <w:t>下表</w:t>
      </w:r>
      <w:r>
        <w:rPr>
          <w:rFonts w:hint="eastAsia" w:ascii="Times New Roman" w:hAnsi="Times New Roman" w:eastAsia="宋体" w:cs="Times New Roman"/>
          <w:color w:val="auto"/>
          <w:highlight w:val="none"/>
          <w:lang w:val="zh-TW"/>
        </w:rPr>
        <w:t>：</w:t>
      </w:r>
    </w:p>
    <w:p w14:paraId="5A70EB96">
      <w:pPr>
        <w:ind w:left="0" w:leftChars="0" w:firstLine="0" w:firstLineChars="0"/>
        <w:jc w:val="center"/>
        <w:rPr>
          <w:rFonts w:hint="default" w:ascii="Times New Roman" w:hAnsi="Times New Roman" w:eastAsia="宋体" w:cs="Times New Roman"/>
          <w:b/>
          <w:color w:val="auto"/>
          <w:spacing w:val="6"/>
          <w:sz w:val="21"/>
          <w:szCs w:val="21"/>
          <w:highlight w:val="none"/>
        </w:rPr>
      </w:pPr>
      <w:r>
        <w:rPr>
          <w:rFonts w:hint="default" w:ascii="Times New Roman" w:hAnsi="Times New Roman" w:eastAsia="宋体" w:cs="Times New Roman"/>
          <w:b/>
          <w:color w:val="auto"/>
          <w:spacing w:val="6"/>
          <w:sz w:val="21"/>
          <w:szCs w:val="21"/>
          <w:highlight w:val="none"/>
          <w:lang w:val="zh-TW" w:eastAsia="zh-TW"/>
        </w:rPr>
        <w:t>表3-1</w:t>
      </w:r>
      <w:r>
        <w:rPr>
          <w:rFonts w:hint="default" w:ascii="Times New Roman" w:hAnsi="Times New Roman" w:eastAsia="宋体" w:cs="Times New Roman"/>
          <w:b/>
          <w:color w:val="auto"/>
          <w:spacing w:val="6"/>
          <w:sz w:val="21"/>
          <w:szCs w:val="21"/>
          <w:highlight w:val="none"/>
          <w:lang w:val="zh-TW"/>
        </w:rPr>
        <w:t>：</w:t>
      </w:r>
      <w:r>
        <w:rPr>
          <w:rFonts w:hint="eastAsia" w:ascii="Times New Roman" w:hAnsi="Times New Roman" w:eastAsia="宋体" w:cs="Times New Roman"/>
          <w:b/>
          <w:color w:val="auto"/>
          <w:spacing w:val="6"/>
          <w:sz w:val="21"/>
          <w:szCs w:val="21"/>
          <w:highlight w:val="none"/>
          <w:lang w:eastAsia="zh-CN"/>
        </w:rPr>
        <w:t>伊宁县农技推广中心</w:t>
      </w:r>
      <w:r>
        <w:rPr>
          <w:rFonts w:hint="default" w:ascii="Times New Roman" w:hAnsi="Times New Roman" w:eastAsia="宋体" w:cs="Times New Roman"/>
          <w:b/>
          <w:color w:val="auto"/>
          <w:spacing w:val="6"/>
          <w:sz w:val="21"/>
          <w:szCs w:val="21"/>
          <w:highlight w:val="none"/>
        </w:rPr>
        <w:t>部门整体绩效评价</w:t>
      </w:r>
      <w:r>
        <w:rPr>
          <w:rFonts w:hint="default" w:ascii="Times New Roman" w:hAnsi="Times New Roman" w:eastAsia="宋体" w:cs="Times New Roman"/>
          <w:b/>
          <w:color w:val="auto"/>
          <w:spacing w:val="6"/>
          <w:sz w:val="21"/>
          <w:szCs w:val="21"/>
          <w:highlight w:val="none"/>
          <w:lang w:val="zh-TW"/>
        </w:rPr>
        <w:t>得分表</w:t>
      </w:r>
    </w:p>
    <w:tbl>
      <w:tblPr>
        <w:tblStyle w:val="21"/>
        <w:tblW w:w="4512"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146"/>
        <w:gridCol w:w="1568"/>
        <w:gridCol w:w="1649"/>
        <w:gridCol w:w="1700"/>
        <w:gridCol w:w="1577"/>
      </w:tblGrid>
      <w:tr w14:paraId="15CEFF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7" w:hRule="atLeast"/>
          <w:jc w:val="center"/>
        </w:trPr>
        <w:tc>
          <w:tcPr>
            <w:tcW w:w="750"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314D1C0A">
            <w:pPr>
              <w:pStyle w:val="36"/>
              <w:snapToGrid w:val="0"/>
              <w:spacing w:before="0" w:after="0" w:line="240" w:lineRule="auto"/>
              <w:jc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val="zh-TW" w:eastAsia="zh-TW"/>
              </w:rPr>
              <w:t>指标</w:t>
            </w:r>
          </w:p>
        </w:tc>
        <w:tc>
          <w:tcPr>
            <w:tcW w:w="1026"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2F6BC232">
            <w:pPr>
              <w:pStyle w:val="36"/>
              <w:snapToGrid w:val="0"/>
              <w:spacing w:before="0" w:after="0" w:line="240" w:lineRule="auto"/>
              <w:jc w:val="center"/>
              <w:rPr>
                <w:rFonts w:hint="eastAsia" w:ascii="Times New Roman" w:hAnsi="Times New Roman" w:eastAsia="宋体" w:cs="Times New Roman"/>
                <w:b/>
                <w:color w:val="auto"/>
                <w:sz w:val="21"/>
                <w:szCs w:val="21"/>
                <w:highlight w:val="none"/>
                <w:lang w:val="en-US" w:eastAsia="zh-CN"/>
              </w:rPr>
            </w:pPr>
            <w:r>
              <w:rPr>
                <w:rFonts w:hint="default" w:ascii="Times New Roman" w:hAnsi="Times New Roman" w:eastAsia="宋体" w:cs="Times New Roman"/>
                <w:b/>
                <w:color w:val="auto"/>
                <w:sz w:val="21"/>
                <w:szCs w:val="21"/>
                <w:highlight w:val="none"/>
              </w:rPr>
              <w:t>部门决策</w:t>
            </w:r>
            <w:r>
              <w:rPr>
                <w:rFonts w:hint="eastAsia" w:ascii="Times New Roman" w:hAnsi="Times New Roman" w:eastAsia="宋体" w:cs="Times New Roman"/>
                <w:b/>
                <w:color w:val="auto"/>
                <w:sz w:val="21"/>
                <w:szCs w:val="21"/>
                <w:highlight w:val="none"/>
                <w:lang w:val="en-US" w:eastAsia="zh-CN"/>
              </w:rPr>
              <w:t>类</w:t>
            </w:r>
          </w:p>
        </w:tc>
        <w:tc>
          <w:tcPr>
            <w:tcW w:w="1079"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71F5DA23">
            <w:pPr>
              <w:pStyle w:val="36"/>
              <w:snapToGrid w:val="0"/>
              <w:spacing w:before="0" w:after="0" w:line="240" w:lineRule="auto"/>
              <w:jc w:val="center"/>
              <w:rPr>
                <w:rFonts w:hint="eastAsia" w:ascii="Times New Roman" w:hAnsi="Times New Roman" w:eastAsia="宋体" w:cs="Times New Roman"/>
                <w:b/>
                <w:color w:val="auto"/>
                <w:sz w:val="21"/>
                <w:szCs w:val="21"/>
                <w:highlight w:val="none"/>
                <w:lang w:val="en-US" w:eastAsia="zh-CN"/>
              </w:rPr>
            </w:pPr>
            <w:r>
              <w:rPr>
                <w:rFonts w:hint="default" w:ascii="Times New Roman" w:hAnsi="Times New Roman" w:eastAsia="宋体" w:cs="Times New Roman"/>
                <w:b/>
                <w:color w:val="auto"/>
                <w:sz w:val="21"/>
                <w:szCs w:val="21"/>
                <w:highlight w:val="none"/>
              </w:rPr>
              <w:t>部门管理</w:t>
            </w:r>
            <w:r>
              <w:rPr>
                <w:rFonts w:hint="eastAsia" w:ascii="Times New Roman" w:hAnsi="Times New Roman" w:eastAsia="宋体" w:cs="Times New Roman"/>
                <w:b/>
                <w:color w:val="auto"/>
                <w:sz w:val="21"/>
                <w:szCs w:val="21"/>
                <w:highlight w:val="none"/>
                <w:lang w:val="en-US" w:eastAsia="zh-CN"/>
              </w:rPr>
              <w:t>类</w:t>
            </w:r>
          </w:p>
        </w:tc>
        <w:tc>
          <w:tcPr>
            <w:tcW w:w="111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01E7F8A5">
            <w:pPr>
              <w:pStyle w:val="36"/>
              <w:snapToGrid w:val="0"/>
              <w:spacing w:before="0" w:after="0" w:line="240" w:lineRule="auto"/>
              <w:jc w:val="center"/>
              <w:rPr>
                <w:rFonts w:hint="default" w:ascii="Times New Roman" w:hAnsi="Times New Roman" w:eastAsia="宋体" w:cs="Times New Roman"/>
                <w:b/>
                <w:color w:val="auto"/>
                <w:sz w:val="21"/>
                <w:szCs w:val="21"/>
                <w:highlight w:val="none"/>
                <w:lang w:val="en-US" w:eastAsia="zh-CN"/>
              </w:rPr>
            </w:pPr>
            <w:r>
              <w:rPr>
                <w:rFonts w:hint="default" w:ascii="Times New Roman" w:hAnsi="Times New Roman" w:eastAsia="宋体" w:cs="Times New Roman"/>
                <w:b/>
                <w:color w:val="auto"/>
                <w:sz w:val="21"/>
                <w:szCs w:val="21"/>
                <w:highlight w:val="none"/>
              </w:rPr>
              <w:t>部门</w:t>
            </w:r>
            <w:r>
              <w:rPr>
                <w:rFonts w:hint="eastAsia" w:ascii="Times New Roman" w:hAnsi="Times New Roman" w:eastAsia="宋体" w:cs="Times New Roman"/>
                <w:b/>
                <w:color w:val="auto"/>
                <w:sz w:val="21"/>
                <w:szCs w:val="21"/>
                <w:highlight w:val="none"/>
                <w:lang w:val="en-US" w:eastAsia="zh-CN"/>
              </w:rPr>
              <w:t>绩效类</w:t>
            </w:r>
          </w:p>
        </w:tc>
        <w:tc>
          <w:tcPr>
            <w:tcW w:w="103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7DE5687B">
            <w:pPr>
              <w:pStyle w:val="36"/>
              <w:snapToGrid w:val="0"/>
              <w:spacing w:before="0" w:after="0" w:line="240" w:lineRule="auto"/>
              <w:jc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val="zh-TW" w:eastAsia="zh-TW"/>
              </w:rPr>
              <w:t>合计分值</w:t>
            </w:r>
          </w:p>
        </w:tc>
      </w:tr>
      <w:tr w14:paraId="466A20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jc w:val="center"/>
        </w:trPr>
        <w:tc>
          <w:tcPr>
            <w:tcW w:w="750"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2E4CD95B">
            <w:pPr>
              <w:pStyle w:val="36"/>
              <w:snapToGrid w:val="0"/>
              <w:spacing w:before="0" w:after="0" w:line="240" w:lineRule="auto"/>
              <w:jc w:val="center"/>
              <w:rPr>
                <w:rFonts w:hint="default" w:ascii="Times New Roman" w:hAnsi="Times New Roman" w:eastAsia="宋体" w:cs="Times New Roman"/>
                <w:b/>
                <w:color w:val="auto"/>
                <w:sz w:val="21"/>
                <w:szCs w:val="21"/>
                <w:highlight w:val="none"/>
                <w:lang w:val="en-US" w:eastAsia="zh-CN"/>
              </w:rPr>
            </w:pPr>
            <w:r>
              <w:rPr>
                <w:rFonts w:hint="eastAsia" w:ascii="Times New Roman" w:hAnsi="Times New Roman" w:eastAsia="宋体" w:cs="Times New Roman"/>
                <w:b/>
                <w:color w:val="auto"/>
                <w:sz w:val="21"/>
                <w:szCs w:val="21"/>
                <w:highlight w:val="none"/>
                <w:lang w:val="en-US" w:eastAsia="zh-CN"/>
              </w:rPr>
              <w:t>权重</w:t>
            </w:r>
          </w:p>
        </w:tc>
        <w:tc>
          <w:tcPr>
            <w:tcW w:w="102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400B4F74">
            <w:pPr>
              <w:pStyle w:val="36"/>
              <w:snapToGrid w:val="0"/>
              <w:spacing w:before="0" w:after="0" w:line="240" w:lineRule="auto"/>
              <w:jc w:val="center"/>
              <w:rPr>
                <w:rFonts w:hint="default"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15.00</w:t>
            </w:r>
          </w:p>
        </w:tc>
        <w:tc>
          <w:tcPr>
            <w:tcW w:w="1079"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2032B5D4">
            <w:pPr>
              <w:pStyle w:val="36"/>
              <w:snapToGrid w:val="0"/>
              <w:spacing w:before="0" w:after="0" w:line="240" w:lineRule="auto"/>
              <w:jc w:val="center"/>
              <w:rPr>
                <w:rFonts w:hint="default"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25.00</w:t>
            </w:r>
          </w:p>
        </w:tc>
        <w:tc>
          <w:tcPr>
            <w:tcW w:w="111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60845BFC">
            <w:pPr>
              <w:pStyle w:val="36"/>
              <w:snapToGrid w:val="0"/>
              <w:spacing w:before="0" w:after="0" w:line="240" w:lineRule="auto"/>
              <w:jc w:val="center"/>
              <w:rPr>
                <w:rFonts w:hint="default"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60.00</w:t>
            </w:r>
          </w:p>
        </w:tc>
        <w:tc>
          <w:tcPr>
            <w:tcW w:w="103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F65595F">
            <w:pPr>
              <w:pStyle w:val="36"/>
              <w:snapToGrid w:val="0"/>
              <w:spacing w:before="0" w:after="0" w:line="240" w:lineRule="auto"/>
              <w:jc w:val="center"/>
              <w:rPr>
                <w:rFonts w:hint="default"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100.00</w:t>
            </w:r>
          </w:p>
        </w:tc>
      </w:tr>
      <w:tr w14:paraId="572C8C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jc w:val="center"/>
        </w:trPr>
        <w:tc>
          <w:tcPr>
            <w:tcW w:w="750"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3F904F23">
            <w:pPr>
              <w:pStyle w:val="36"/>
              <w:snapToGrid w:val="0"/>
              <w:spacing w:before="0" w:after="0" w:line="240" w:lineRule="auto"/>
              <w:jc w:val="center"/>
              <w:rPr>
                <w:rFonts w:hint="default" w:ascii="Times New Roman" w:hAnsi="Times New Roman" w:eastAsia="宋体" w:cs="Times New Roman"/>
                <w:b/>
                <w:color w:val="auto"/>
                <w:sz w:val="21"/>
                <w:szCs w:val="21"/>
                <w:highlight w:val="none"/>
                <w:lang w:val="en-US" w:eastAsia="zh-CN"/>
              </w:rPr>
            </w:pPr>
            <w:r>
              <w:rPr>
                <w:rFonts w:hint="eastAsia" w:ascii="Times New Roman" w:hAnsi="Times New Roman" w:eastAsia="宋体" w:cs="Times New Roman"/>
                <w:b/>
                <w:color w:val="auto"/>
                <w:sz w:val="21"/>
                <w:szCs w:val="21"/>
                <w:highlight w:val="none"/>
                <w:lang w:val="en-US" w:eastAsia="zh-CN"/>
              </w:rPr>
              <w:t>得分</w:t>
            </w:r>
          </w:p>
        </w:tc>
        <w:tc>
          <w:tcPr>
            <w:tcW w:w="102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0DF79648">
            <w:pPr>
              <w:pStyle w:val="36"/>
              <w:snapToGrid w:val="0"/>
              <w:spacing w:before="0" w:after="0" w:line="240" w:lineRule="auto"/>
              <w:jc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15.00</w:t>
            </w:r>
          </w:p>
        </w:tc>
        <w:tc>
          <w:tcPr>
            <w:tcW w:w="1649"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41C4146E">
            <w:pPr>
              <w:pStyle w:val="36"/>
              <w:snapToGrid w:val="0"/>
              <w:spacing w:before="0" w:after="0" w:line="240" w:lineRule="auto"/>
              <w:jc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21.00</w:t>
            </w:r>
          </w:p>
        </w:tc>
        <w:tc>
          <w:tcPr>
            <w:tcW w:w="170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61573236">
            <w:pPr>
              <w:pStyle w:val="36"/>
              <w:snapToGrid w:val="0"/>
              <w:spacing w:before="0" w:after="0" w:line="240" w:lineRule="auto"/>
              <w:jc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52.20</w:t>
            </w:r>
          </w:p>
        </w:tc>
        <w:tc>
          <w:tcPr>
            <w:tcW w:w="103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37701D09">
            <w:pPr>
              <w:pStyle w:val="36"/>
              <w:snapToGrid w:val="0"/>
              <w:spacing w:before="0" w:after="0" w:line="240" w:lineRule="auto"/>
              <w:jc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88.20</w:t>
            </w:r>
          </w:p>
        </w:tc>
      </w:tr>
      <w:tr w14:paraId="61DCA8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jc w:val="center"/>
        </w:trPr>
        <w:tc>
          <w:tcPr>
            <w:tcW w:w="750"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377DAD0D">
            <w:pPr>
              <w:pStyle w:val="36"/>
              <w:snapToGrid w:val="0"/>
              <w:spacing w:before="0" w:after="0" w:line="240" w:lineRule="auto"/>
              <w:jc w:val="center"/>
              <w:rPr>
                <w:rFonts w:hint="default" w:ascii="Times New Roman" w:hAnsi="Times New Roman" w:eastAsia="宋体" w:cs="Times New Roman"/>
                <w:b/>
                <w:color w:val="auto"/>
                <w:sz w:val="21"/>
                <w:szCs w:val="21"/>
                <w:highlight w:val="none"/>
                <w:lang w:val="en-US" w:eastAsia="zh-CN"/>
              </w:rPr>
            </w:pPr>
            <w:r>
              <w:rPr>
                <w:rFonts w:hint="eastAsia" w:ascii="Times New Roman" w:hAnsi="Times New Roman" w:eastAsia="宋体" w:cs="Times New Roman"/>
                <w:b/>
                <w:color w:val="auto"/>
                <w:sz w:val="21"/>
                <w:szCs w:val="21"/>
                <w:highlight w:val="none"/>
                <w:lang w:val="en-US" w:eastAsia="zh-CN"/>
              </w:rPr>
              <w:t>得分率</w:t>
            </w:r>
          </w:p>
        </w:tc>
        <w:tc>
          <w:tcPr>
            <w:tcW w:w="102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6FBB5ACF">
            <w:pPr>
              <w:pStyle w:val="36"/>
              <w:snapToGrid w:val="0"/>
              <w:spacing w:before="0" w:after="0" w:line="240" w:lineRule="auto"/>
              <w:jc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100.00%</w:t>
            </w:r>
          </w:p>
        </w:tc>
        <w:tc>
          <w:tcPr>
            <w:tcW w:w="1649"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259DE496">
            <w:pPr>
              <w:pStyle w:val="36"/>
              <w:snapToGrid w:val="0"/>
              <w:spacing w:before="0" w:after="0" w:line="240" w:lineRule="auto"/>
              <w:jc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84.00%</w:t>
            </w:r>
          </w:p>
        </w:tc>
        <w:tc>
          <w:tcPr>
            <w:tcW w:w="170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398578F1">
            <w:pPr>
              <w:pStyle w:val="36"/>
              <w:snapToGrid w:val="0"/>
              <w:spacing w:before="0" w:after="0" w:line="240" w:lineRule="auto"/>
              <w:jc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87.00%</w:t>
            </w:r>
          </w:p>
        </w:tc>
        <w:tc>
          <w:tcPr>
            <w:tcW w:w="103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6B2D7F74">
            <w:pPr>
              <w:pStyle w:val="36"/>
              <w:snapToGrid w:val="0"/>
              <w:spacing w:before="0" w:after="0" w:line="240" w:lineRule="auto"/>
              <w:jc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88.20%</w:t>
            </w:r>
          </w:p>
        </w:tc>
      </w:tr>
    </w:tbl>
    <w:p w14:paraId="644ADF75">
      <w:pPr>
        <w:bidi w:val="0"/>
        <w:rPr>
          <w:rFonts w:hint="default" w:ascii="Times New Roman" w:hAnsi="Times New Roman" w:eastAsia="宋体" w:cs="Times New Roman"/>
          <w:color w:val="auto"/>
          <w:highlight w:val="none"/>
        </w:rPr>
      </w:pPr>
    </w:p>
    <w:p w14:paraId="03F2DED4">
      <w:pPr>
        <w:pStyle w:val="5"/>
        <w:ind w:firstLine="640"/>
        <w:rPr>
          <w:rFonts w:hint="default" w:ascii="Times New Roman" w:hAnsi="Times New Roman" w:eastAsia="宋体" w:cs="Times New Roman"/>
          <w:bCs w:val="0"/>
          <w:color w:val="auto"/>
          <w:highlight w:val="none"/>
        </w:rPr>
      </w:pPr>
      <w:bookmarkStart w:id="55" w:name="_Toc5144"/>
      <w:r>
        <w:rPr>
          <w:rFonts w:hint="default" w:ascii="Times New Roman" w:hAnsi="Times New Roman" w:eastAsia="宋体" w:cs="Times New Roman"/>
          <w:bCs w:val="0"/>
          <w:color w:val="auto"/>
          <w:highlight w:val="none"/>
        </w:rPr>
        <w:t>（二）</w:t>
      </w:r>
      <w:r>
        <w:rPr>
          <w:rFonts w:hint="eastAsia" w:ascii="Times New Roman" w:hAnsi="Times New Roman" w:eastAsia="宋体" w:cs="Times New Roman"/>
          <w:color w:val="auto"/>
          <w:highlight w:val="none"/>
          <w:lang w:val="en-US" w:eastAsia="zh-CN"/>
        </w:rPr>
        <w:t>综合评价结论</w:t>
      </w:r>
      <w:bookmarkEnd w:id="55"/>
    </w:p>
    <w:p w14:paraId="5CFF4064">
      <w:pPr>
        <w:ind w:firstLine="64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伊宁县农技推广中心</w:t>
      </w:r>
      <w:r>
        <w:rPr>
          <w:rFonts w:hint="default" w:ascii="Times New Roman" w:hAnsi="Times New Roman" w:eastAsia="宋体" w:cs="Times New Roman"/>
          <w:color w:val="auto"/>
          <w:kern w:val="2"/>
          <w:highlight w:val="none"/>
          <w:lang w:val="en-US" w:eastAsia="zh-CN"/>
        </w:rPr>
        <w:t>部门单位2024年度总体实施情况良好，已严格按照年初计划完成了植保工作、土肥水工作及农技推广宣传任务、中长期病虫害预测预报等工作，每个乡镇建立百亩以上的小麦攻关田、千亩示范田块数量达到1-3块，小麦粮食作物统防统治覆盖率达到54.05%、玉米粮食作物统防统治覆盖率达到54.11%，农作物病虫害绿色防控覆盖率达到55.84%。通过农业技术的推广有效提高了主推技术的应用水平，加大优质品种和先进适用技术示范展示和推广力度，大力提升农技推广服务效能。但在实施</w:t>
      </w:r>
      <w:r>
        <w:rPr>
          <w:rFonts w:hint="eastAsia" w:ascii="Times New Roman" w:hAnsi="Times New Roman" w:eastAsia="宋体" w:cs="Times New Roman"/>
          <w:color w:val="auto"/>
          <w:highlight w:val="none"/>
          <w:lang w:val="en-US" w:eastAsia="zh-CN"/>
        </w:rPr>
        <w:t>过程中也存在单位资金支付审核不严谨、县域的粮食单产能力有待提升等不足。</w:t>
      </w:r>
    </w:p>
    <w:p w14:paraId="4AF3E7D9">
      <w:pPr>
        <w:pStyle w:val="4"/>
        <w:ind w:firstLine="640"/>
        <w:rPr>
          <w:rFonts w:hint="default" w:ascii="Times New Roman" w:hAnsi="Times New Roman" w:eastAsia="宋体" w:cs="Times New Roman"/>
          <w:color w:val="auto"/>
          <w:highlight w:val="none"/>
        </w:rPr>
      </w:pPr>
      <w:bookmarkStart w:id="56" w:name="_Toc24360"/>
      <w:bookmarkStart w:id="57" w:name="_Toc535"/>
      <w:bookmarkStart w:id="58" w:name="_Toc22544"/>
      <w:r>
        <w:rPr>
          <w:rFonts w:hint="default" w:ascii="Times New Roman" w:hAnsi="Times New Roman" w:eastAsia="宋体" w:cs="Times New Roman"/>
          <w:color w:val="auto"/>
          <w:highlight w:val="none"/>
        </w:rPr>
        <w:t>四、绩效评价指标分析</w:t>
      </w:r>
      <w:bookmarkEnd w:id="56"/>
      <w:bookmarkEnd w:id="57"/>
      <w:bookmarkEnd w:id="58"/>
    </w:p>
    <w:p w14:paraId="7A378AE7">
      <w:pPr>
        <w:pStyle w:val="5"/>
        <w:ind w:firstLine="640"/>
        <w:rPr>
          <w:rFonts w:hint="default" w:ascii="Times New Roman" w:hAnsi="Times New Roman" w:eastAsia="宋体" w:cs="Times New Roman"/>
          <w:b w:val="0"/>
          <w:color w:val="auto"/>
          <w:highlight w:val="none"/>
        </w:rPr>
      </w:pPr>
      <w:bookmarkStart w:id="59" w:name="_Toc22260"/>
      <w:bookmarkStart w:id="60" w:name="_Toc8347"/>
      <w:bookmarkStart w:id="61" w:name="_Toc18078"/>
      <w:r>
        <w:rPr>
          <w:rFonts w:hint="default" w:ascii="Times New Roman" w:hAnsi="Times New Roman" w:eastAsia="宋体" w:cs="Times New Roman"/>
          <w:bCs w:val="0"/>
          <w:color w:val="auto"/>
          <w:highlight w:val="none"/>
        </w:rPr>
        <w:t>（一）部门决策情况</w:t>
      </w:r>
      <w:bookmarkEnd w:id="59"/>
      <w:bookmarkEnd w:id="60"/>
      <w:bookmarkEnd w:id="61"/>
    </w:p>
    <w:p w14:paraId="564861AB">
      <w:pPr>
        <w:adjustRightInd/>
        <w:ind w:firstLine="640"/>
        <w:rPr>
          <w:rFonts w:hint="eastAsia" w:ascii="Times New Roman" w:hAnsi="Times New Roman" w:eastAsia="宋体" w:cs="Times New Roman"/>
          <w:bCs/>
          <w:color w:val="auto"/>
          <w:highlight w:val="none"/>
        </w:rPr>
      </w:pPr>
      <w:r>
        <w:rPr>
          <w:rFonts w:hint="eastAsia" w:ascii="Times New Roman" w:hAnsi="Times New Roman" w:eastAsia="宋体" w:cs="Times New Roman"/>
          <w:bCs/>
          <w:color w:val="auto"/>
          <w:highlight w:val="none"/>
        </w:rPr>
        <w:t>部门决策</w:t>
      </w:r>
      <w:r>
        <w:rPr>
          <w:rFonts w:hint="default" w:ascii="Times New Roman" w:hAnsi="Times New Roman" w:eastAsia="宋体" w:cs="Times New Roman"/>
          <w:bCs w:val="0"/>
          <w:color w:val="auto"/>
          <w:kern w:val="2"/>
          <w:highlight w:val="none"/>
        </w:rPr>
        <w:t>类指标由</w:t>
      </w:r>
      <w:r>
        <w:rPr>
          <w:rFonts w:hint="default" w:ascii="Times New Roman" w:hAnsi="Times New Roman" w:eastAsia="宋体" w:cs="Times New Roman"/>
          <w:bCs w:val="0"/>
          <w:color w:val="auto"/>
          <w:kern w:val="2"/>
          <w:highlight w:val="none"/>
          <w:lang w:val="en-US" w:eastAsia="zh-CN"/>
        </w:rPr>
        <w:t>3</w:t>
      </w:r>
      <w:r>
        <w:rPr>
          <w:rFonts w:hint="default" w:ascii="Times New Roman" w:hAnsi="Times New Roman" w:eastAsia="宋体" w:cs="Times New Roman"/>
          <w:bCs w:val="0"/>
          <w:color w:val="auto"/>
          <w:kern w:val="2"/>
          <w:highlight w:val="none"/>
        </w:rPr>
        <w:t>个二级指标和</w:t>
      </w:r>
      <w:r>
        <w:rPr>
          <w:rFonts w:hint="default" w:ascii="Times New Roman" w:hAnsi="Times New Roman" w:eastAsia="宋体" w:cs="Times New Roman"/>
          <w:bCs w:val="0"/>
          <w:color w:val="auto"/>
          <w:kern w:val="2"/>
          <w:highlight w:val="none"/>
          <w:lang w:val="en-US" w:eastAsia="zh-CN"/>
        </w:rPr>
        <w:t>6</w:t>
      </w:r>
      <w:r>
        <w:rPr>
          <w:rFonts w:hint="default" w:ascii="Times New Roman" w:hAnsi="Times New Roman" w:eastAsia="宋体" w:cs="Times New Roman"/>
          <w:bCs w:val="0"/>
          <w:color w:val="auto"/>
          <w:kern w:val="2"/>
          <w:highlight w:val="none"/>
        </w:rPr>
        <w:t>个三级指标构成，权重分</w:t>
      </w:r>
      <w:r>
        <w:rPr>
          <w:rFonts w:hint="default" w:ascii="Times New Roman" w:hAnsi="Times New Roman" w:eastAsia="宋体" w:cs="Times New Roman"/>
          <w:bCs w:val="0"/>
          <w:color w:val="auto"/>
          <w:kern w:val="2"/>
          <w:highlight w:val="none"/>
          <w:lang w:val="en-US" w:eastAsia="zh-CN"/>
        </w:rPr>
        <w:t>15.00</w:t>
      </w:r>
      <w:r>
        <w:rPr>
          <w:rFonts w:hint="default" w:ascii="Times New Roman" w:hAnsi="Times New Roman" w:eastAsia="宋体" w:cs="Times New Roman"/>
          <w:bCs w:val="0"/>
          <w:color w:val="auto"/>
          <w:kern w:val="2"/>
          <w:highlight w:val="none"/>
        </w:rPr>
        <w:t>分，实际得分</w:t>
      </w:r>
      <w:r>
        <w:rPr>
          <w:rFonts w:hint="default" w:ascii="Times New Roman" w:hAnsi="Times New Roman" w:eastAsia="宋体" w:cs="Times New Roman"/>
          <w:bCs w:val="0"/>
          <w:color w:val="auto"/>
          <w:kern w:val="2"/>
          <w:highlight w:val="none"/>
          <w:lang w:val="en-US" w:eastAsia="zh-CN"/>
        </w:rPr>
        <w:t>15.00</w:t>
      </w:r>
      <w:r>
        <w:rPr>
          <w:rFonts w:hint="default" w:ascii="Times New Roman" w:hAnsi="Times New Roman" w:eastAsia="宋体" w:cs="Times New Roman"/>
          <w:bCs w:val="0"/>
          <w:color w:val="auto"/>
          <w:kern w:val="2"/>
          <w:highlight w:val="none"/>
        </w:rPr>
        <w:t>分，</w:t>
      </w:r>
      <w:r>
        <w:rPr>
          <w:rFonts w:hint="default" w:ascii="Times New Roman" w:hAnsi="Times New Roman" w:eastAsia="宋体" w:cs="Times New Roman"/>
          <w:bCs w:val="0"/>
          <w:color w:val="auto"/>
          <w:kern w:val="2"/>
          <w:highlight w:val="none"/>
          <w:lang w:val="en-US" w:eastAsia="zh-CN"/>
        </w:rPr>
        <w:t>得分率100.00%</w:t>
      </w:r>
      <w:r>
        <w:rPr>
          <w:rFonts w:hint="default" w:ascii="Times New Roman" w:hAnsi="Times New Roman" w:eastAsia="宋体" w:cs="Times New Roman"/>
          <w:bCs w:val="0"/>
          <w:color w:val="auto"/>
          <w:kern w:val="2"/>
          <w:highlight w:val="none"/>
        </w:rPr>
        <w:t>。各指标业绩值和绩效分</w:t>
      </w:r>
      <w:r>
        <w:rPr>
          <w:rFonts w:hint="eastAsia" w:ascii="Times New Roman" w:hAnsi="Times New Roman" w:eastAsia="宋体" w:cs="Times New Roman"/>
          <w:bCs/>
          <w:color w:val="auto"/>
          <w:highlight w:val="none"/>
        </w:rPr>
        <w:t>值如下表所示：</w:t>
      </w:r>
    </w:p>
    <w:p w14:paraId="67E69454">
      <w:pPr>
        <w:ind w:firstLine="0" w:firstLineChars="0"/>
        <w:jc w:val="center"/>
        <w:rPr>
          <w:rFonts w:hint="default" w:ascii="Times New Roman" w:hAnsi="Times New Roman" w:eastAsia="宋体" w:cs="Times New Roman"/>
          <w:b/>
          <w:color w:val="auto"/>
          <w:spacing w:val="6"/>
          <w:sz w:val="21"/>
          <w:szCs w:val="21"/>
          <w:highlight w:val="none"/>
        </w:rPr>
      </w:pPr>
      <w:r>
        <w:rPr>
          <w:rFonts w:hint="default" w:ascii="Times New Roman" w:hAnsi="Times New Roman" w:eastAsia="宋体" w:cs="Times New Roman"/>
          <w:b/>
          <w:color w:val="auto"/>
          <w:spacing w:val="6"/>
          <w:sz w:val="21"/>
          <w:szCs w:val="21"/>
          <w:highlight w:val="none"/>
        </w:rPr>
        <w:t>表4-1：部门决策类指标及分值</w:t>
      </w:r>
    </w:p>
    <w:tbl>
      <w:tblPr>
        <w:tblStyle w:val="21"/>
        <w:tblW w:w="4998" w:type="pct"/>
        <w:tblInd w:w="0" w:type="dxa"/>
        <w:tblLayout w:type="autofit"/>
        <w:tblCellMar>
          <w:top w:w="0" w:type="dxa"/>
          <w:left w:w="51" w:type="dxa"/>
          <w:bottom w:w="0" w:type="dxa"/>
          <w:right w:w="51" w:type="dxa"/>
        </w:tblCellMar>
      </w:tblPr>
      <w:tblGrid>
        <w:gridCol w:w="826"/>
        <w:gridCol w:w="1286"/>
        <w:gridCol w:w="1688"/>
        <w:gridCol w:w="1027"/>
        <w:gridCol w:w="945"/>
        <w:gridCol w:w="799"/>
        <w:gridCol w:w="834"/>
        <w:gridCol w:w="1000"/>
      </w:tblGrid>
      <w:tr w14:paraId="34786895">
        <w:tblPrEx>
          <w:tblCellMar>
            <w:top w:w="0" w:type="dxa"/>
            <w:left w:w="51" w:type="dxa"/>
            <w:bottom w:w="0" w:type="dxa"/>
            <w:right w:w="51" w:type="dxa"/>
          </w:tblCellMar>
        </w:tblPrEx>
        <w:trPr>
          <w:trHeight w:val="397" w:hRule="atLeast"/>
          <w:tblHeader/>
        </w:trPr>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EF7443">
            <w:pPr>
              <w:widowControl/>
              <w:spacing w:line="240" w:lineRule="auto"/>
              <w:ind w:firstLine="0" w:firstLineChars="0"/>
              <w:jc w:val="center"/>
              <w:textAlignment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bidi="ar"/>
              </w:rPr>
              <w:t>一级指标</w:t>
            </w: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26A76A">
            <w:pPr>
              <w:widowControl/>
              <w:spacing w:line="240" w:lineRule="auto"/>
              <w:ind w:firstLine="0" w:firstLineChars="0"/>
              <w:jc w:val="center"/>
              <w:textAlignment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bidi="ar"/>
              </w:rPr>
              <w:t>二级指标</w:t>
            </w:r>
          </w:p>
        </w:tc>
        <w:tc>
          <w:tcPr>
            <w:tcW w:w="10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F903FA">
            <w:pPr>
              <w:widowControl/>
              <w:spacing w:line="240" w:lineRule="auto"/>
              <w:ind w:firstLine="0" w:firstLineChars="0"/>
              <w:jc w:val="center"/>
              <w:textAlignment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bidi="ar"/>
              </w:rPr>
              <w:t>三级指标</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973B36">
            <w:pPr>
              <w:widowControl/>
              <w:spacing w:line="240" w:lineRule="auto"/>
              <w:ind w:firstLine="0" w:firstLineChars="0"/>
              <w:jc w:val="center"/>
              <w:textAlignment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bidi="ar"/>
              </w:rPr>
              <w:t>业绩值</w:t>
            </w: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B8DC16">
            <w:pPr>
              <w:widowControl/>
              <w:spacing w:line="240" w:lineRule="auto"/>
              <w:ind w:firstLine="0" w:firstLineChars="0"/>
              <w:jc w:val="center"/>
              <w:textAlignment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bidi="ar"/>
              </w:rPr>
              <w:t>完成值</w:t>
            </w:r>
          </w:p>
        </w:tc>
        <w:tc>
          <w:tcPr>
            <w:tcW w:w="4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84E178">
            <w:pPr>
              <w:widowControl/>
              <w:spacing w:line="240" w:lineRule="auto"/>
              <w:ind w:firstLine="0" w:firstLineChars="0"/>
              <w:jc w:val="center"/>
              <w:textAlignment w:val="center"/>
              <w:rPr>
                <w:rFonts w:hint="eastAsia" w:ascii="Times New Roman" w:hAnsi="Times New Roman" w:eastAsia="宋体" w:cs="Times New Roman"/>
                <w:b/>
                <w:color w:val="auto"/>
                <w:sz w:val="21"/>
                <w:szCs w:val="21"/>
                <w:highlight w:val="none"/>
                <w:lang w:eastAsia="zh-CN"/>
              </w:rPr>
            </w:pPr>
            <w:r>
              <w:rPr>
                <w:rFonts w:hint="eastAsia" w:ascii="Times New Roman" w:hAnsi="Times New Roman" w:eastAsia="宋体" w:cs="Times New Roman"/>
                <w:b/>
                <w:color w:val="auto"/>
                <w:sz w:val="21"/>
                <w:szCs w:val="21"/>
                <w:highlight w:val="none"/>
                <w:lang w:val="en-US" w:eastAsia="zh-CN" w:bidi="ar"/>
              </w:rPr>
              <w:t>权重</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FA8F7A">
            <w:pPr>
              <w:widowControl/>
              <w:spacing w:line="240" w:lineRule="auto"/>
              <w:ind w:firstLine="0" w:firstLineChars="0"/>
              <w:jc w:val="center"/>
              <w:textAlignment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bidi="ar"/>
              </w:rPr>
              <w:t>得分</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449F71">
            <w:pPr>
              <w:widowControl/>
              <w:spacing w:line="240" w:lineRule="auto"/>
              <w:ind w:firstLine="0" w:firstLineChars="0"/>
              <w:jc w:val="center"/>
              <w:textAlignment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bidi="ar"/>
              </w:rPr>
              <w:t>得分率</w:t>
            </w:r>
          </w:p>
        </w:tc>
      </w:tr>
      <w:tr w14:paraId="5BABFB7F">
        <w:tblPrEx>
          <w:tblCellMar>
            <w:top w:w="0" w:type="dxa"/>
            <w:left w:w="51" w:type="dxa"/>
            <w:bottom w:w="0" w:type="dxa"/>
            <w:right w:w="51" w:type="dxa"/>
          </w:tblCellMar>
        </w:tblPrEx>
        <w:trPr>
          <w:trHeight w:val="397" w:hRule="atLeast"/>
        </w:trPr>
        <w:tc>
          <w:tcPr>
            <w:tcW w:w="49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413F44">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eastAsia="宋体" w:cs="Times New Roman"/>
                <w:color w:val="auto"/>
                <w:sz w:val="21"/>
                <w:szCs w:val="21"/>
                <w:highlight w:val="none"/>
              </w:rPr>
              <w:t>A部门决策（15.00分）</w:t>
            </w:r>
          </w:p>
        </w:tc>
        <w:tc>
          <w:tcPr>
            <w:tcW w:w="76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4C66BD">
            <w:pPr>
              <w:pStyle w:val="36"/>
              <w:snapToGrid w:val="0"/>
              <w:spacing w:before="0" w:after="0" w:line="240" w:lineRule="auto"/>
              <w:jc w:val="left"/>
              <w:rPr>
                <w:rFonts w:hint="default"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A1部门战略计划</w:t>
            </w:r>
          </w:p>
        </w:tc>
        <w:tc>
          <w:tcPr>
            <w:tcW w:w="10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7DA9AA">
            <w:pPr>
              <w:widowControl/>
              <w:spacing w:line="240" w:lineRule="auto"/>
              <w:ind w:firstLine="0" w:firstLineChars="0"/>
              <w:jc w:val="left"/>
              <w:textAlignment w:val="center"/>
              <w:rPr>
                <w:rFonts w:hint="default"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highlight w:val="none"/>
                <w:lang w:val="en-US" w:eastAsia="zh-CN"/>
              </w:rPr>
              <w:t>A11中长期规划科学合理性</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F36B69">
            <w:pPr>
              <w:widowControl/>
              <w:spacing w:line="240" w:lineRule="auto"/>
              <w:ind w:firstLine="0" w:firstLineChars="0"/>
              <w:jc w:val="center"/>
              <w:textAlignment w:val="center"/>
              <w:rPr>
                <w:rFonts w:hint="default"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highlight w:val="none"/>
                <w:lang w:val="en-US" w:eastAsia="zh-CN"/>
              </w:rPr>
              <w:t>合理</w:t>
            </w: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3951E1">
            <w:pPr>
              <w:widowControl/>
              <w:spacing w:line="240" w:lineRule="auto"/>
              <w:ind w:firstLine="0" w:firstLineChars="0"/>
              <w:jc w:val="center"/>
              <w:textAlignment w:val="center"/>
              <w:rPr>
                <w:rFonts w:hint="default"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highlight w:val="none"/>
                <w:lang w:val="en-US" w:eastAsia="zh-CN"/>
              </w:rPr>
              <w:t>合理</w:t>
            </w:r>
          </w:p>
        </w:tc>
        <w:tc>
          <w:tcPr>
            <w:tcW w:w="4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666AEB">
            <w:pPr>
              <w:widowControl/>
              <w:spacing w:line="240" w:lineRule="auto"/>
              <w:ind w:firstLine="0" w:firstLineChars="0"/>
              <w:jc w:val="center"/>
              <w:textAlignment w:val="center"/>
              <w:rPr>
                <w:rFonts w:hint="default"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2.00</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067447">
            <w:pPr>
              <w:widowControl/>
              <w:spacing w:line="240" w:lineRule="auto"/>
              <w:ind w:firstLine="0" w:firstLineChars="0"/>
              <w:jc w:val="center"/>
              <w:textAlignment w:val="center"/>
              <w:rPr>
                <w:rFonts w:hint="default"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2.00</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80CCA4">
            <w:pPr>
              <w:pStyle w:val="36"/>
              <w:snapToGrid w:val="0"/>
              <w:spacing w:before="0" w:after="0" w:line="240" w:lineRule="auto"/>
              <w:jc w:val="center"/>
              <w:rPr>
                <w:rFonts w:hint="default"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100.00%</w:t>
            </w:r>
          </w:p>
        </w:tc>
      </w:tr>
      <w:tr w14:paraId="0DCCA952">
        <w:tblPrEx>
          <w:tblCellMar>
            <w:top w:w="0" w:type="dxa"/>
            <w:left w:w="51" w:type="dxa"/>
            <w:bottom w:w="0" w:type="dxa"/>
            <w:right w:w="51" w:type="dxa"/>
          </w:tblCellMar>
        </w:tblPrEx>
        <w:trPr>
          <w:trHeight w:val="397" w:hRule="atLeast"/>
        </w:trPr>
        <w:tc>
          <w:tcPr>
            <w:tcW w:w="4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C38314">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rPr>
            </w:pPr>
          </w:p>
        </w:tc>
        <w:tc>
          <w:tcPr>
            <w:tcW w:w="7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CC872F">
            <w:pPr>
              <w:pStyle w:val="36"/>
              <w:snapToGrid w:val="0"/>
              <w:spacing w:before="0" w:after="0" w:line="240" w:lineRule="auto"/>
              <w:jc w:val="left"/>
              <w:rPr>
                <w:rFonts w:hint="default" w:ascii="Times New Roman" w:hAnsi="Times New Roman" w:eastAsia="宋体" w:cs="Times New Roman"/>
                <w:bCs/>
                <w:color w:val="auto"/>
                <w:sz w:val="21"/>
                <w:szCs w:val="21"/>
                <w:highlight w:val="none"/>
                <w:lang w:val="en-US" w:eastAsia="zh-CN"/>
              </w:rPr>
            </w:pPr>
          </w:p>
        </w:tc>
        <w:tc>
          <w:tcPr>
            <w:tcW w:w="10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5FB0D2">
            <w:pPr>
              <w:widowControl/>
              <w:spacing w:line="240" w:lineRule="auto"/>
              <w:ind w:firstLine="0" w:firstLineChars="0"/>
              <w:jc w:val="left"/>
              <w:textAlignment w:val="center"/>
              <w:rPr>
                <w:rFonts w:hint="default"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highlight w:val="none"/>
                <w:lang w:val="en-US" w:eastAsia="zh-CN"/>
              </w:rPr>
              <w:t>A12年度工作计划科学完整性</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577E27">
            <w:pPr>
              <w:widowControl/>
              <w:spacing w:line="240" w:lineRule="auto"/>
              <w:ind w:firstLine="0" w:firstLineChars="0"/>
              <w:jc w:val="center"/>
              <w:textAlignment w:val="center"/>
              <w:rPr>
                <w:rFonts w:hint="default"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highlight w:val="none"/>
                <w:lang w:val="en-US" w:eastAsia="zh-CN"/>
              </w:rPr>
              <w:t>科学完整</w:t>
            </w: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40A113">
            <w:pPr>
              <w:widowControl/>
              <w:spacing w:line="240" w:lineRule="auto"/>
              <w:ind w:firstLine="0" w:firstLineChars="0"/>
              <w:jc w:val="center"/>
              <w:textAlignment w:val="center"/>
              <w:rPr>
                <w:rFonts w:hint="default"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highlight w:val="none"/>
                <w:lang w:val="en-US" w:eastAsia="zh-CN"/>
              </w:rPr>
              <w:t>科学完整</w:t>
            </w:r>
          </w:p>
        </w:tc>
        <w:tc>
          <w:tcPr>
            <w:tcW w:w="4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DF6C8C">
            <w:pPr>
              <w:widowControl/>
              <w:spacing w:line="240" w:lineRule="auto"/>
              <w:ind w:firstLine="0" w:firstLineChars="0"/>
              <w:jc w:val="center"/>
              <w:textAlignment w:val="center"/>
              <w:rPr>
                <w:rFonts w:hint="default"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4.00</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28B042">
            <w:pPr>
              <w:widowControl/>
              <w:spacing w:line="240" w:lineRule="auto"/>
              <w:ind w:firstLine="0" w:firstLineChars="0"/>
              <w:jc w:val="center"/>
              <w:textAlignment w:val="center"/>
              <w:rPr>
                <w:rFonts w:hint="default"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4.00</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794DFB">
            <w:pPr>
              <w:pStyle w:val="36"/>
              <w:snapToGrid w:val="0"/>
              <w:spacing w:before="0" w:after="0" w:line="240" w:lineRule="auto"/>
              <w:jc w:val="center"/>
              <w:rPr>
                <w:rFonts w:hint="default"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100.00%</w:t>
            </w:r>
          </w:p>
        </w:tc>
      </w:tr>
      <w:tr w14:paraId="06D55BB7">
        <w:tblPrEx>
          <w:tblCellMar>
            <w:top w:w="0" w:type="dxa"/>
            <w:left w:w="51" w:type="dxa"/>
            <w:bottom w:w="0" w:type="dxa"/>
            <w:right w:w="51" w:type="dxa"/>
          </w:tblCellMar>
        </w:tblPrEx>
        <w:trPr>
          <w:trHeight w:val="397" w:hRule="atLeast"/>
        </w:trPr>
        <w:tc>
          <w:tcPr>
            <w:tcW w:w="4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7D22DD">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rPr>
            </w:pPr>
          </w:p>
        </w:tc>
        <w:tc>
          <w:tcPr>
            <w:tcW w:w="76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EAA1C3">
            <w:pPr>
              <w:pStyle w:val="36"/>
              <w:snapToGrid w:val="0"/>
              <w:spacing w:before="0" w:after="0" w:line="240" w:lineRule="auto"/>
              <w:jc w:val="left"/>
              <w:rPr>
                <w:rFonts w:hint="default"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A2绩效目标</w:t>
            </w:r>
          </w:p>
        </w:tc>
        <w:tc>
          <w:tcPr>
            <w:tcW w:w="10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BD17ED">
            <w:pPr>
              <w:widowControl/>
              <w:spacing w:line="240" w:lineRule="auto"/>
              <w:ind w:firstLine="0" w:firstLineChars="0"/>
              <w:jc w:val="left"/>
              <w:textAlignment w:val="center"/>
              <w:rPr>
                <w:rFonts w:hint="default"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highlight w:val="none"/>
                <w:lang w:val="en-US" w:eastAsia="zh-CN"/>
              </w:rPr>
              <w:t>A21绩效目标明确性</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B1136C">
            <w:pPr>
              <w:widowControl/>
              <w:spacing w:line="240" w:lineRule="auto"/>
              <w:ind w:firstLine="0" w:firstLineChars="0"/>
              <w:jc w:val="center"/>
              <w:textAlignment w:val="center"/>
              <w:rPr>
                <w:rFonts w:hint="default"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highlight w:val="none"/>
                <w:lang w:val="en-US" w:eastAsia="zh-CN"/>
              </w:rPr>
              <w:t>明确</w:t>
            </w: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F4A982">
            <w:pPr>
              <w:widowControl/>
              <w:spacing w:line="240" w:lineRule="auto"/>
              <w:ind w:firstLine="0" w:firstLineChars="0"/>
              <w:jc w:val="center"/>
              <w:textAlignment w:val="center"/>
              <w:rPr>
                <w:rFonts w:hint="default"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highlight w:val="none"/>
                <w:lang w:val="en-US" w:eastAsia="zh-CN"/>
              </w:rPr>
              <w:t>明确</w:t>
            </w:r>
          </w:p>
        </w:tc>
        <w:tc>
          <w:tcPr>
            <w:tcW w:w="4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D00C12">
            <w:pPr>
              <w:widowControl/>
              <w:spacing w:line="240" w:lineRule="auto"/>
              <w:ind w:firstLine="0" w:firstLineChars="0"/>
              <w:jc w:val="center"/>
              <w:textAlignment w:val="center"/>
              <w:rPr>
                <w:rFonts w:hint="default"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2.00</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FEA413">
            <w:pPr>
              <w:widowControl/>
              <w:spacing w:line="240" w:lineRule="auto"/>
              <w:ind w:firstLine="0" w:firstLineChars="0"/>
              <w:jc w:val="center"/>
              <w:textAlignment w:val="center"/>
              <w:rPr>
                <w:rFonts w:hint="default"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2.00</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14E41E">
            <w:pPr>
              <w:pStyle w:val="36"/>
              <w:snapToGrid w:val="0"/>
              <w:spacing w:before="0" w:after="0" w:line="240" w:lineRule="auto"/>
              <w:jc w:val="center"/>
              <w:rPr>
                <w:rFonts w:hint="default"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100.00%</w:t>
            </w:r>
          </w:p>
        </w:tc>
      </w:tr>
      <w:tr w14:paraId="333193EF">
        <w:tblPrEx>
          <w:tblCellMar>
            <w:top w:w="0" w:type="dxa"/>
            <w:left w:w="51" w:type="dxa"/>
            <w:bottom w:w="0" w:type="dxa"/>
            <w:right w:w="51" w:type="dxa"/>
          </w:tblCellMar>
        </w:tblPrEx>
        <w:trPr>
          <w:trHeight w:val="397" w:hRule="atLeast"/>
        </w:trPr>
        <w:tc>
          <w:tcPr>
            <w:tcW w:w="4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189F2A">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rPr>
            </w:pPr>
          </w:p>
        </w:tc>
        <w:tc>
          <w:tcPr>
            <w:tcW w:w="7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F9A5E7">
            <w:pPr>
              <w:pStyle w:val="36"/>
              <w:snapToGrid w:val="0"/>
              <w:spacing w:before="0" w:after="0" w:line="240" w:lineRule="auto"/>
              <w:jc w:val="left"/>
              <w:rPr>
                <w:rFonts w:hint="default" w:ascii="Times New Roman" w:hAnsi="Times New Roman" w:eastAsia="宋体" w:cs="Times New Roman"/>
                <w:bCs/>
                <w:color w:val="auto"/>
                <w:sz w:val="21"/>
                <w:szCs w:val="21"/>
                <w:highlight w:val="none"/>
                <w:lang w:val="en-US" w:eastAsia="zh-CN"/>
              </w:rPr>
            </w:pPr>
          </w:p>
        </w:tc>
        <w:tc>
          <w:tcPr>
            <w:tcW w:w="10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EECE25">
            <w:pPr>
              <w:widowControl/>
              <w:spacing w:line="240" w:lineRule="auto"/>
              <w:ind w:firstLine="0" w:firstLineChars="0"/>
              <w:jc w:val="left"/>
              <w:textAlignment w:val="center"/>
              <w:rPr>
                <w:rFonts w:hint="default"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highlight w:val="none"/>
                <w:lang w:val="en-US" w:eastAsia="zh-CN"/>
              </w:rPr>
              <w:t>A22绩效目标合理性</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7384EB">
            <w:pPr>
              <w:widowControl/>
              <w:spacing w:line="240" w:lineRule="auto"/>
              <w:ind w:firstLine="0" w:firstLineChars="0"/>
              <w:jc w:val="center"/>
              <w:textAlignment w:val="center"/>
              <w:rPr>
                <w:rFonts w:hint="default"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highlight w:val="none"/>
                <w:lang w:val="en-US" w:eastAsia="zh-CN"/>
              </w:rPr>
              <w:t>合理</w:t>
            </w: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36BC69">
            <w:pPr>
              <w:widowControl/>
              <w:spacing w:line="240" w:lineRule="auto"/>
              <w:ind w:firstLine="0" w:firstLineChars="0"/>
              <w:jc w:val="center"/>
              <w:textAlignment w:val="center"/>
              <w:rPr>
                <w:rFonts w:hint="default"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highlight w:val="none"/>
                <w:lang w:val="en-US" w:eastAsia="zh-CN"/>
              </w:rPr>
              <w:t>合理</w:t>
            </w:r>
          </w:p>
        </w:tc>
        <w:tc>
          <w:tcPr>
            <w:tcW w:w="4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F8F75F">
            <w:pPr>
              <w:widowControl/>
              <w:spacing w:line="240" w:lineRule="auto"/>
              <w:ind w:firstLine="0" w:firstLineChars="0"/>
              <w:jc w:val="center"/>
              <w:textAlignment w:val="center"/>
              <w:rPr>
                <w:rFonts w:hint="default"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2.00</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7687C9">
            <w:pPr>
              <w:widowControl/>
              <w:spacing w:line="240" w:lineRule="auto"/>
              <w:ind w:firstLine="0" w:firstLineChars="0"/>
              <w:jc w:val="center"/>
              <w:textAlignment w:val="center"/>
              <w:rPr>
                <w:rFonts w:hint="default"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2.00</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06F876">
            <w:pPr>
              <w:pStyle w:val="36"/>
              <w:snapToGrid w:val="0"/>
              <w:spacing w:before="0" w:after="0" w:line="240" w:lineRule="auto"/>
              <w:jc w:val="center"/>
              <w:rPr>
                <w:rFonts w:hint="default"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100.00%</w:t>
            </w:r>
          </w:p>
        </w:tc>
      </w:tr>
      <w:tr w14:paraId="2F4C2A61">
        <w:tblPrEx>
          <w:tblCellMar>
            <w:top w:w="0" w:type="dxa"/>
            <w:left w:w="51" w:type="dxa"/>
            <w:bottom w:w="0" w:type="dxa"/>
            <w:right w:w="51" w:type="dxa"/>
          </w:tblCellMar>
        </w:tblPrEx>
        <w:trPr>
          <w:trHeight w:val="397" w:hRule="atLeast"/>
        </w:trPr>
        <w:tc>
          <w:tcPr>
            <w:tcW w:w="4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43D094">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rPr>
            </w:pPr>
          </w:p>
        </w:tc>
        <w:tc>
          <w:tcPr>
            <w:tcW w:w="76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EA3F23">
            <w:pPr>
              <w:pStyle w:val="36"/>
              <w:snapToGrid w:val="0"/>
              <w:spacing w:before="0" w:after="0" w:line="240" w:lineRule="auto"/>
              <w:jc w:val="left"/>
              <w:rPr>
                <w:rFonts w:hint="default"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A3部门预算编制</w:t>
            </w:r>
          </w:p>
        </w:tc>
        <w:tc>
          <w:tcPr>
            <w:tcW w:w="10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747CCA">
            <w:pPr>
              <w:widowControl/>
              <w:spacing w:line="240" w:lineRule="auto"/>
              <w:ind w:firstLine="0" w:firstLineChars="0"/>
              <w:jc w:val="left"/>
              <w:textAlignment w:val="center"/>
              <w:rPr>
                <w:rFonts w:hint="default"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highlight w:val="none"/>
                <w:lang w:val="en-US" w:eastAsia="zh-CN"/>
              </w:rPr>
              <w:t>A31预算编制规范性</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E7A177">
            <w:pPr>
              <w:widowControl/>
              <w:spacing w:line="240" w:lineRule="auto"/>
              <w:ind w:firstLine="0" w:firstLineChars="0"/>
              <w:jc w:val="center"/>
              <w:textAlignment w:val="center"/>
              <w:rPr>
                <w:rFonts w:hint="default"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highlight w:val="none"/>
                <w:lang w:val="en-US" w:eastAsia="zh-CN"/>
              </w:rPr>
              <w:t>规范</w:t>
            </w: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7C0C47">
            <w:pPr>
              <w:widowControl/>
              <w:spacing w:line="240" w:lineRule="auto"/>
              <w:ind w:firstLine="0" w:firstLineChars="0"/>
              <w:jc w:val="center"/>
              <w:textAlignment w:val="center"/>
              <w:rPr>
                <w:rFonts w:hint="default"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highlight w:val="none"/>
                <w:lang w:val="en-US" w:eastAsia="zh-CN"/>
              </w:rPr>
              <w:t>规范</w:t>
            </w:r>
          </w:p>
        </w:tc>
        <w:tc>
          <w:tcPr>
            <w:tcW w:w="4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18B5E0">
            <w:pPr>
              <w:widowControl/>
              <w:spacing w:line="240" w:lineRule="auto"/>
              <w:ind w:firstLine="0" w:firstLineChars="0"/>
              <w:jc w:val="center"/>
              <w:textAlignment w:val="center"/>
              <w:rPr>
                <w:rFonts w:hint="default"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2.00</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497CD5">
            <w:pPr>
              <w:widowControl/>
              <w:spacing w:line="240" w:lineRule="auto"/>
              <w:ind w:firstLine="0" w:firstLineChars="0"/>
              <w:jc w:val="center"/>
              <w:textAlignment w:val="center"/>
              <w:rPr>
                <w:rFonts w:hint="default"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2.00</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511DCD">
            <w:pPr>
              <w:pStyle w:val="36"/>
              <w:snapToGrid w:val="0"/>
              <w:spacing w:before="0" w:after="0" w:line="240" w:lineRule="auto"/>
              <w:jc w:val="center"/>
              <w:rPr>
                <w:rFonts w:hint="default"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100.00%</w:t>
            </w:r>
          </w:p>
        </w:tc>
      </w:tr>
      <w:tr w14:paraId="39A61CAF">
        <w:tblPrEx>
          <w:tblCellMar>
            <w:top w:w="0" w:type="dxa"/>
            <w:left w:w="51" w:type="dxa"/>
            <w:bottom w:w="0" w:type="dxa"/>
            <w:right w:w="51" w:type="dxa"/>
          </w:tblCellMar>
        </w:tblPrEx>
        <w:trPr>
          <w:trHeight w:val="397" w:hRule="atLeast"/>
        </w:trPr>
        <w:tc>
          <w:tcPr>
            <w:tcW w:w="4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67E226">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rPr>
            </w:pPr>
          </w:p>
        </w:tc>
        <w:tc>
          <w:tcPr>
            <w:tcW w:w="7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7CE59A">
            <w:pPr>
              <w:pStyle w:val="36"/>
              <w:snapToGrid w:val="0"/>
              <w:spacing w:before="0" w:after="0" w:line="240" w:lineRule="auto"/>
              <w:jc w:val="center"/>
              <w:rPr>
                <w:rFonts w:hint="default" w:ascii="Times New Roman" w:hAnsi="Times New Roman" w:eastAsia="宋体" w:cs="Times New Roman"/>
                <w:bCs/>
                <w:color w:val="auto"/>
                <w:sz w:val="21"/>
                <w:szCs w:val="21"/>
                <w:highlight w:val="none"/>
                <w:lang w:val="en-US" w:eastAsia="zh-CN"/>
              </w:rPr>
            </w:pPr>
          </w:p>
        </w:tc>
        <w:tc>
          <w:tcPr>
            <w:tcW w:w="10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44A007">
            <w:pPr>
              <w:widowControl/>
              <w:spacing w:line="240" w:lineRule="auto"/>
              <w:ind w:firstLine="0" w:firstLineChars="0"/>
              <w:jc w:val="left"/>
              <w:textAlignment w:val="center"/>
              <w:rPr>
                <w:rFonts w:hint="default"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highlight w:val="none"/>
                <w:lang w:val="en-US" w:eastAsia="zh-CN"/>
              </w:rPr>
              <w:t>A32预算编制与重点工作任务的匹配性</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71CE6C">
            <w:pPr>
              <w:widowControl/>
              <w:spacing w:line="240" w:lineRule="auto"/>
              <w:ind w:firstLine="0" w:firstLineChars="0"/>
              <w:jc w:val="center"/>
              <w:textAlignment w:val="center"/>
              <w:rPr>
                <w:rFonts w:hint="default"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highlight w:val="none"/>
                <w:lang w:val="en-US" w:eastAsia="zh-CN"/>
              </w:rPr>
              <w:t>匹配</w:t>
            </w: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369BD6">
            <w:pPr>
              <w:widowControl/>
              <w:spacing w:line="240" w:lineRule="auto"/>
              <w:ind w:firstLine="0" w:firstLineChars="0"/>
              <w:jc w:val="center"/>
              <w:textAlignment w:val="center"/>
              <w:rPr>
                <w:rFonts w:hint="default"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highlight w:val="none"/>
                <w:lang w:val="en-US" w:eastAsia="zh-CN"/>
              </w:rPr>
              <w:t>匹配</w:t>
            </w:r>
          </w:p>
        </w:tc>
        <w:tc>
          <w:tcPr>
            <w:tcW w:w="4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6CC55C">
            <w:pPr>
              <w:widowControl/>
              <w:spacing w:line="240" w:lineRule="auto"/>
              <w:ind w:firstLine="0" w:firstLineChars="0"/>
              <w:jc w:val="center"/>
              <w:textAlignment w:val="center"/>
              <w:rPr>
                <w:rFonts w:hint="default"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3.00</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40D0D7">
            <w:pPr>
              <w:widowControl/>
              <w:spacing w:line="240" w:lineRule="auto"/>
              <w:ind w:firstLine="0" w:firstLineChars="0"/>
              <w:jc w:val="center"/>
              <w:textAlignment w:val="center"/>
              <w:rPr>
                <w:rFonts w:hint="default"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3.00</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F37B42">
            <w:pPr>
              <w:pStyle w:val="36"/>
              <w:snapToGrid w:val="0"/>
              <w:spacing w:before="0" w:after="0" w:line="240" w:lineRule="auto"/>
              <w:jc w:val="center"/>
              <w:rPr>
                <w:rFonts w:hint="default"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100.00%</w:t>
            </w:r>
          </w:p>
        </w:tc>
      </w:tr>
      <w:tr w14:paraId="7878481C">
        <w:tblPrEx>
          <w:tblCellMar>
            <w:top w:w="0" w:type="dxa"/>
            <w:left w:w="51" w:type="dxa"/>
            <w:bottom w:w="0" w:type="dxa"/>
            <w:right w:w="51" w:type="dxa"/>
          </w:tblCellMar>
        </w:tblPrEx>
        <w:trPr>
          <w:trHeight w:val="397" w:hRule="atLeast"/>
        </w:trPr>
        <w:tc>
          <w:tcPr>
            <w:tcW w:w="226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4CE516E">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eastAsia="宋体" w:cs="Times New Roman"/>
                <w:b/>
                <w:color w:val="auto"/>
                <w:sz w:val="21"/>
                <w:szCs w:val="21"/>
                <w:highlight w:val="none"/>
              </w:rPr>
              <w:t>合计</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2A1D45">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bidi="ar"/>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D6325C">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bidi="ar"/>
              </w:rPr>
            </w:pPr>
          </w:p>
        </w:tc>
        <w:tc>
          <w:tcPr>
            <w:tcW w:w="4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6EDDCC">
            <w:pPr>
              <w:widowControl/>
              <w:spacing w:line="240" w:lineRule="auto"/>
              <w:ind w:firstLine="0" w:firstLineChars="0"/>
              <w:jc w:val="center"/>
              <w:textAlignment w:val="center"/>
              <w:rPr>
                <w:rFonts w:hint="default" w:ascii="Times New Roman" w:hAnsi="Times New Roman" w:eastAsia="宋体" w:cs="Times New Roman"/>
                <w:b/>
                <w:bCs/>
                <w:color w:val="auto"/>
                <w:sz w:val="21"/>
                <w:szCs w:val="21"/>
                <w:highlight w:val="none"/>
              </w:rPr>
            </w:pPr>
            <w:r>
              <w:rPr>
                <w:rFonts w:hint="eastAsia" w:ascii="Times New Roman" w:hAnsi="Times New Roman" w:eastAsia="宋体" w:cs="Times New Roman"/>
                <w:b/>
                <w:bCs/>
                <w:color w:val="auto"/>
                <w:highlight w:val="none"/>
              </w:rPr>
              <w:t>15.00</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1346C6">
            <w:pPr>
              <w:widowControl/>
              <w:spacing w:line="240" w:lineRule="auto"/>
              <w:ind w:firstLine="0" w:firstLineChars="0"/>
              <w:jc w:val="center"/>
              <w:textAlignment w:val="center"/>
              <w:rPr>
                <w:rFonts w:hint="default" w:ascii="Times New Roman" w:hAnsi="Times New Roman" w:eastAsia="宋体" w:cs="Times New Roman"/>
                <w:b/>
                <w:bCs/>
                <w:color w:val="auto"/>
                <w:kern w:val="2"/>
                <w:sz w:val="21"/>
                <w:szCs w:val="21"/>
                <w:highlight w:val="none"/>
              </w:rPr>
            </w:pPr>
            <w:r>
              <w:rPr>
                <w:rFonts w:hint="eastAsia" w:ascii="Times New Roman" w:hAnsi="Times New Roman" w:eastAsia="宋体" w:cs="Times New Roman"/>
                <w:b/>
                <w:bCs/>
                <w:color w:val="auto"/>
                <w:highlight w:val="none"/>
                <w:lang w:val="en-US" w:eastAsia="zh-CN"/>
              </w:rPr>
              <w:t>15</w:t>
            </w:r>
            <w:r>
              <w:rPr>
                <w:rFonts w:hint="eastAsia" w:ascii="Times New Roman" w:hAnsi="Times New Roman" w:eastAsia="宋体" w:cs="Times New Roman"/>
                <w:b/>
                <w:bCs/>
                <w:color w:val="auto"/>
                <w:highlight w:val="none"/>
              </w:rPr>
              <w:t>.00</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0C17F7">
            <w:pPr>
              <w:widowControl/>
              <w:spacing w:line="240" w:lineRule="auto"/>
              <w:ind w:firstLine="0" w:firstLineChars="0"/>
              <w:jc w:val="center"/>
              <w:textAlignment w:val="center"/>
              <w:rPr>
                <w:rFonts w:hint="default" w:ascii="Times New Roman" w:hAnsi="Times New Roman" w:eastAsia="宋体" w:cs="Times New Roman"/>
                <w:b/>
                <w:bCs/>
                <w:color w:val="auto"/>
                <w:sz w:val="21"/>
                <w:szCs w:val="21"/>
                <w:highlight w:val="none"/>
                <w:lang w:bidi="ar"/>
              </w:rPr>
            </w:pPr>
            <w:r>
              <w:rPr>
                <w:rFonts w:hint="eastAsia" w:ascii="Times New Roman" w:hAnsi="Times New Roman" w:eastAsia="宋体" w:cs="Times New Roman"/>
                <w:b/>
                <w:bCs/>
                <w:color w:val="auto"/>
                <w:highlight w:val="none"/>
                <w:lang w:val="en-US" w:eastAsia="zh-CN"/>
              </w:rPr>
              <w:t>100.00</w:t>
            </w:r>
            <w:r>
              <w:rPr>
                <w:rFonts w:hint="eastAsia" w:ascii="Times New Roman" w:hAnsi="Times New Roman" w:eastAsia="宋体" w:cs="Times New Roman"/>
                <w:b/>
                <w:bCs/>
                <w:color w:val="auto"/>
                <w:highlight w:val="none"/>
              </w:rPr>
              <w:t>%</w:t>
            </w:r>
          </w:p>
        </w:tc>
      </w:tr>
    </w:tbl>
    <w:p w14:paraId="227DD7A6">
      <w:pPr>
        <w:bidi w:val="0"/>
        <w:spacing w:line="240" w:lineRule="auto"/>
        <w:rPr>
          <w:rFonts w:hint="default" w:ascii="Times New Roman" w:hAnsi="Times New Roman" w:eastAsia="宋体" w:cs="Times New Roman"/>
          <w:color w:val="auto"/>
          <w:highlight w:val="none"/>
        </w:rPr>
      </w:pPr>
    </w:p>
    <w:p w14:paraId="41BB1D57">
      <w:pPr>
        <w:ind w:firstLine="643"/>
        <w:rPr>
          <w:rFonts w:hint="default" w:ascii="Times New Roman" w:hAnsi="Times New Roman" w:eastAsia="宋体" w:cs="Times New Roman"/>
          <w:b/>
          <w:color w:val="auto"/>
          <w:highlight w:val="none"/>
        </w:rPr>
      </w:pPr>
      <w:r>
        <w:rPr>
          <w:rFonts w:hint="default" w:ascii="Times New Roman" w:hAnsi="Times New Roman" w:eastAsia="宋体" w:cs="Times New Roman"/>
          <w:b/>
          <w:color w:val="auto"/>
          <w:highlight w:val="none"/>
        </w:rPr>
        <w:t>指标得分分析：</w:t>
      </w:r>
    </w:p>
    <w:p w14:paraId="61FCB0A5">
      <w:pPr>
        <w:ind w:firstLine="640"/>
        <w:rPr>
          <w:rFonts w:hint="default" w:ascii="Times New Roman" w:hAnsi="Times New Roman" w:eastAsia="宋体" w:cs="Times New Roman"/>
          <w:b/>
          <w:color w:val="auto"/>
          <w:highlight w:val="none"/>
        </w:rPr>
      </w:pPr>
      <w:r>
        <w:rPr>
          <w:rFonts w:hint="default" w:ascii="Times New Roman" w:hAnsi="Times New Roman" w:eastAsia="宋体" w:cs="Times New Roman"/>
          <w:b/>
          <w:color w:val="auto"/>
          <w:highlight w:val="none"/>
        </w:rPr>
        <w:t>（</w:t>
      </w:r>
      <w:r>
        <w:rPr>
          <w:rFonts w:hint="eastAsia" w:ascii="Times New Roman" w:hAnsi="Times New Roman" w:eastAsia="宋体" w:cs="Times New Roman"/>
          <w:b/>
          <w:color w:val="auto"/>
          <w:highlight w:val="none"/>
          <w:lang w:val="en-US" w:eastAsia="zh-CN"/>
        </w:rPr>
        <w:t>1</w:t>
      </w:r>
      <w:r>
        <w:rPr>
          <w:rFonts w:hint="default" w:ascii="Times New Roman" w:hAnsi="Times New Roman" w:eastAsia="宋体" w:cs="Times New Roman"/>
          <w:b/>
          <w:color w:val="auto"/>
          <w:highlight w:val="none"/>
        </w:rPr>
        <w:t>）</w:t>
      </w:r>
      <w:r>
        <w:rPr>
          <w:rFonts w:hint="eastAsia" w:ascii="Times New Roman" w:hAnsi="Times New Roman" w:eastAsia="宋体" w:cs="Times New Roman"/>
          <w:b/>
          <w:color w:val="auto"/>
          <w:highlight w:val="none"/>
          <w:lang w:val="en-US" w:eastAsia="zh-CN"/>
        </w:rPr>
        <w:t>A11中长期规划科学合理性</w:t>
      </w:r>
      <w:r>
        <w:rPr>
          <w:rFonts w:hint="default" w:ascii="Times New Roman" w:hAnsi="Times New Roman" w:eastAsia="宋体" w:cs="Times New Roman"/>
          <w:b/>
          <w:color w:val="auto"/>
          <w:highlight w:val="none"/>
        </w:rPr>
        <w:t>指标：</w:t>
      </w:r>
    </w:p>
    <w:p w14:paraId="22EDFA20">
      <w:pPr>
        <w:adjustRightInd/>
        <w:ind w:firstLine="640"/>
        <w:rPr>
          <w:rFonts w:hint="default" w:ascii="Times New Roman" w:hAnsi="Times New Roman" w:eastAsia="宋体" w:cs="Times New Roman"/>
          <w:bCs w:val="0"/>
          <w:color w:val="auto"/>
          <w:kern w:val="2"/>
          <w:highlight w:val="none"/>
        </w:rPr>
      </w:pPr>
      <w:r>
        <w:rPr>
          <w:rFonts w:hint="eastAsia" w:ascii="Times New Roman" w:hAnsi="Times New Roman" w:eastAsia="宋体" w:cs="Times New Roman"/>
          <w:bCs/>
          <w:color w:val="auto"/>
          <w:highlight w:val="none"/>
        </w:rPr>
        <w:t>根</w:t>
      </w:r>
      <w:r>
        <w:rPr>
          <w:rFonts w:hint="default" w:ascii="Times New Roman" w:hAnsi="Times New Roman" w:eastAsia="宋体" w:cs="Times New Roman"/>
          <w:bCs w:val="0"/>
          <w:color w:val="auto"/>
          <w:kern w:val="2"/>
          <w:highlight w:val="none"/>
        </w:rPr>
        <w:t>据《伊宁县十四个五年规划和2035年远景目标纲要》中长期规划，伊宁县农业农村局结合伊宁县农业发展实际需要，2023年中共伊宁县委员会农村工作领导小组暨乡村振兴领导小组办公室制定《关于印发伊宁县乡村振兴高质量发展“六个专项行动”三年工作方案的通知》（伊县党农〔2023〕5号）</w:t>
      </w:r>
      <w:r>
        <w:rPr>
          <w:rFonts w:hint="default" w:ascii="Times New Roman" w:hAnsi="Times New Roman" w:eastAsia="宋体" w:cs="Times New Roman"/>
          <w:bCs w:val="0"/>
          <w:color w:val="auto"/>
          <w:kern w:val="2"/>
          <w:highlight w:val="none"/>
          <w:lang w:eastAsia="zh-CN"/>
        </w:rPr>
        <w:t>，</w:t>
      </w:r>
      <w:r>
        <w:rPr>
          <w:rFonts w:hint="default" w:ascii="Times New Roman" w:hAnsi="Times New Roman" w:eastAsia="宋体" w:cs="Times New Roman"/>
          <w:bCs w:val="0"/>
          <w:color w:val="auto"/>
          <w:kern w:val="2"/>
          <w:highlight w:val="none"/>
        </w:rPr>
        <w:t>对伊宁县现代种业发展目标、强化粮食科技支撑、加强粮食防灾减损工作等方面</w:t>
      </w:r>
      <w:r>
        <w:rPr>
          <w:rFonts w:hint="default" w:ascii="Times New Roman" w:hAnsi="Times New Roman" w:eastAsia="宋体" w:cs="Times New Roman"/>
          <w:bCs w:val="0"/>
          <w:color w:val="auto"/>
          <w:kern w:val="2"/>
          <w:highlight w:val="none"/>
          <w:lang w:eastAsia="zh-CN"/>
        </w:rPr>
        <w:t>任务</w:t>
      </w:r>
      <w:r>
        <w:rPr>
          <w:rFonts w:hint="default" w:ascii="Times New Roman" w:hAnsi="Times New Roman" w:eastAsia="宋体" w:cs="Times New Roman"/>
          <w:bCs w:val="0"/>
          <w:color w:val="auto"/>
          <w:kern w:val="2"/>
          <w:highlight w:val="none"/>
        </w:rPr>
        <w:t>落实到了部门中长期规划中。</w:t>
      </w:r>
    </w:p>
    <w:p w14:paraId="0540F07D">
      <w:pPr>
        <w:adjustRightInd/>
        <w:ind w:firstLine="640"/>
        <w:rPr>
          <w:rFonts w:hint="default" w:ascii="Times New Roman" w:hAnsi="Times New Roman" w:eastAsia="宋体" w:cs="Times New Roman"/>
          <w:bCs w:val="0"/>
          <w:color w:val="auto"/>
          <w:kern w:val="2"/>
          <w:highlight w:val="none"/>
        </w:rPr>
      </w:pPr>
      <w:r>
        <w:rPr>
          <w:rFonts w:hint="default" w:ascii="Times New Roman" w:hAnsi="Times New Roman" w:eastAsia="宋体" w:cs="Times New Roman"/>
          <w:bCs w:val="0"/>
          <w:color w:val="auto"/>
          <w:kern w:val="2"/>
          <w:highlight w:val="none"/>
        </w:rPr>
        <w:t>该指标满分为</w:t>
      </w:r>
      <w:r>
        <w:rPr>
          <w:rFonts w:hint="default" w:ascii="Times New Roman" w:hAnsi="Times New Roman" w:eastAsia="宋体" w:cs="Times New Roman"/>
          <w:bCs w:val="0"/>
          <w:color w:val="auto"/>
          <w:kern w:val="2"/>
          <w:highlight w:val="none"/>
          <w:lang w:val="en-US" w:eastAsia="zh-CN"/>
        </w:rPr>
        <w:t>2.00</w:t>
      </w:r>
      <w:r>
        <w:rPr>
          <w:rFonts w:hint="default" w:ascii="Times New Roman" w:hAnsi="Times New Roman" w:eastAsia="宋体" w:cs="Times New Roman"/>
          <w:bCs w:val="0"/>
          <w:color w:val="auto"/>
          <w:kern w:val="2"/>
          <w:highlight w:val="none"/>
        </w:rPr>
        <w:t>分，根据评分标准得</w:t>
      </w:r>
      <w:r>
        <w:rPr>
          <w:rFonts w:hint="default" w:ascii="Times New Roman" w:hAnsi="Times New Roman" w:eastAsia="宋体" w:cs="Times New Roman"/>
          <w:bCs w:val="0"/>
          <w:color w:val="auto"/>
          <w:kern w:val="2"/>
          <w:highlight w:val="none"/>
          <w:lang w:val="en-US" w:eastAsia="zh-CN"/>
        </w:rPr>
        <w:t>2.00</w:t>
      </w:r>
      <w:r>
        <w:rPr>
          <w:rFonts w:hint="default" w:ascii="Times New Roman" w:hAnsi="Times New Roman" w:eastAsia="宋体" w:cs="Times New Roman"/>
          <w:bCs w:val="0"/>
          <w:color w:val="auto"/>
          <w:kern w:val="2"/>
          <w:highlight w:val="none"/>
        </w:rPr>
        <w:t>分。</w:t>
      </w:r>
    </w:p>
    <w:p w14:paraId="5042EF23">
      <w:pPr>
        <w:ind w:firstLine="640"/>
        <w:rPr>
          <w:rFonts w:hint="default" w:ascii="Times New Roman" w:hAnsi="Times New Roman" w:eastAsia="宋体" w:cs="Times New Roman"/>
          <w:b/>
          <w:color w:val="auto"/>
          <w:highlight w:val="none"/>
        </w:rPr>
      </w:pPr>
      <w:r>
        <w:rPr>
          <w:rFonts w:hint="default" w:ascii="Times New Roman" w:hAnsi="Times New Roman" w:eastAsia="宋体" w:cs="Times New Roman"/>
          <w:b/>
          <w:color w:val="auto"/>
          <w:highlight w:val="none"/>
        </w:rPr>
        <w:t>（</w:t>
      </w:r>
      <w:r>
        <w:rPr>
          <w:rFonts w:hint="eastAsia" w:ascii="Times New Roman" w:hAnsi="Times New Roman" w:eastAsia="宋体" w:cs="Times New Roman"/>
          <w:b/>
          <w:color w:val="auto"/>
          <w:highlight w:val="none"/>
          <w:lang w:val="en-US" w:eastAsia="zh-CN"/>
        </w:rPr>
        <w:t>2</w:t>
      </w:r>
      <w:r>
        <w:rPr>
          <w:rFonts w:hint="default" w:ascii="Times New Roman" w:hAnsi="Times New Roman" w:eastAsia="宋体" w:cs="Times New Roman"/>
          <w:b/>
          <w:color w:val="auto"/>
          <w:highlight w:val="none"/>
        </w:rPr>
        <w:t>）</w:t>
      </w:r>
      <w:r>
        <w:rPr>
          <w:rFonts w:hint="eastAsia" w:ascii="Times New Roman" w:hAnsi="Times New Roman" w:eastAsia="宋体" w:cs="Times New Roman"/>
          <w:b/>
          <w:color w:val="auto"/>
          <w:highlight w:val="none"/>
          <w:lang w:val="en-US" w:eastAsia="zh-CN"/>
        </w:rPr>
        <w:t>A12年度工作计划科学完整性</w:t>
      </w:r>
      <w:r>
        <w:rPr>
          <w:rFonts w:hint="default" w:ascii="Times New Roman" w:hAnsi="Times New Roman" w:eastAsia="宋体" w:cs="Times New Roman"/>
          <w:b/>
          <w:color w:val="auto"/>
          <w:highlight w:val="none"/>
        </w:rPr>
        <w:t>指标：</w:t>
      </w:r>
    </w:p>
    <w:p w14:paraId="74F2FE26">
      <w:pPr>
        <w:adjustRightInd/>
        <w:ind w:firstLine="640"/>
        <w:rPr>
          <w:rFonts w:hint="default" w:ascii="Times New Roman" w:hAnsi="Times New Roman" w:eastAsia="宋体" w:cs="Times New Roman"/>
          <w:bCs w:val="0"/>
          <w:color w:val="auto"/>
          <w:kern w:val="2"/>
          <w:highlight w:val="none"/>
        </w:rPr>
      </w:pPr>
      <w:r>
        <w:rPr>
          <w:rFonts w:hint="eastAsia" w:ascii="Times New Roman" w:hAnsi="Times New Roman" w:eastAsia="宋体" w:cs="Times New Roman"/>
          <w:bCs/>
          <w:color w:val="auto"/>
          <w:highlight w:val="none"/>
        </w:rPr>
        <w:t>根</w:t>
      </w:r>
      <w:r>
        <w:rPr>
          <w:rFonts w:hint="default" w:ascii="Times New Roman" w:hAnsi="Times New Roman" w:eastAsia="宋体" w:cs="Times New Roman"/>
          <w:bCs w:val="0"/>
          <w:color w:val="auto"/>
          <w:kern w:val="2"/>
          <w:highlight w:val="none"/>
        </w:rPr>
        <w:t>据《伊宁县农业技术推广中心2023年工作总结</w:t>
      </w:r>
      <w:r>
        <w:rPr>
          <w:rFonts w:hint="default" w:ascii="Times New Roman" w:hAnsi="Times New Roman" w:eastAsia="宋体" w:cs="Times New Roman"/>
          <w:bCs w:val="0"/>
          <w:color w:val="auto"/>
          <w:kern w:val="2"/>
          <w:highlight w:val="none"/>
          <w:lang w:eastAsia="zh-CN"/>
        </w:rPr>
        <w:t>及</w:t>
      </w:r>
      <w:r>
        <w:rPr>
          <w:rFonts w:hint="default" w:ascii="Times New Roman" w:hAnsi="Times New Roman" w:eastAsia="宋体" w:cs="Times New Roman"/>
          <w:bCs w:val="0"/>
          <w:color w:val="auto"/>
          <w:kern w:val="2"/>
          <w:highlight w:val="none"/>
        </w:rPr>
        <w:t>202</w:t>
      </w:r>
      <w:r>
        <w:rPr>
          <w:rFonts w:hint="default" w:ascii="Times New Roman" w:hAnsi="Times New Roman" w:eastAsia="宋体" w:cs="Times New Roman"/>
          <w:bCs w:val="0"/>
          <w:color w:val="auto"/>
          <w:kern w:val="2"/>
          <w:highlight w:val="none"/>
          <w:lang w:val="en-US" w:eastAsia="zh-CN"/>
        </w:rPr>
        <w:t>4</w:t>
      </w:r>
      <w:r>
        <w:rPr>
          <w:rFonts w:hint="default" w:ascii="Times New Roman" w:hAnsi="Times New Roman" w:eastAsia="宋体" w:cs="Times New Roman"/>
          <w:bCs w:val="0"/>
          <w:color w:val="auto"/>
          <w:kern w:val="2"/>
          <w:highlight w:val="none"/>
        </w:rPr>
        <w:t>年工作思路》，伊宁县农业技术推广中心在开展2</w:t>
      </w:r>
      <w:r>
        <w:rPr>
          <w:rFonts w:hint="default" w:ascii="Times New Roman" w:hAnsi="Times New Roman" w:eastAsia="宋体" w:cs="Times New Roman"/>
          <w:bCs w:val="0"/>
          <w:color w:val="auto"/>
          <w:kern w:val="2"/>
          <w:highlight w:val="none"/>
          <w:lang w:val="en-US" w:eastAsia="zh-CN"/>
        </w:rPr>
        <w:t>024</w:t>
      </w:r>
      <w:r>
        <w:rPr>
          <w:rFonts w:hint="default" w:ascii="Times New Roman" w:hAnsi="Times New Roman" w:eastAsia="宋体" w:cs="Times New Roman"/>
          <w:bCs w:val="0"/>
          <w:color w:val="auto"/>
          <w:kern w:val="2"/>
          <w:highlight w:val="none"/>
        </w:rPr>
        <w:t>年计划编制时，总结前一年度的工作任务完成情况，剖析部门存在问题，分析问题存在原因及措施，从部门履职职能及各科室分解任务、职责分工要求等出发，设置20</w:t>
      </w:r>
      <w:r>
        <w:rPr>
          <w:rFonts w:hint="default" w:ascii="Times New Roman" w:hAnsi="Times New Roman" w:eastAsia="宋体" w:cs="Times New Roman"/>
          <w:bCs w:val="0"/>
          <w:color w:val="auto"/>
          <w:kern w:val="2"/>
          <w:highlight w:val="none"/>
          <w:lang w:val="en-US" w:eastAsia="zh-CN"/>
        </w:rPr>
        <w:t>24</w:t>
      </w:r>
      <w:r>
        <w:rPr>
          <w:rFonts w:hint="default" w:ascii="Times New Roman" w:hAnsi="Times New Roman" w:eastAsia="宋体" w:cs="Times New Roman"/>
          <w:bCs w:val="0"/>
          <w:color w:val="auto"/>
          <w:kern w:val="2"/>
          <w:highlight w:val="none"/>
        </w:rPr>
        <w:t>年工作计划，对</w:t>
      </w:r>
      <w:r>
        <w:rPr>
          <w:rFonts w:hint="default" w:ascii="Times New Roman" w:hAnsi="Times New Roman" w:eastAsia="宋体" w:cs="Times New Roman"/>
          <w:bCs w:val="0"/>
          <w:color w:val="auto"/>
          <w:kern w:val="2"/>
          <w:highlight w:val="none"/>
          <w:lang w:val="en-US" w:eastAsia="zh-CN"/>
        </w:rPr>
        <w:t>粮食作物增产增收</w:t>
      </w:r>
      <w:r>
        <w:rPr>
          <w:rFonts w:hint="default" w:ascii="Times New Roman" w:hAnsi="Times New Roman" w:eastAsia="宋体" w:cs="Times New Roman"/>
          <w:bCs w:val="0"/>
          <w:color w:val="auto"/>
          <w:kern w:val="2"/>
          <w:highlight w:val="none"/>
        </w:rPr>
        <w:t>、粮食安全方面技术服务、与科研院校合作，开展试验示范和课题研究</w:t>
      </w:r>
      <w:r>
        <w:rPr>
          <w:rFonts w:hint="default" w:ascii="Times New Roman" w:hAnsi="Times New Roman" w:eastAsia="宋体" w:cs="Times New Roman"/>
          <w:bCs w:val="0"/>
          <w:color w:val="auto"/>
          <w:kern w:val="2"/>
          <w:highlight w:val="none"/>
          <w:lang w:eastAsia="zh-CN"/>
        </w:rPr>
        <w:t>、</w:t>
      </w:r>
      <w:r>
        <w:rPr>
          <w:rFonts w:hint="default" w:ascii="Times New Roman" w:hAnsi="Times New Roman" w:eastAsia="宋体" w:cs="Times New Roman"/>
          <w:bCs w:val="0"/>
          <w:color w:val="auto"/>
          <w:kern w:val="2"/>
          <w:highlight w:val="none"/>
          <w:lang w:val="en-US" w:eastAsia="zh-CN"/>
        </w:rPr>
        <w:t>探索运用农技微视频服务“三农”、打造20万亩粮食高产示范基地 、冬小麦一喷三防及玉米的病虫害防治等</w:t>
      </w:r>
      <w:r>
        <w:rPr>
          <w:rFonts w:hint="default" w:ascii="Times New Roman" w:hAnsi="Times New Roman" w:eastAsia="宋体" w:cs="Times New Roman"/>
          <w:bCs w:val="0"/>
          <w:color w:val="auto"/>
          <w:kern w:val="2"/>
          <w:highlight w:val="none"/>
        </w:rPr>
        <w:t>工作、农业技术培训工作等任务进行量化，经单位党组会上会审议通过，上报</w:t>
      </w:r>
      <w:r>
        <w:rPr>
          <w:rFonts w:hint="default" w:ascii="Times New Roman" w:hAnsi="Times New Roman" w:eastAsia="宋体" w:cs="Times New Roman"/>
          <w:bCs w:val="0"/>
          <w:color w:val="auto"/>
          <w:kern w:val="2"/>
          <w:highlight w:val="none"/>
          <w:lang w:val="en-US" w:eastAsia="zh-CN"/>
        </w:rPr>
        <w:t>伊宁县</w:t>
      </w:r>
      <w:r>
        <w:rPr>
          <w:rFonts w:hint="default" w:ascii="Times New Roman" w:hAnsi="Times New Roman" w:eastAsia="宋体" w:cs="Times New Roman"/>
          <w:bCs w:val="0"/>
          <w:color w:val="auto"/>
          <w:kern w:val="2"/>
          <w:highlight w:val="none"/>
        </w:rPr>
        <w:t>农业农村局。202</w:t>
      </w:r>
      <w:r>
        <w:rPr>
          <w:rFonts w:hint="default" w:ascii="Times New Roman" w:hAnsi="Times New Roman" w:eastAsia="宋体" w:cs="Times New Roman"/>
          <w:bCs w:val="0"/>
          <w:color w:val="auto"/>
          <w:kern w:val="2"/>
          <w:highlight w:val="none"/>
          <w:lang w:val="en-US" w:eastAsia="zh-CN"/>
        </w:rPr>
        <w:t>4</w:t>
      </w:r>
      <w:r>
        <w:rPr>
          <w:rFonts w:hint="default" w:ascii="Times New Roman" w:hAnsi="Times New Roman" w:eastAsia="宋体" w:cs="Times New Roman"/>
          <w:bCs w:val="0"/>
          <w:color w:val="auto"/>
          <w:kern w:val="2"/>
          <w:highlight w:val="none"/>
        </w:rPr>
        <w:t>年</w:t>
      </w:r>
      <w:r>
        <w:rPr>
          <w:rFonts w:hint="eastAsia" w:ascii="Times New Roman" w:hAnsi="Times New Roman" w:eastAsia="宋体" w:cs="Times New Roman"/>
          <w:bCs w:val="0"/>
          <w:color w:val="auto"/>
          <w:kern w:val="2"/>
          <w:highlight w:val="none"/>
          <w:lang w:val="en-US" w:eastAsia="zh-CN"/>
        </w:rPr>
        <w:t>伊宁县</w:t>
      </w:r>
      <w:r>
        <w:rPr>
          <w:rFonts w:hint="default" w:ascii="Times New Roman" w:hAnsi="Times New Roman" w:eastAsia="宋体" w:cs="Times New Roman"/>
          <w:bCs w:val="0"/>
          <w:color w:val="auto"/>
          <w:kern w:val="2"/>
          <w:highlight w:val="none"/>
        </w:rPr>
        <w:t>农业技术推广中心年度工作计划包含明确的总体目标、计划实施内容、责任主体相关内容。</w:t>
      </w:r>
    </w:p>
    <w:p w14:paraId="1D05E75D">
      <w:pPr>
        <w:adjustRightInd/>
        <w:ind w:firstLine="640"/>
        <w:rPr>
          <w:rFonts w:hint="default" w:ascii="Times New Roman" w:hAnsi="Times New Roman" w:eastAsia="宋体" w:cs="Times New Roman"/>
          <w:bCs w:val="0"/>
          <w:color w:val="auto"/>
          <w:kern w:val="2"/>
          <w:highlight w:val="none"/>
        </w:rPr>
      </w:pPr>
      <w:r>
        <w:rPr>
          <w:rFonts w:hint="default" w:ascii="Times New Roman" w:hAnsi="Times New Roman" w:eastAsia="宋体" w:cs="Times New Roman"/>
          <w:bCs w:val="0"/>
          <w:color w:val="auto"/>
          <w:kern w:val="2"/>
          <w:highlight w:val="none"/>
        </w:rPr>
        <w:t>该指标满分为</w:t>
      </w:r>
      <w:r>
        <w:rPr>
          <w:rFonts w:hint="default" w:ascii="Times New Roman" w:hAnsi="Times New Roman" w:eastAsia="宋体" w:cs="Times New Roman"/>
          <w:bCs w:val="0"/>
          <w:color w:val="auto"/>
          <w:kern w:val="2"/>
          <w:highlight w:val="none"/>
          <w:lang w:val="en-US" w:eastAsia="zh-CN"/>
        </w:rPr>
        <w:t>4.00</w:t>
      </w:r>
      <w:r>
        <w:rPr>
          <w:rFonts w:hint="default" w:ascii="Times New Roman" w:hAnsi="Times New Roman" w:eastAsia="宋体" w:cs="Times New Roman"/>
          <w:bCs w:val="0"/>
          <w:color w:val="auto"/>
          <w:kern w:val="2"/>
          <w:highlight w:val="none"/>
        </w:rPr>
        <w:t>分，根据评分标准得</w:t>
      </w:r>
      <w:r>
        <w:rPr>
          <w:rFonts w:hint="default" w:ascii="Times New Roman" w:hAnsi="Times New Roman" w:eastAsia="宋体" w:cs="Times New Roman"/>
          <w:bCs w:val="0"/>
          <w:color w:val="auto"/>
          <w:kern w:val="2"/>
          <w:highlight w:val="none"/>
          <w:lang w:val="en-US" w:eastAsia="zh-CN"/>
        </w:rPr>
        <w:t>4.00</w:t>
      </w:r>
      <w:r>
        <w:rPr>
          <w:rFonts w:hint="default" w:ascii="Times New Roman" w:hAnsi="Times New Roman" w:eastAsia="宋体" w:cs="Times New Roman"/>
          <w:bCs w:val="0"/>
          <w:color w:val="auto"/>
          <w:kern w:val="2"/>
          <w:highlight w:val="none"/>
        </w:rPr>
        <w:t>分。</w:t>
      </w:r>
    </w:p>
    <w:p w14:paraId="640EC953">
      <w:pPr>
        <w:ind w:firstLine="640"/>
        <w:rPr>
          <w:rFonts w:hint="default" w:ascii="Times New Roman" w:hAnsi="Times New Roman" w:eastAsia="宋体" w:cs="Times New Roman"/>
          <w:b/>
          <w:color w:val="auto"/>
          <w:highlight w:val="none"/>
        </w:rPr>
      </w:pPr>
      <w:r>
        <w:rPr>
          <w:rFonts w:hint="default" w:ascii="Times New Roman" w:hAnsi="Times New Roman" w:eastAsia="宋体" w:cs="Times New Roman"/>
          <w:b/>
          <w:color w:val="auto"/>
          <w:highlight w:val="none"/>
        </w:rPr>
        <w:t>（</w:t>
      </w:r>
      <w:r>
        <w:rPr>
          <w:rFonts w:hint="eastAsia" w:ascii="Times New Roman" w:hAnsi="Times New Roman" w:eastAsia="宋体" w:cs="Times New Roman"/>
          <w:b/>
          <w:color w:val="auto"/>
          <w:highlight w:val="none"/>
          <w:lang w:val="en-US" w:eastAsia="zh-CN"/>
        </w:rPr>
        <w:t>3</w:t>
      </w:r>
      <w:r>
        <w:rPr>
          <w:rFonts w:hint="default" w:ascii="Times New Roman" w:hAnsi="Times New Roman" w:eastAsia="宋体" w:cs="Times New Roman"/>
          <w:b/>
          <w:color w:val="auto"/>
          <w:highlight w:val="none"/>
        </w:rPr>
        <w:t>）</w:t>
      </w:r>
      <w:r>
        <w:rPr>
          <w:rFonts w:hint="eastAsia" w:ascii="Times New Roman" w:hAnsi="Times New Roman" w:eastAsia="宋体" w:cs="Times New Roman"/>
          <w:b/>
          <w:color w:val="auto"/>
          <w:highlight w:val="none"/>
          <w:lang w:val="en-US" w:eastAsia="zh-CN"/>
        </w:rPr>
        <w:t>A21绩效目标明确性</w:t>
      </w:r>
      <w:r>
        <w:rPr>
          <w:rFonts w:hint="default" w:ascii="Times New Roman" w:hAnsi="Times New Roman" w:eastAsia="宋体" w:cs="Times New Roman"/>
          <w:b/>
          <w:color w:val="auto"/>
          <w:highlight w:val="none"/>
        </w:rPr>
        <w:t>指标：</w:t>
      </w:r>
    </w:p>
    <w:p w14:paraId="1078E8B2">
      <w:pPr>
        <w:adjustRightInd/>
        <w:ind w:firstLine="640"/>
        <w:rPr>
          <w:rFonts w:hint="default" w:ascii="Times New Roman" w:hAnsi="Times New Roman" w:eastAsia="宋体" w:cs="Times New Roman"/>
          <w:bCs w:val="0"/>
          <w:color w:val="auto"/>
          <w:kern w:val="2"/>
          <w:highlight w:val="none"/>
        </w:rPr>
      </w:pPr>
      <w:r>
        <w:rPr>
          <w:rFonts w:hint="eastAsia" w:ascii="Times New Roman" w:hAnsi="Times New Roman" w:eastAsia="宋体" w:cs="Times New Roman"/>
          <w:bCs/>
          <w:color w:val="auto"/>
          <w:highlight w:val="none"/>
        </w:rPr>
        <w:t>根据伊宁县农技推广中心提供的《部门（单位）整体支出绩效目标表》，已设置年度整体目标：“为深入贯彻落实党的二十大</w:t>
      </w:r>
      <w:r>
        <w:rPr>
          <w:rFonts w:hint="eastAsia" w:ascii="Times New Roman" w:hAnsi="Times New Roman" w:eastAsia="宋体" w:cs="Times New Roman"/>
          <w:bCs/>
          <w:color w:val="auto"/>
          <w:highlight w:val="none"/>
          <w:lang w:eastAsia="zh-CN"/>
        </w:rPr>
        <w:t>‘</w:t>
      </w:r>
      <w:r>
        <w:rPr>
          <w:rFonts w:hint="eastAsia" w:ascii="Times New Roman" w:hAnsi="Times New Roman" w:eastAsia="宋体" w:cs="Times New Roman"/>
          <w:bCs/>
          <w:color w:val="auto"/>
          <w:highlight w:val="none"/>
        </w:rPr>
        <w:t>农业绿色发展</w:t>
      </w:r>
      <w:r>
        <w:rPr>
          <w:rFonts w:hint="eastAsia" w:ascii="Times New Roman" w:hAnsi="Times New Roman" w:eastAsia="宋体" w:cs="Times New Roman"/>
          <w:bCs/>
          <w:color w:val="auto"/>
          <w:highlight w:val="none"/>
          <w:lang w:eastAsia="zh-CN"/>
        </w:rPr>
        <w:t>’</w:t>
      </w:r>
      <w:r>
        <w:rPr>
          <w:rFonts w:hint="eastAsia" w:ascii="Times New Roman" w:hAnsi="Times New Roman" w:eastAsia="宋体" w:cs="Times New Roman"/>
          <w:bCs/>
          <w:color w:val="auto"/>
          <w:highlight w:val="none"/>
        </w:rPr>
        <w:t>的精神，紧紧围绕质量兴农、绿色兴农、品牌兴农战略，推进农业供给侧结构性改革，立足伊宁县生态和资源优势，充分利用伊宁县生态和资源优势，发展绿色、高质、高效农业</w:t>
      </w:r>
      <w:r>
        <w:rPr>
          <w:rFonts w:hint="eastAsia" w:ascii="Times New Roman" w:hAnsi="Times New Roman" w:eastAsia="宋体" w:cs="Times New Roman"/>
          <w:bCs/>
          <w:color w:val="auto"/>
          <w:highlight w:val="none"/>
          <w:lang w:eastAsia="zh-CN"/>
        </w:rPr>
        <w:t>；</w:t>
      </w:r>
      <w:r>
        <w:rPr>
          <w:rFonts w:hint="eastAsia" w:ascii="Times New Roman" w:hAnsi="Times New Roman" w:eastAsia="宋体" w:cs="Times New Roman"/>
          <w:bCs/>
          <w:color w:val="auto"/>
          <w:highlight w:val="none"/>
        </w:rPr>
        <w:t>组织农业技术人员深入田间地头开展技术指导培训，提升农民科学种植技术；推进化肥农药零增长行动，实现农业投入品减量化，以促进全县农业稳定发展和农民持续增收为目标，促进粮食生产转方式、提质量、增效益，实现伊宁</w:t>
      </w:r>
      <w:r>
        <w:rPr>
          <w:rFonts w:hint="default" w:ascii="Times New Roman" w:hAnsi="Times New Roman" w:eastAsia="宋体" w:cs="Times New Roman"/>
          <w:bCs w:val="0"/>
          <w:color w:val="auto"/>
          <w:kern w:val="2"/>
          <w:highlight w:val="none"/>
        </w:rPr>
        <w:t>县农业生产绿色健康可持续发展”。绩效目标与部门中长期规划、部门年度工作计划具有相关性，符合全县农业技术服务指导工作相关要求，与伊宁县年度重点任务相匹配，符合正常的业绩水平。</w:t>
      </w:r>
    </w:p>
    <w:p w14:paraId="080AF7BA">
      <w:pPr>
        <w:adjustRightInd/>
        <w:ind w:firstLine="640"/>
        <w:rPr>
          <w:rFonts w:hint="default" w:ascii="Times New Roman" w:hAnsi="Times New Roman" w:eastAsia="宋体" w:cs="Times New Roman"/>
          <w:bCs w:val="0"/>
          <w:color w:val="auto"/>
          <w:kern w:val="2"/>
          <w:highlight w:val="none"/>
        </w:rPr>
      </w:pPr>
      <w:r>
        <w:rPr>
          <w:rFonts w:hint="default" w:ascii="Times New Roman" w:hAnsi="Times New Roman" w:eastAsia="宋体" w:cs="Times New Roman"/>
          <w:bCs w:val="0"/>
          <w:color w:val="auto"/>
          <w:kern w:val="2"/>
          <w:highlight w:val="none"/>
        </w:rPr>
        <w:t>该指标满分为</w:t>
      </w:r>
      <w:r>
        <w:rPr>
          <w:rFonts w:hint="default" w:ascii="Times New Roman" w:hAnsi="Times New Roman" w:eastAsia="宋体" w:cs="Times New Roman"/>
          <w:bCs w:val="0"/>
          <w:color w:val="auto"/>
          <w:kern w:val="2"/>
          <w:highlight w:val="none"/>
          <w:lang w:val="en-US" w:eastAsia="zh-CN"/>
        </w:rPr>
        <w:t>2.00</w:t>
      </w:r>
      <w:r>
        <w:rPr>
          <w:rFonts w:hint="default" w:ascii="Times New Roman" w:hAnsi="Times New Roman" w:eastAsia="宋体" w:cs="Times New Roman"/>
          <w:bCs w:val="0"/>
          <w:color w:val="auto"/>
          <w:kern w:val="2"/>
          <w:highlight w:val="none"/>
        </w:rPr>
        <w:t>分，根据评分标准得</w:t>
      </w:r>
      <w:r>
        <w:rPr>
          <w:rFonts w:hint="default" w:ascii="Times New Roman" w:hAnsi="Times New Roman" w:eastAsia="宋体" w:cs="Times New Roman"/>
          <w:bCs w:val="0"/>
          <w:color w:val="auto"/>
          <w:kern w:val="2"/>
          <w:highlight w:val="none"/>
          <w:lang w:val="en-US" w:eastAsia="zh-CN"/>
        </w:rPr>
        <w:t>2.00</w:t>
      </w:r>
      <w:r>
        <w:rPr>
          <w:rFonts w:hint="default" w:ascii="Times New Roman" w:hAnsi="Times New Roman" w:eastAsia="宋体" w:cs="Times New Roman"/>
          <w:bCs w:val="0"/>
          <w:color w:val="auto"/>
          <w:kern w:val="2"/>
          <w:highlight w:val="none"/>
        </w:rPr>
        <w:t>分。</w:t>
      </w:r>
    </w:p>
    <w:p w14:paraId="4DEDAAA3">
      <w:pPr>
        <w:ind w:firstLine="640"/>
        <w:rPr>
          <w:rFonts w:hint="default" w:ascii="Times New Roman" w:hAnsi="Times New Roman" w:eastAsia="宋体" w:cs="Times New Roman"/>
          <w:b/>
          <w:color w:val="auto"/>
          <w:highlight w:val="none"/>
        </w:rPr>
      </w:pPr>
      <w:r>
        <w:rPr>
          <w:rFonts w:hint="default" w:ascii="Times New Roman" w:hAnsi="Times New Roman" w:eastAsia="宋体" w:cs="Times New Roman"/>
          <w:b/>
          <w:color w:val="auto"/>
          <w:highlight w:val="none"/>
        </w:rPr>
        <w:t>（</w:t>
      </w:r>
      <w:r>
        <w:rPr>
          <w:rFonts w:hint="eastAsia" w:ascii="Times New Roman" w:hAnsi="Times New Roman" w:eastAsia="宋体" w:cs="Times New Roman"/>
          <w:b/>
          <w:color w:val="auto"/>
          <w:highlight w:val="none"/>
          <w:lang w:val="en-US" w:eastAsia="zh-CN"/>
        </w:rPr>
        <w:t>4</w:t>
      </w:r>
      <w:r>
        <w:rPr>
          <w:rFonts w:hint="default" w:ascii="Times New Roman" w:hAnsi="Times New Roman" w:eastAsia="宋体" w:cs="Times New Roman"/>
          <w:b/>
          <w:color w:val="auto"/>
          <w:highlight w:val="none"/>
        </w:rPr>
        <w:t>）</w:t>
      </w:r>
      <w:r>
        <w:rPr>
          <w:rFonts w:hint="eastAsia" w:ascii="Times New Roman" w:hAnsi="Times New Roman" w:eastAsia="宋体" w:cs="Times New Roman"/>
          <w:b/>
          <w:color w:val="auto"/>
          <w:highlight w:val="none"/>
          <w:lang w:val="en-US" w:eastAsia="zh-CN"/>
        </w:rPr>
        <w:t>A22绩效目标合理性</w:t>
      </w:r>
      <w:r>
        <w:rPr>
          <w:rFonts w:hint="default" w:ascii="Times New Roman" w:hAnsi="Times New Roman" w:eastAsia="宋体" w:cs="Times New Roman"/>
          <w:b/>
          <w:color w:val="auto"/>
          <w:highlight w:val="none"/>
        </w:rPr>
        <w:t>指标：</w:t>
      </w:r>
    </w:p>
    <w:p w14:paraId="1AB4D4FE">
      <w:pPr>
        <w:adjustRightInd/>
        <w:ind w:firstLine="640"/>
        <w:rPr>
          <w:rFonts w:hint="default" w:ascii="Times New Roman" w:hAnsi="Times New Roman" w:eastAsia="宋体" w:cs="Times New Roman"/>
          <w:bCs w:val="0"/>
          <w:color w:val="auto"/>
          <w:kern w:val="2"/>
          <w:highlight w:val="none"/>
        </w:rPr>
      </w:pPr>
      <w:r>
        <w:rPr>
          <w:rFonts w:hint="default" w:ascii="Times New Roman" w:hAnsi="Times New Roman" w:eastAsia="宋体" w:cs="Times New Roman"/>
          <w:bCs w:val="0"/>
          <w:color w:val="auto"/>
          <w:kern w:val="2"/>
          <w:highlight w:val="none"/>
        </w:rPr>
        <w:t>根据伊宁县农业技术推广中心提供的《部门（单位）整体绩效目标申报表》，已设置1个一级指标，1个二级指标，6个三级指标，从中心整体出发，围绕部门单位履职的核心任务，设置本部门单位年度目标。设置数量指标包括：开展技术指导培训次数、推广测土配方施肥土样采集数量、开展病虫害预测预报期数、开展病虫害调查数量、推广病虫害绿色防控技术面积、群众参加农业技术培训数量。按照文件要求，伊宁县农业技术推广中心已将部门整体支出绩效目标细化分解为具体的绩效指标，且所设置指标均为定量指标，与伊宁县农业技术推广中心2024年绩效指标考核细则相对应。</w:t>
      </w:r>
    </w:p>
    <w:p w14:paraId="41BC5A4F">
      <w:pPr>
        <w:adjustRightInd/>
        <w:ind w:firstLine="640"/>
        <w:rPr>
          <w:rFonts w:hint="default" w:ascii="Times New Roman" w:hAnsi="Times New Roman" w:eastAsia="宋体" w:cs="Times New Roman"/>
          <w:bCs w:val="0"/>
          <w:color w:val="auto"/>
          <w:kern w:val="2"/>
          <w:highlight w:val="none"/>
        </w:rPr>
      </w:pPr>
      <w:r>
        <w:rPr>
          <w:rFonts w:hint="default" w:ascii="Times New Roman" w:hAnsi="Times New Roman" w:eastAsia="宋体" w:cs="Times New Roman"/>
          <w:bCs w:val="0"/>
          <w:color w:val="auto"/>
          <w:kern w:val="2"/>
          <w:highlight w:val="none"/>
        </w:rPr>
        <w:t>该指标满分为</w:t>
      </w:r>
      <w:r>
        <w:rPr>
          <w:rFonts w:hint="default" w:ascii="Times New Roman" w:hAnsi="Times New Roman" w:eastAsia="宋体" w:cs="Times New Roman"/>
          <w:bCs w:val="0"/>
          <w:color w:val="auto"/>
          <w:kern w:val="2"/>
          <w:highlight w:val="none"/>
          <w:lang w:val="en-US" w:eastAsia="zh-CN"/>
        </w:rPr>
        <w:t>2.00</w:t>
      </w:r>
      <w:r>
        <w:rPr>
          <w:rFonts w:hint="default" w:ascii="Times New Roman" w:hAnsi="Times New Roman" w:eastAsia="宋体" w:cs="Times New Roman"/>
          <w:bCs w:val="0"/>
          <w:color w:val="auto"/>
          <w:kern w:val="2"/>
          <w:highlight w:val="none"/>
        </w:rPr>
        <w:t>分，根据评分标准得</w:t>
      </w:r>
      <w:r>
        <w:rPr>
          <w:rFonts w:hint="default" w:ascii="Times New Roman" w:hAnsi="Times New Roman" w:eastAsia="宋体" w:cs="Times New Roman"/>
          <w:bCs w:val="0"/>
          <w:color w:val="auto"/>
          <w:kern w:val="2"/>
          <w:highlight w:val="none"/>
          <w:lang w:val="en-US" w:eastAsia="zh-CN"/>
        </w:rPr>
        <w:t>2.00</w:t>
      </w:r>
      <w:r>
        <w:rPr>
          <w:rFonts w:hint="default" w:ascii="Times New Roman" w:hAnsi="Times New Roman" w:eastAsia="宋体" w:cs="Times New Roman"/>
          <w:bCs w:val="0"/>
          <w:color w:val="auto"/>
          <w:kern w:val="2"/>
          <w:highlight w:val="none"/>
        </w:rPr>
        <w:t>分。</w:t>
      </w:r>
    </w:p>
    <w:p w14:paraId="67CE093C">
      <w:pPr>
        <w:ind w:firstLine="640"/>
        <w:rPr>
          <w:rFonts w:hint="default" w:ascii="Times New Roman" w:hAnsi="Times New Roman" w:eastAsia="宋体" w:cs="Times New Roman"/>
          <w:b/>
          <w:color w:val="auto"/>
          <w:highlight w:val="none"/>
        </w:rPr>
      </w:pPr>
      <w:r>
        <w:rPr>
          <w:rFonts w:hint="default" w:ascii="Times New Roman" w:hAnsi="Times New Roman" w:eastAsia="宋体" w:cs="Times New Roman"/>
          <w:b/>
          <w:color w:val="auto"/>
          <w:highlight w:val="none"/>
        </w:rPr>
        <w:t>（</w:t>
      </w:r>
      <w:r>
        <w:rPr>
          <w:rFonts w:hint="eastAsia" w:ascii="Times New Roman" w:hAnsi="Times New Roman" w:eastAsia="宋体" w:cs="Times New Roman"/>
          <w:b/>
          <w:color w:val="auto"/>
          <w:highlight w:val="none"/>
          <w:lang w:val="en-US" w:eastAsia="zh-CN"/>
        </w:rPr>
        <w:t>5</w:t>
      </w:r>
      <w:r>
        <w:rPr>
          <w:rFonts w:hint="default" w:ascii="Times New Roman" w:hAnsi="Times New Roman" w:eastAsia="宋体" w:cs="Times New Roman"/>
          <w:b/>
          <w:color w:val="auto"/>
          <w:highlight w:val="none"/>
        </w:rPr>
        <w:t>）</w:t>
      </w:r>
      <w:r>
        <w:rPr>
          <w:rFonts w:hint="eastAsia" w:ascii="Times New Roman" w:hAnsi="Times New Roman" w:eastAsia="宋体" w:cs="Times New Roman"/>
          <w:b/>
          <w:color w:val="auto"/>
          <w:highlight w:val="none"/>
          <w:lang w:val="en-US" w:eastAsia="zh-CN"/>
        </w:rPr>
        <w:t>A31预算编制规范性</w:t>
      </w:r>
      <w:r>
        <w:rPr>
          <w:rFonts w:hint="default" w:ascii="Times New Roman" w:hAnsi="Times New Roman" w:eastAsia="宋体" w:cs="Times New Roman"/>
          <w:b/>
          <w:color w:val="auto"/>
          <w:highlight w:val="none"/>
        </w:rPr>
        <w:t>指标：</w:t>
      </w:r>
    </w:p>
    <w:p w14:paraId="23840B60">
      <w:pPr>
        <w:ind w:firstLine="640"/>
        <w:rPr>
          <w:rFonts w:hint="default" w:ascii="Times New Roman" w:hAnsi="Times New Roman" w:eastAsia="宋体" w:cs="Times New Roman"/>
          <w:bCs w:val="0"/>
          <w:color w:val="auto"/>
          <w:kern w:val="2"/>
          <w:highlight w:val="none"/>
        </w:rPr>
      </w:pPr>
      <w:r>
        <w:rPr>
          <w:rFonts w:hint="eastAsia" w:ascii="Times New Roman" w:hAnsi="Times New Roman" w:eastAsia="宋体" w:cs="Times New Roman"/>
          <w:bCs/>
          <w:color w:val="auto"/>
          <w:highlight w:val="none"/>
        </w:rPr>
        <w:t>伊宁县农</w:t>
      </w:r>
      <w:r>
        <w:rPr>
          <w:rFonts w:hint="default" w:ascii="Times New Roman" w:hAnsi="Times New Roman" w:eastAsia="宋体" w:cs="Times New Roman"/>
          <w:bCs w:val="0"/>
          <w:color w:val="auto"/>
          <w:kern w:val="2"/>
          <w:highlight w:val="none"/>
        </w:rPr>
        <w:t>业技术推广中心按照预算编制要求，对单位2024年的人员经费、公用经费等按照标准及历年预算执行情况进行综合分析并测算，经单位内部中心党委会上会审核后，上报伊宁县财政部门，按照“二上二下”的预算审批流程，最终将部门预算草案报送伊宁县人大审批。2024年2月18日伊宁县财政局下达《伊宁县财政局关于批复2024年度部门预算的通知》（伊县财预〔2024〕3号）</w:t>
      </w:r>
      <w:r>
        <w:rPr>
          <w:rFonts w:hint="default" w:ascii="Times New Roman" w:hAnsi="Times New Roman" w:eastAsia="宋体" w:cs="Times New Roman"/>
          <w:bCs w:val="0"/>
          <w:color w:val="auto"/>
          <w:kern w:val="2"/>
          <w:highlight w:val="none"/>
          <w:lang w:eastAsia="zh-CN"/>
        </w:rPr>
        <w:t>，</w:t>
      </w:r>
      <w:r>
        <w:rPr>
          <w:rFonts w:hint="default" w:ascii="Times New Roman" w:hAnsi="Times New Roman" w:eastAsia="宋体" w:cs="Times New Roman"/>
          <w:bCs w:val="0"/>
          <w:color w:val="auto"/>
          <w:kern w:val="2"/>
          <w:highlight w:val="none"/>
          <w:lang w:val="en-US" w:eastAsia="zh-CN"/>
        </w:rPr>
        <w:t>批复单位</w:t>
      </w:r>
      <w:r>
        <w:rPr>
          <w:rFonts w:hint="default" w:ascii="Times New Roman" w:hAnsi="Times New Roman" w:eastAsia="宋体" w:cs="Times New Roman"/>
          <w:bCs w:val="0"/>
          <w:color w:val="auto"/>
          <w:kern w:val="2"/>
          <w:highlight w:val="none"/>
        </w:rPr>
        <w:t>2024年</w:t>
      </w:r>
      <w:r>
        <w:rPr>
          <w:rFonts w:hint="default" w:ascii="Times New Roman" w:hAnsi="Times New Roman" w:eastAsia="宋体" w:cs="Times New Roman"/>
          <w:bCs w:val="0"/>
          <w:color w:val="auto"/>
          <w:kern w:val="2"/>
          <w:highlight w:val="none"/>
          <w:lang w:val="en-US" w:eastAsia="zh-CN"/>
        </w:rPr>
        <w:t>部门</w:t>
      </w:r>
      <w:r>
        <w:rPr>
          <w:rFonts w:hint="default" w:ascii="Times New Roman" w:hAnsi="Times New Roman" w:eastAsia="宋体" w:cs="Times New Roman"/>
          <w:bCs w:val="0"/>
          <w:color w:val="auto"/>
          <w:kern w:val="2"/>
          <w:highlight w:val="none"/>
        </w:rPr>
        <w:t>预算额度。预算编制合理，预算申报程序准确、审批流程严谨。</w:t>
      </w:r>
    </w:p>
    <w:p w14:paraId="3D4AC0F8">
      <w:pPr>
        <w:ind w:firstLine="640"/>
        <w:rPr>
          <w:rFonts w:hint="eastAsia" w:ascii="Times New Roman" w:hAnsi="Times New Roman" w:eastAsia="宋体" w:cs="Times New Roman"/>
          <w:bCs/>
          <w:color w:val="auto"/>
          <w:highlight w:val="none"/>
        </w:rPr>
      </w:pPr>
      <w:r>
        <w:rPr>
          <w:rFonts w:hint="eastAsia" w:ascii="Times New Roman" w:hAnsi="Times New Roman" w:eastAsia="宋体" w:cs="Times New Roman"/>
          <w:bCs/>
          <w:color w:val="auto"/>
          <w:highlight w:val="none"/>
        </w:rPr>
        <w:t>该指标满分为</w:t>
      </w:r>
      <w:r>
        <w:rPr>
          <w:rFonts w:hint="default" w:ascii="Times New Roman" w:hAnsi="Times New Roman" w:eastAsia="宋体" w:cs="Times New Roman"/>
          <w:bCs w:val="0"/>
          <w:color w:val="auto"/>
          <w:kern w:val="2"/>
          <w:highlight w:val="none"/>
          <w:lang w:val="en-US" w:eastAsia="zh-CN"/>
        </w:rPr>
        <w:t>2.00</w:t>
      </w:r>
      <w:r>
        <w:rPr>
          <w:rFonts w:hint="default" w:ascii="Times New Roman" w:hAnsi="Times New Roman" w:eastAsia="宋体" w:cs="Times New Roman"/>
          <w:bCs w:val="0"/>
          <w:color w:val="auto"/>
          <w:kern w:val="2"/>
          <w:highlight w:val="none"/>
        </w:rPr>
        <w:t>分，根据评分标准得</w:t>
      </w:r>
      <w:r>
        <w:rPr>
          <w:rFonts w:hint="default" w:ascii="Times New Roman" w:hAnsi="Times New Roman" w:eastAsia="宋体" w:cs="Times New Roman"/>
          <w:bCs w:val="0"/>
          <w:color w:val="auto"/>
          <w:kern w:val="2"/>
          <w:highlight w:val="none"/>
          <w:lang w:val="en-US" w:eastAsia="zh-CN"/>
        </w:rPr>
        <w:t>2.00</w:t>
      </w:r>
      <w:r>
        <w:rPr>
          <w:rFonts w:hint="default" w:ascii="Times New Roman" w:hAnsi="Times New Roman" w:eastAsia="宋体" w:cs="Times New Roman"/>
          <w:bCs w:val="0"/>
          <w:color w:val="auto"/>
          <w:kern w:val="2"/>
          <w:highlight w:val="none"/>
        </w:rPr>
        <w:t>分。</w:t>
      </w:r>
    </w:p>
    <w:p w14:paraId="5C0B45DC">
      <w:pPr>
        <w:ind w:firstLine="640"/>
        <w:rPr>
          <w:rFonts w:hint="default" w:ascii="Times New Roman" w:hAnsi="Times New Roman" w:eastAsia="宋体" w:cs="Times New Roman"/>
          <w:b/>
          <w:color w:val="auto"/>
          <w:highlight w:val="none"/>
        </w:rPr>
      </w:pPr>
      <w:r>
        <w:rPr>
          <w:rFonts w:hint="default" w:ascii="Times New Roman" w:hAnsi="Times New Roman" w:eastAsia="宋体" w:cs="Times New Roman"/>
          <w:b/>
          <w:color w:val="auto"/>
          <w:highlight w:val="none"/>
        </w:rPr>
        <w:t>（</w:t>
      </w:r>
      <w:r>
        <w:rPr>
          <w:rFonts w:hint="eastAsia" w:ascii="Times New Roman" w:hAnsi="Times New Roman" w:eastAsia="宋体" w:cs="Times New Roman"/>
          <w:b/>
          <w:color w:val="auto"/>
          <w:highlight w:val="none"/>
          <w:lang w:val="en-US" w:eastAsia="zh-CN"/>
        </w:rPr>
        <w:t>6</w:t>
      </w:r>
      <w:r>
        <w:rPr>
          <w:rFonts w:hint="default" w:ascii="Times New Roman" w:hAnsi="Times New Roman" w:eastAsia="宋体" w:cs="Times New Roman"/>
          <w:b/>
          <w:color w:val="auto"/>
          <w:highlight w:val="none"/>
        </w:rPr>
        <w:t>）</w:t>
      </w:r>
      <w:r>
        <w:rPr>
          <w:rFonts w:hint="eastAsia" w:ascii="Times New Roman" w:hAnsi="Times New Roman" w:eastAsia="宋体" w:cs="Times New Roman"/>
          <w:b/>
          <w:color w:val="auto"/>
          <w:highlight w:val="none"/>
          <w:lang w:val="en-US" w:eastAsia="zh-CN"/>
        </w:rPr>
        <w:t>A32预算编制与重点工作任务的匹配性</w:t>
      </w:r>
      <w:r>
        <w:rPr>
          <w:rFonts w:hint="default" w:ascii="Times New Roman" w:hAnsi="Times New Roman" w:eastAsia="宋体" w:cs="Times New Roman"/>
          <w:b/>
          <w:color w:val="auto"/>
          <w:highlight w:val="none"/>
        </w:rPr>
        <w:t>指标：</w:t>
      </w:r>
    </w:p>
    <w:p w14:paraId="4952A11D">
      <w:pPr>
        <w:ind w:firstLine="640"/>
        <w:rPr>
          <w:rFonts w:hint="default" w:ascii="Times New Roman" w:hAnsi="Times New Roman" w:eastAsia="宋体" w:cs="Times New Roman"/>
          <w:bCs w:val="0"/>
          <w:color w:val="auto"/>
          <w:kern w:val="2"/>
          <w:highlight w:val="none"/>
        </w:rPr>
      </w:pPr>
      <w:r>
        <w:rPr>
          <w:rFonts w:hint="default" w:ascii="Times New Roman" w:hAnsi="Times New Roman" w:eastAsia="宋体" w:cs="Times New Roman"/>
          <w:bCs w:val="0"/>
          <w:color w:val="auto"/>
          <w:kern w:val="2"/>
          <w:highlight w:val="none"/>
        </w:rPr>
        <w:t>2024年伊宁县农业技术推广中心项目支出全年预算数为673.25万元，其中：农业生产发展类项目1个，安排预算资金532.63万元；农村合作经济类项目1个，安排预算资金138.57万元；农业生态资源保护类项目1个，安排预算资金2.05万元。项目预算资金安排有效加强地区检疫性有害生物的调查及防治、化肥减量增效、多形式开展农业技术推广服务等重点工作相匹配，重点工作重点保障遵循轻重缓急、按序保障。</w:t>
      </w:r>
    </w:p>
    <w:p w14:paraId="587F2A77">
      <w:pPr>
        <w:ind w:firstLine="640"/>
        <w:rPr>
          <w:rFonts w:hint="default" w:ascii="Times New Roman" w:hAnsi="Times New Roman" w:eastAsia="宋体" w:cs="Times New Roman"/>
          <w:bCs w:val="0"/>
          <w:color w:val="auto"/>
          <w:kern w:val="2"/>
          <w:highlight w:val="none"/>
        </w:rPr>
      </w:pPr>
      <w:r>
        <w:rPr>
          <w:rFonts w:hint="default" w:ascii="Times New Roman" w:hAnsi="Times New Roman" w:eastAsia="宋体" w:cs="Times New Roman"/>
          <w:bCs w:val="0"/>
          <w:color w:val="auto"/>
          <w:kern w:val="2"/>
          <w:highlight w:val="none"/>
        </w:rPr>
        <w:t>该指标满分为</w:t>
      </w:r>
      <w:r>
        <w:rPr>
          <w:rFonts w:hint="default" w:ascii="Times New Roman" w:hAnsi="Times New Roman" w:eastAsia="宋体" w:cs="Times New Roman"/>
          <w:bCs w:val="0"/>
          <w:color w:val="auto"/>
          <w:kern w:val="2"/>
          <w:highlight w:val="none"/>
          <w:lang w:val="en-US" w:eastAsia="zh-CN"/>
        </w:rPr>
        <w:t>3.00</w:t>
      </w:r>
      <w:r>
        <w:rPr>
          <w:rFonts w:hint="default" w:ascii="Times New Roman" w:hAnsi="Times New Roman" w:eastAsia="宋体" w:cs="Times New Roman"/>
          <w:bCs w:val="0"/>
          <w:color w:val="auto"/>
          <w:kern w:val="2"/>
          <w:highlight w:val="none"/>
        </w:rPr>
        <w:t>分，根据评分标准得</w:t>
      </w:r>
      <w:r>
        <w:rPr>
          <w:rFonts w:hint="default" w:ascii="Times New Roman" w:hAnsi="Times New Roman" w:eastAsia="宋体" w:cs="Times New Roman"/>
          <w:bCs w:val="0"/>
          <w:color w:val="auto"/>
          <w:kern w:val="2"/>
          <w:highlight w:val="none"/>
          <w:lang w:val="en-US" w:eastAsia="zh-CN"/>
        </w:rPr>
        <w:t>3.00</w:t>
      </w:r>
      <w:r>
        <w:rPr>
          <w:rFonts w:hint="default" w:ascii="Times New Roman" w:hAnsi="Times New Roman" w:eastAsia="宋体" w:cs="Times New Roman"/>
          <w:bCs w:val="0"/>
          <w:color w:val="auto"/>
          <w:kern w:val="2"/>
          <w:highlight w:val="none"/>
        </w:rPr>
        <w:t>分。</w:t>
      </w:r>
    </w:p>
    <w:p w14:paraId="00917BFE">
      <w:pPr>
        <w:pStyle w:val="5"/>
        <w:ind w:firstLine="640"/>
        <w:rPr>
          <w:rFonts w:hint="default" w:ascii="Times New Roman" w:hAnsi="Times New Roman" w:eastAsia="宋体" w:cs="Times New Roman"/>
          <w:bCs w:val="0"/>
          <w:color w:val="auto"/>
          <w:highlight w:val="none"/>
        </w:rPr>
      </w:pPr>
      <w:bookmarkStart w:id="62" w:name="_Toc6414"/>
      <w:r>
        <w:rPr>
          <w:rFonts w:hint="default" w:ascii="Times New Roman" w:hAnsi="Times New Roman" w:eastAsia="宋体" w:cs="Times New Roman"/>
          <w:bCs w:val="0"/>
          <w:color w:val="auto"/>
          <w:highlight w:val="none"/>
        </w:rPr>
        <w:t>（二）部门管理情况</w:t>
      </w:r>
      <w:bookmarkEnd w:id="62"/>
    </w:p>
    <w:p w14:paraId="3D04944A">
      <w:pPr>
        <w:ind w:firstLine="640"/>
        <w:rPr>
          <w:rFonts w:hint="eastAsia" w:ascii="Times New Roman" w:hAnsi="Times New Roman" w:eastAsia="宋体" w:cs="Times New Roman"/>
          <w:bCs/>
          <w:color w:val="auto"/>
          <w:highlight w:val="none"/>
        </w:rPr>
      </w:pPr>
      <w:r>
        <w:rPr>
          <w:rFonts w:hint="default" w:ascii="Times New Roman" w:hAnsi="Times New Roman" w:eastAsia="宋体" w:cs="Times New Roman"/>
          <w:bCs w:val="0"/>
          <w:color w:val="auto"/>
          <w:kern w:val="2"/>
          <w:highlight w:val="none"/>
        </w:rPr>
        <w:t>部门管理类指标由</w:t>
      </w:r>
      <w:r>
        <w:rPr>
          <w:rFonts w:hint="default" w:ascii="Times New Roman" w:hAnsi="Times New Roman" w:eastAsia="宋体" w:cs="Times New Roman"/>
          <w:bCs w:val="0"/>
          <w:color w:val="auto"/>
          <w:kern w:val="2"/>
          <w:highlight w:val="none"/>
          <w:lang w:val="en-US" w:eastAsia="zh-CN"/>
        </w:rPr>
        <w:t>5</w:t>
      </w:r>
      <w:r>
        <w:rPr>
          <w:rFonts w:hint="default" w:ascii="Times New Roman" w:hAnsi="Times New Roman" w:eastAsia="宋体" w:cs="Times New Roman"/>
          <w:bCs w:val="0"/>
          <w:color w:val="auto"/>
          <w:kern w:val="2"/>
          <w:highlight w:val="none"/>
        </w:rPr>
        <w:t>个二级指标和</w:t>
      </w:r>
      <w:r>
        <w:rPr>
          <w:rFonts w:hint="default" w:ascii="Times New Roman" w:hAnsi="Times New Roman" w:eastAsia="宋体" w:cs="Times New Roman"/>
          <w:bCs w:val="0"/>
          <w:color w:val="auto"/>
          <w:kern w:val="2"/>
          <w:highlight w:val="none"/>
          <w:lang w:val="en-US" w:eastAsia="zh-CN"/>
        </w:rPr>
        <w:t>9</w:t>
      </w:r>
      <w:r>
        <w:rPr>
          <w:rFonts w:hint="default" w:ascii="Times New Roman" w:hAnsi="Times New Roman" w:eastAsia="宋体" w:cs="Times New Roman"/>
          <w:bCs w:val="0"/>
          <w:color w:val="auto"/>
          <w:kern w:val="2"/>
          <w:highlight w:val="none"/>
        </w:rPr>
        <w:t>个三级指标构成，权重分</w:t>
      </w:r>
      <w:r>
        <w:rPr>
          <w:rFonts w:hint="default" w:ascii="Times New Roman" w:hAnsi="Times New Roman" w:eastAsia="宋体" w:cs="Times New Roman"/>
          <w:bCs w:val="0"/>
          <w:color w:val="auto"/>
          <w:kern w:val="2"/>
          <w:highlight w:val="none"/>
          <w:lang w:val="en-US" w:eastAsia="zh-CN"/>
        </w:rPr>
        <w:t>25.00</w:t>
      </w:r>
      <w:r>
        <w:rPr>
          <w:rFonts w:hint="default" w:ascii="Times New Roman" w:hAnsi="Times New Roman" w:eastAsia="宋体" w:cs="Times New Roman"/>
          <w:bCs w:val="0"/>
          <w:color w:val="auto"/>
          <w:kern w:val="2"/>
          <w:highlight w:val="none"/>
        </w:rPr>
        <w:t>分，实际得分</w:t>
      </w:r>
      <w:r>
        <w:rPr>
          <w:rFonts w:hint="default" w:ascii="Times New Roman" w:hAnsi="Times New Roman" w:eastAsia="宋体" w:cs="Times New Roman"/>
          <w:bCs w:val="0"/>
          <w:color w:val="auto"/>
          <w:kern w:val="2"/>
          <w:highlight w:val="none"/>
          <w:lang w:val="en-US" w:eastAsia="zh-CN"/>
        </w:rPr>
        <w:t>2</w:t>
      </w:r>
      <w:r>
        <w:rPr>
          <w:rFonts w:hint="eastAsia" w:ascii="Times New Roman" w:hAnsi="Times New Roman" w:eastAsia="宋体" w:cs="Times New Roman"/>
          <w:bCs w:val="0"/>
          <w:color w:val="auto"/>
          <w:kern w:val="2"/>
          <w:highlight w:val="none"/>
          <w:lang w:val="en-US" w:eastAsia="zh-CN"/>
        </w:rPr>
        <w:t>1.0</w:t>
      </w:r>
      <w:r>
        <w:rPr>
          <w:rFonts w:hint="default" w:ascii="Times New Roman" w:hAnsi="Times New Roman" w:eastAsia="宋体" w:cs="Times New Roman"/>
          <w:bCs w:val="0"/>
          <w:color w:val="auto"/>
          <w:kern w:val="2"/>
          <w:highlight w:val="none"/>
          <w:lang w:val="en-US" w:eastAsia="zh-CN"/>
        </w:rPr>
        <w:t>0</w:t>
      </w:r>
      <w:r>
        <w:rPr>
          <w:rFonts w:hint="default" w:ascii="Times New Roman" w:hAnsi="Times New Roman" w:eastAsia="宋体" w:cs="Times New Roman"/>
          <w:bCs w:val="0"/>
          <w:color w:val="auto"/>
          <w:kern w:val="2"/>
          <w:highlight w:val="none"/>
        </w:rPr>
        <w:t>分，</w:t>
      </w:r>
      <w:r>
        <w:rPr>
          <w:rFonts w:hint="default" w:ascii="Times New Roman" w:hAnsi="Times New Roman" w:eastAsia="宋体" w:cs="Times New Roman"/>
          <w:bCs w:val="0"/>
          <w:color w:val="auto"/>
          <w:kern w:val="2"/>
          <w:highlight w:val="none"/>
          <w:lang w:val="zh-TW" w:eastAsia="zh-TW"/>
        </w:rPr>
        <w:t>得分率</w:t>
      </w:r>
      <w:r>
        <w:rPr>
          <w:rFonts w:hint="default" w:ascii="Times New Roman" w:hAnsi="Times New Roman" w:eastAsia="宋体" w:cs="Times New Roman"/>
          <w:bCs w:val="0"/>
          <w:color w:val="auto"/>
          <w:kern w:val="2"/>
          <w:highlight w:val="none"/>
          <w:lang w:val="en-US" w:eastAsia="zh-CN"/>
        </w:rPr>
        <w:t>8</w:t>
      </w:r>
      <w:r>
        <w:rPr>
          <w:rFonts w:hint="eastAsia" w:ascii="Times New Roman" w:hAnsi="Times New Roman" w:eastAsia="宋体" w:cs="Times New Roman"/>
          <w:bCs w:val="0"/>
          <w:color w:val="auto"/>
          <w:kern w:val="2"/>
          <w:highlight w:val="none"/>
          <w:lang w:val="en-US" w:eastAsia="zh-CN"/>
        </w:rPr>
        <w:t>4</w:t>
      </w:r>
      <w:r>
        <w:rPr>
          <w:rFonts w:hint="default" w:ascii="Times New Roman" w:hAnsi="Times New Roman" w:eastAsia="宋体" w:cs="Times New Roman"/>
          <w:bCs w:val="0"/>
          <w:color w:val="auto"/>
          <w:kern w:val="2"/>
          <w:highlight w:val="none"/>
          <w:lang w:val="en-US" w:eastAsia="zh-CN"/>
        </w:rPr>
        <w:t>.00%</w:t>
      </w:r>
      <w:r>
        <w:rPr>
          <w:rFonts w:hint="default" w:ascii="Times New Roman" w:hAnsi="Times New Roman" w:eastAsia="宋体" w:cs="Times New Roman"/>
          <w:bCs w:val="0"/>
          <w:color w:val="auto"/>
          <w:kern w:val="2"/>
          <w:highlight w:val="none"/>
        </w:rPr>
        <w:t>。各指标业绩值和绩效分值如下表所示：</w:t>
      </w:r>
    </w:p>
    <w:p w14:paraId="67900CDA">
      <w:pPr>
        <w:ind w:firstLine="0" w:firstLineChars="0"/>
        <w:jc w:val="center"/>
        <w:rPr>
          <w:rFonts w:hint="default" w:ascii="Times New Roman" w:hAnsi="Times New Roman" w:eastAsia="宋体" w:cs="Times New Roman"/>
          <w:b/>
          <w:color w:val="auto"/>
          <w:spacing w:val="6"/>
          <w:sz w:val="21"/>
          <w:szCs w:val="21"/>
          <w:highlight w:val="none"/>
        </w:rPr>
      </w:pPr>
      <w:r>
        <w:rPr>
          <w:rFonts w:hint="default" w:ascii="Times New Roman" w:hAnsi="Times New Roman" w:eastAsia="宋体" w:cs="Times New Roman"/>
          <w:b/>
          <w:color w:val="auto"/>
          <w:spacing w:val="6"/>
          <w:sz w:val="21"/>
          <w:szCs w:val="21"/>
          <w:highlight w:val="none"/>
        </w:rPr>
        <w:t>表4-2：部门管理类指标及分值</w:t>
      </w:r>
    </w:p>
    <w:tbl>
      <w:tblPr>
        <w:tblStyle w:val="21"/>
        <w:tblW w:w="4996"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7" w:type="dxa"/>
          <w:bottom w:w="0" w:type="dxa"/>
          <w:right w:w="57" w:type="dxa"/>
        </w:tblCellMar>
      </w:tblPr>
      <w:tblGrid>
        <w:gridCol w:w="708"/>
        <w:gridCol w:w="829"/>
        <w:gridCol w:w="2503"/>
        <w:gridCol w:w="989"/>
        <w:gridCol w:w="1027"/>
        <w:gridCol w:w="773"/>
        <w:gridCol w:w="677"/>
        <w:gridCol w:w="908"/>
      </w:tblGrid>
      <w:tr w14:paraId="4C2BA4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397" w:hRule="atLeast"/>
          <w:tblHeader/>
        </w:trPr>
        <w:tc>
          <w:tcPr>
            <w:tcW w:w="420" w:type="pct"/>
            <w:tcBorders>
              <w:tl2br w:val="nil"/>
              <w:tr2bl w:val="nil"/>
            </w:tcBorders>
            <w:shd w:val="clear" w:color="auto" w:fill="auto"/>
            <w:vAlign w:val="center"/>
          </w:tcPr>
          <w:p w14:paraId="067B2B5D">
            <w:pPr>
              <w:widowControl/>
              <w:spacing w:line="240" w:lineRule="auto"/>
              <w:ind w:firstLine="0" w:firstLineChars="0"/>
              <w:jc w:val="center"/>
              <w:textAlignment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bidi="ar"/>
              </w:rPr>
              <w:t>一级指标</w:t>
            </w:r>
          </w:p>
        </w:tc>
        <w:tc>
          <w:tcPr>
            <w:tcW w:w="492" w:type="pct"/>
            <w:tcBorders>
              <w:tl2br w:val="nil"/>
              <w:tr2bl w:val="nil"/>
            </w:tcBorders>
            <w:shd w:val="clear" w:color="auto" w:fill="auto"/>
            <w:vAlign w:val="center"/>
          </w:tcPr>
          <w:p w14:paraId="477FA217">
            <w:pPr>
              <w:widowControl/>
              <w:spacing w:line="240" w:lineRule="auto"/>
              <w:ind w:firstLine="0" w:firstLineChars="0"/>
              <w:jc w:val="center"/>
              <w:textAlignment w:val="center"/>
              <w:rPr>
                <w:rFonts w:hint="default" w:ascii="Times New Roman" w:hAnsi="Times New Roman" w:eastAsia="宋体" w:cs="Times New Roman"/>
                <w:b/>
                <w:color w:val="auto"/>
                <w:sz w:val="21"/>
                <w:szCs w:val="21"/>
                <w:highlight w:val="none"/>
                <w:lang w:bidi="ar"/>
              </w:rPr>
            </w:pPr>
            <w:r>
              <w:rPr>
                <w:rFonts w:hint="default" w:ascii="Times New Roman" w:hAnsi="Times New Roman" w:eastAsia="宋体" w:cs="Times New Roman"/>
                <w:b/>
                <w:color w:val="auto"/>
                <w:sz w:val="21"/>
                <w:szCs w:val="21"/>
                <w:highlight w:val="none"/>
                <w:lang w:bidi="ar"/>
              </w:rPr>
              <w:t>二级</w:t>
            </w:r>
          </w:p>
          <w:p w14:paraId="1E79FA41">
            <w:pPr>
              <w:widowControl/>
              <w:spacing w:line="240" w:lineRule="auto"/>
              <w:ind w:firstLine="0" w:firstLineChars="0"/>
              <w:jc w:val="center"/>
              <w:textAlignment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bidi="ar"/>
              </w:rPr>
              <w:t>指标</w:t>
            </w:r>
          </w:p>
        </w:tc>
        <w:tc>
          <w:tcPr>
            <w:tcW w:w="1487" w:type="pct"/>
            <w:tcBorders>
              <w:tl2br w:val="nil"/>
              <w:tr2bl w:val="nil"/>
            </w:tcBorders>
            <w:shd w:val="clear" w:color="auto" w:fill="auto"/>
            <w:vAlign w:val="center"/>
          </w:tcPr>
          <w:p w14:paraId="54873D01">
            <w:pPr>
              <w:widowControl/>
              <w:spacing w:line="240" w:lineRule="auto"/>
              <w:ind w:firstLine="0" w:firstLineChars="0"/>
              <w:jc w:val="center"/>
              <w:textAlignment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bidi="ar"/>
              </w:rPr>
              <w:t>三级指标</w:t>
            </w:r>
          </w:p>
        </w:tc>
        <w:tc>
          <w:tcPr>
            <w:tcW w:w="587" w:type="pct"/>
            <w:tcBorders>
              <w:tl2br w:val="nil"/>
              <w:tr2bl w:val="nil"/>
            </w:tcBorders>
            <w:shd w:val="clear" w:color="auto" w:fill="auto"/>
            <w:vAlign w:val="center"/>
          </w:tcPr>
          <w:p w14:paraId="1BACEF4A">
            <w:pPr>
              <w:widowControl/>
              <w:spacing w:line="240" w:lineRule="auto"/>
              <w:ind w:firstLine="0" w:firstLineChars="0"/>
              <w:jc w:val="center"/>
              <w:textAlignment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bidi="ar"/>
              </w:rPr>
              <w:t>业绩值</w:t>
            </w:r>
          </w:p>
        </w:tc>
        <w:tc>
          <w:tcPr>
            <w:tcW w:w="610" w:type="pct"/>
            <w:tcBorders>
              <w:tl2br w:val="nil"/>
              <w:tr2bl w:val="nil"/>
            </w:tcBorders>
            <w:shd w:val="clear" w:color="auto" w:fill="auto"/>
            <w:vAlign w:val="center"/>
          </w:tcPr>
          <w:p w14:paraId="7DBE1CA5">
            <w:pPr>
              <w:widowControl/>
              <w:spacing w:line="240" w:lineRule="auto"/>
              <w:ind w:firstLine="0" w:firstLineChars="0"/>
              <w:jc w:val="center"/>
              <w:textAlignment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bidi="ar"/>
              </w:rPr>
              <w:t>完成值</w:t>
            </w:r>
          </w:p>
        </w:tc>
        <w:tc>
          <w:tcPr>
            <w:tcW w:w="459" w:type="pct"/>
            <w:tcBorders>
              <w:tl2br w:val="nil"/>
              <w:tr2bl w:val="nil"/>
            </w:tcBorders>
            <w:shd w:val="clear" w:color="auto" w:fill="auto"/>
            <w:vAlign w:val="center"/>
          </w:tcPr>
          <w:p w14:paraId="39FEDFE6">
            <w:pPr>
              <w:widowControl/>
              <w:spacing w:line="240" w:lineRule="auto"/>
              <w:ind w:firstLine="0" w:firstLineChars="0"/>
              <w:jc w:val="center"/>
              <w:textAlignment w:val="center"/>
              <w:rPr>
                <w:rFonts w:hint="eastAsia" w:ascii="Times New Roman" w:hAnsi="Times New Roman" w:eastAsia="宋体" w:cs="Times New Roman"/>
                <w:b/>
                <w:color w:val="auto"/>
                <w:sz w:val="21"/>
                <w:szCs w:val="21"/>
                <w:highlight w:val="none"/>
                <w:lang w:eastAsia="zh-CN"/>
              </w:rPr>
            </w:pPr>
            <w:r>
              <w:rPr>
                <w:rFonts w:hint="eastAsia" w:ascii="Times New Roman" w:hAnsi="Times New Roman" w:eastAsia="宋体" w:cs="Times New Roman"/>
                <w:b/>
                <w:color w:val="auto"/>
                <w:sz w:val="21"/>
                <w:szCs w:val="21"/>
                <w:highlight w:val="none"/>
                <w:lang w:val="en-US" w:eastAsia="zh-CN" w:bidi="ar"/>
              </w:rPr>
              <w:t>权重</w:t>
            </w:r>
          </w:p>
        </w:tc>
        <w:tc>
          <w:tcPr>
            <w:tcW w:w="402" w:type="pct"/>
            <w:tcBorders>
              <w:tl2br w:val="nil"/>
              <w:tr2bl w:val="nil"/>
            </w:tcBorders>
            <w:shd w:val="clear" w:color="auto" w:fill="auto"/>
            <w:vAlign w:val="center"/>
          </w:tcPr>
          <w:p w14:paraId="08D2BC83">
            <w:pPr>
              <w:widowControl/>
              <w:spacing w:line="240" w:lineRule="auto"/>
              <w:ind w:firstLine="0" w:firstLineChars="0"/>
              <w:jc w:val="center"/>
              <w:textAlignment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bidi="ar"/>
              </w:rPr>
              <w:t>得分</w:t>
            </w:r>
          </w:p>
        </w:tc>
        <w:tc>
          <w:tcPr>
            <w:tcW w:w="539" w:type="pct"/>
            <w:tcBorders>
              <w:tl2br w:val="nil"/>
              <w:tr2bl w:val="nil"/>
            </w:tcBorders>
            <w:shd w:val="clear" w:color="auto" w:fill="auto"/>
            <w:vAlign w:val="center"/>
          </w:tcPr>
          <w:p w14:paraId="26EFFE77">
            <w:pPr>
              <w:widowControl/>
              <w:spacing w:line="240" w:lineRule="auto"/>
              <w:ind w:firstLine="0" w:firstLineChars="0"/>
              <w:jc w:val="center"/>
              <w:textAlignment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bidi="ar"/>
              </w:rPr>
              <w:t>得分率</w:t>
            </w:r>
          </w:p>
        </w:tc>
      </w:tr>
      <w:tr w14:paraId="40EB6C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397" w:hRule="atLeast"/>
        </w:trPr>
        <w:tc>
          <w:tcPr>
            <w:tcW w:w="420" w:type="pct"/>
            <w:vMerge w:val="restart"/>
            <w:tcBorders>
              <w:tl2br w:val="nil"/>
              <w:tr2bl w:val="nil"/>
            </w:tcBorders>
            <w:shd w:val="clear" w:color="auto" w:fill="auto"/>
            <w:vAlign w:val="center"/>
          </w:tcPr>
          <w:p w14:paraId="52EE77F7">
            <w:pPr>
              <w:widowControl/>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bidi="ar"/>
              </w:rPr>
            </w:pPr>
            <w:r>
              <w:rPr>
                <w:rFonts w:hint="eastAsia" w:ascii="Times New Roman" w:hAnsi="Times New Roman" w:eastAsia="宋体" w:cs="Times New Roman"/>
                <w:color w:val="auto"/>
                <w:sz w:val="21"/>
                <w:szCs w:val="21"/>
                <w:highlight w:val="none"/>
                <w:lang w:val="en-US" w:eastAsia="zh-CN" w:bidi="ar"/>
              </w:rPr>
              <w:t>B部门管理（25.00分）</w:t>
            </w:r>
          </w:p>
        </w:tc>
        <w:tc>
          <w:tcPr>
            <w:tcW w:w="492" w:type="pct"/>
            <w:vAlign w:val="center"/>
          </w:tcPr>
          <w:p w14:paraId="6E8163C4">
            <w:pPr>
              <w:widowControl/>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bidi="ar"/>
              </w:rPr>
            </w:pPr>
            <w:r>
              <w:rPr>
                <w:rFonts w:hint="eastAsia" w:ascii="Times New Roman" w:hAnsi="Times New Roman" w:eastAsia="宋体" w:cs="Times New Roman"/>
                <w:bCs/>
                <w:color w:val="auto"/>
                <w:sz w:val="21"/>
                <w:szCs w:val="21"/>
                <w:highlight w:val="none"/>
                <w:lang w:val="en-US" w:eastAsia="zh-CN" w:bidi="ar"/>
              </w:rPr>
              <w:t>B1制度建设</w:t>
            </w:r>
          </w:p>
        </w:tc>
        <w:tc>
          <w:tcPr>
            <w:tcW w:w="1487" w:type="pct"/>
            <w:tcBorders>
              <w:tl2br w:val="nil"/>
              <w:tr2bl w:val="nil"/>
            </w:tcBorders>
            <w:shd w:val="clear" w:color="auto" w:fill="auto"/>
            <w:vAlign w:val="center"/>
          </w:tcPr>
          <w:p w14:paraId="049D3B99">
            <w:pPr>
              <w:widowControl/>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bidi="ar"/>
              </w:rPr>
            </w:pPr>
            <w:r>
              <w:rPr>
                <w:rFonts w:hint="eastAsia" w:ascii="Times New Roman" w:hAnsi="Times New Roman" w:eastAsia="宋体" w:cs="Times New Roman"/>
                <w:bCs/>
                <w:color w:val="auto"/>
                <w:sz w:val="21"/>
                <w:szCs w:val="21"/>
                <w:highlight w:val="none"/>
                <w:lang w:val="en-US" w:eastAsia="zh-CN" w:bidi="ar"/>
              </w:rPr>
              <w:t>B11内部控制制度健全性</w:t>
            </w:r>
          </w:p>
        </w:tc>
        <w:tc>
          <w:tcPr>
            <w:tcW w:w="587" w:type="pct"/>
            <w:tcBorders>
              <w:tl2br w:val="nil"/>
              <w:tr2bl w:val="nil"/>
            </w:tcBorders>
            <w:shd w:val="clear" w:color="auto" w:fill="auto"/>
            <w:vAlign w:val="center"/>
          </w:tcPr>
          <w:p w14:paraId="452FBBA2">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
              </w:rPr>
            </w:pPr>
            <w:r>
              <w:rPr>
                <w:rFonts w:hint="eastAsia" w:ascii="Times New Roman" w:hAnsi="Times New Roman" w:eastAsia="宋体" w:cs="Times New Roman"/>
                <w:bCs/>
                <w:color w:val="auto"/>
                <w:sz w:val="21"/>
                <w:szCs w:val="21"/>
                <w:highlight w:val="none"/>
                <w:lang w:val="en-US" w:eastAsia="zh-CN" w:bidi="ar"/>
              </w:rPr>
              <w:t>健全</w:t>
            </w:r>
          </w:p>
        </w:tc>
        <w:tc>
          <w:tcPr>
            <w:tcW w:w="610" w:type="pct"/>
            <w:tcBorders>
              <w:tl2br w:val="nil"/>
              <w:tr2bl w:val="nil"/>
            </w:tcBorders>
            <w:shd w:val="clear" w:color="auto" w:fill="auto"/>
            <w:vAlign w:val="center"/>
          </w:tcPr>
          <w:p w14:paraId="6E2582EC">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eastAsia" w:ascii="Times New Roman" w:hAnsi="Times New Roman" w:eastAsia="宋体" w:cs="Times New Roman"/>
                <w:bCs/>
                <w:color w:val="auto"/>
                <w:sz w:val="21"/>
                <w:szCs w:val="21"/>
                <w:highlight w:val="none"/>
                <w:lang w:val="en-US" w:eastAsia="zh-CN" w:bidi="ar"/>
              </w:rPr>
              <w:t>健全</w:t>
            </w:r>
          </w:p>
        </w:tc>
        <w:tc>
          <w:tcPr>
            <w:tcW w:w="459" w:type="pct"/>
            <w:tcBorders>
              <w:tl2br w:val="nil"/>
              <w:tr2bl w:val="nil"/>
            </w:tcBorders>
            <w:shd w:val="clear" w:color="auto" w:fill="auto"/>
            <w:vAlign w:val="center"/>
          </w:tcPr>
          <w:p w14:paraId="4A7990E8">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
              </w:rPr>
            </w:pPr>
            <w:r>
              <w:rPr>
                <w:rFonts w:hint="eastAsia" w:ascii="Times New Roman" w:hAnsi="Times New Roman" w:eastAsia="宋体" w:cs="Times New Roman"/>
                <w:bCs/>
                <w:color w:val="auto"/>
                <w:sz w:val="21"/>
                <w:szCs w:val="21"/>
                <w:highlight w:val="none"/>
                <w:lang w:val="en-US" w:eastAsia="zh-CN" w:bidi="ar"/>
              </w:rPr>
              <w:t>4.00</w:t>
            </w:r>
          </w:p>
        </w:tc>
        <w:tc>
          <w:tcPr>
            <w:tcW w:w="402" w:type="pct"/>
            <w:tcBorders>
              <w:tl2br w:val="nil"/>
              <w:tr2bl w:val="nil"/>
            </w:tcBorders>
            <w:shd w:val="clear" w:color="auto" w:fill="auto"/>
            <w:vAlign w:val="center"/>
          </w:tcPr>
          <w:p w14:paraId="586BC1E8">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
              </w:rPr>
            </w:pPr>
            <w:r>
              <w:rPr>
                <w:rFonts w:hint="default" w:ascii="Times New Roman" w:hAnsi="Times New Roman" w:eastAsia="宋体" w:cs="Times New Roman"/>
                <w:bCs/>
                <w:color w:val="auto"/>
                <w:sz w:val="21"/>
                <w:szCs w:val="21"/>
                <w:highlight w:val="none"/>
                <w:lang w:val="en-US" w:eastAsia="zh-CN" w:bidi="ar"/>
              </w:rPr>
              <w:t xml:space="preserve">4.00 </w:t>
            </w:r>
          </w:p>
        </w:tc>
        <w:tc>
          <w:tcPr>
            <w:tcW w:w="539" w:type="pct"/>
            <w:tcBorders>
              <w:tl2br w:val="nil"/>
              <w:tr2bl w:val="nil"/>
            </w:tcBorders>
            <w:shd w:val="clear" w:color="auto" w:fill="auto"/>
            <w:vAlign w:val="center"/>
          </w:tcPr>
          <w:p w14:paraId="5B2E1F70">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
              </w:rPr>
            </w:pPr>
            <w:r>
              <w:rPr>
                <w:rFonts w:hint="default" w:ascii="Times New Roman" w:hAnsi="Times New Roman" w:eastAsia="宋体" w:cs="Times New Roman"/>
                <w:bCs/>
                <w:color w:val="auto"/>
                <w:sz w:val="21"/>
                <w:szCs w:val="21"/>
                <w:highlight w:val="none"/>
                <w:lang w:val="en-US" w:eastAsia="zh-CN" w:bidi="ar"/>
              </w:rPr>
              <w:t>100.00%</w:t>
            </w:r>
          </w:p>
        </w:tc>
      </w:tr>
      <w:tr w14:paraId="1364C8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397" w:hRule="atLeast"/>
        </w:trPr>
        <w:tc>
          <w:tcPr>
            <w:tcW w:w="420" w:type="pct"/>
            <w:vMerge w:val="continue"/>
            <w:tcBorders>
              <w:tl2br w:val="nil"/>
              <w:tr2bl w:val="nil"/>
            </w:tcBorders>
            <w:shd w:val="clear" w:color="auto" w:fill="auto"/>
            <w:vAlign w:val="center"/>
          </w:tcPr>
          <w:p w14:paraId="02BD1CA5">
            <w:pPr>
              <w:widowControl/>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bidi="ar"/>
              </w:rPr>
            </w:pPr>
          </w:p>
        </w:tc>
        <w:tc>
          <w:tcPr>
            <w:tcW w:w="492" w:type="pct"/>
            <w:vMerge w:val="restart"/>
            <w:vAlign w:val="center"/>
          </w:tcPr>
          <w:p w14:paraId="7E13C169">
            <w:pPr>
              <w:widowControl/>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bidi="ar"/>
              </w:rPr>
            </w:pPr>
            <w:r>
              <w:rPr>
                <w:rFonts w:hint="eastAsia" w:ascii="Times New Roman" w:hAnsi="Times New Roman" w:eastAsia="宋体" w:cs="Times New Roman"/>
                <w:bCs/>
                <w:color w:val="auto"/>
                <w:sz w:val="21"/>
                <w:szCs w:val="21"/>
                <w:highlight w:val="none"/>
                <w:lang w:val="en-US" w:eastAsia="zh-CN" w:bidi="ar"/>
              </w:rPr>
              <w:t>B2预算管理</w:t>
            </w:r>
          </w:p>
        </w:tc>
        <w:tc>
          <w:tcPr>
            <w:tcW w:w="1487" w:type="pct"/>
            <w:tcBorders>
              <w:tl2br w:val="nil"/>
              <w:tr2bl w:val="nil"/>
            </w:tcBorders>
            <w:shd w:val="clear" w:color="auto" w:fill="auto"/>
            <w:vAlign w:val="center"/>
          </w:tcPr>
          <w:p w14:paraId="12149C97">
            <w:pPr>
              <w:widowControl/>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bidi="ar"/>
              </w:rPr>
            </w:pPr>
            <w:r>
              <w:rPr>
                <w:rFonts w:hint="eastAsia" w:ascii="Times New Roman" w:hAnsi="Times New Roman" w:eastAsia="宋体" w:cs="Times New Roman"/>
                <w:bCs/>
                <w:color w:val="auto"/>
                <w:sz w:val="21"/>
                <w:szCs w:val="21"/>
                <w:highlight w:val="none"/>
                <w:lang w:val="en-US" w:eastAsia="zh-CN" w:bidi="ar"/>
              </w:rPr>
              <w:t>B21预算执行率</w:t>
            </w:r>
          </w:p>
        </w:tc>
        <w:tc>
          <w:tcPr>
            <w:tcW w:w="587" w:type="pct"/>
            <w:tcBorders>
              <w:tl2br w:val="nil"/>
              <w:tr2bl w:val="nil"/>
            </w:tcBorders>
            <w:shd w:val="clear" w:color="auto" w:fill="auto"/>
            <w:vAlign w:val="center"/>
          </w:tcPr>
          <w:p w14:paraId="43E67E96">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
              </w:rPr>
            </w:pPr>
            <w:r>
              <w:rPr>
                <w:rFonts w:hint="eastAsia" w:ascii="Times New Roman" w:hAnsi="Times New Roman" w:eastAsia="宋体" w:cs="Times New Roman"/>
                <w:bCs/>
                <w:color w:val="auto"/>
                <w:sz w:val="21"/>
                <w:szCs w:val="21"/>
                <w:highlight w:val="none"/>
                <w:lang w:val="en-US" w:eastAsia="zh-CN" w:bidi="ar"/>
              </w:rPr>
              <w:t>≥95.00%</w:t>
            </w:r>
          </w:p>
        </w:tc>
        <w:tc>
          <w:tcPr>
            <w:tcW w:w="610" w:type="pct"/>
            <w:tcBorders>
              <w:tl2br w:val="nil"/>
              <w:tr2bl w:val="nil"/>
            </w:tcBorders>
            <w:shd w:val="clear" w:color="auto" w:fill="auto"/>
            <w:vAlign w:val="center"/>
          </w:tcPr>
          <w:p w14:paraId="65EDF626">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eastAsia" w:ascii="Times New Roman" w:hAnsi="Times New Roman" w:eastAsia="宋体" w:cs="Times New Roman"/>
                <w:bCs/>
                <w:color w:val="auto"/>
                <w:sz w:val="21"/>
                <w:szCs w:val="21"/>
                <w:highlight w:val="none"/>
                <w:lang w:val="en-US" w:eastAsia="zh-CN" w:bidi="ar"/>
              </w:rPr>
              <w:t>100.00%</w:t>
            </w:r>
          </w:p>
        </w:tc>
        <w:tc>
          <w:tcPr>
            <w:tcW w:w="459" w:type="pct"/>
            <w:tcBorders>
              <w:tl2br w:val="nil"/>
              <w:tr2bl w:val="nil"/>
            </w:tcBorders>
            <w:shd w:val="clear" w:color="auto" w:fill="auto"/>
            <w:vAlign w:val="center"/>
          </w:tcPr>
          <w:p w14:paraId="0862E88A">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
              </w:rPr>
            </w:pPr>
            <w:r>
              <w:rPr>
                <w:rFonts w:hint="eastAsia" w:ascii="Times New Roman" w:hAnsi="Times New Roman" w:eastAsia="宋体" w:cs="Times New Roman"/>
                <w:bCs/>
                <w:color w:val="auto"/>
                <w:sz w:val="21"/>
                <w:szCs w:val="21"/>
                <w:highlight w:val="none"/>
                <w:lang w:val="en-US" w:eastAsia="zh-CN" w:bidi="ar"/>
              </w:rPr>
              <w:t>3.00</w:t>
            </w:r>
          </w:p>
        </w:tc>
        <w:tc>
          <w:tcPr>
            <w:tcW w:w="402" w:type="pct"/>
            <w:tcBorders>
              <w:tl2br w:val="nil"/>
              <w:tr2bl w:val="nil"/>
            </w:tcBorders>
            <w:shd w:val="clear" w:color="auto" w:fill="auto"/>
            <w:vAlign w:val="center"/>
          </w:tcPr>
          <w:p w14:paraId="60B572C7">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
              </w:rPr>
            </w:pPr>
            <w:r>
              <w:rPr>
                <w:rFonts w:hint="default" w:ascii="Times New Roman" w:hAnsi="Times New Roman" w:eastAsia="宋体" w:cs="Times New Roman"/>
                <w:bCs/>
                <w:color w:val="auto"/>
                <w:sz w:val="21"/>
                <w:szCs w:val="21"/>
                <w:highlight w:val="none"/>
                <w:lang w:val="en-US" w:eastAsia="zh-CN" w:bidi="ar"/>
              </w:rPr>
              <w:t xml:space="preserve">3.00 </w:t>
            </w:r>
          </w:p>
        </w:tc>
        <w:tc>
          <w:tcPr>
            <w:tcW w:w="539" w:type="pct"/>
            <w:tcBorders>
              <w:tl2br w:val="nil"/>
              <w:tr2bl w:val="nil"/>
            </w:tcBorders>
            <w:shd w:val="clear" w:color="auto" w:fill="auto"/>
            <w:vAlign w:val="center"/>
          </w:tcPr>
          <w:p w14:paraId="6F745297">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
              </w:rPr>
            </w:pPr>
            <w:r>
              <w:rPr>
                <w:rFonts w:hint="default" w:ascii="Times New Roman" w:hAnsi="Times New Roman" w:eastAsia="宋体" w:cs="Times New Roman"/>
                <w:bCs/>
                <w:color w:val="auto"/>
                <w:sz w:val="21"/>
                <w:szCs w:val="21"/>
                <w:highlight w:val="none"/>
                <w:lang w:val="en-US" w:eastAsia="zh-CN" w:bidi="ar"/>
              </w:rPr>
              <w:t>100.00%</w:t>
            </w:r>
          </w:p>
        </w:tc>
      </w:tr>
      <w:tr w14:paraId="0E8B29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397" w:hRule="atLeast"/>
        </w:trPr>
        <w:tc>
          <w:tcPr>
            <w:tcW w:w="420" w:type="pct"/>
            <w:vMerge w:val="continue"/>
            <w:tcBorders>
              <w:tl2br w:val="nil"/>
              <w:tr2bl w:val="nil"/>
            </w:tcBorders>
            <w:shd w:val="clear" w:color="auto" w:fill="auto"/>
            <w:vAlign w:val="center"/>
          </w:tcPr>
          <w:p w14:paraId="7DFA7A7B">
            <w:pPr>
              <w:widowControl/>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bidi="ar"/>
              </w:rPr>
            </w:pPr>
          </w:p>
        </w:tc>
        <w:tc>
          <w:tcPr>
            <w:tcW w:w="492" w:type="pct"/>
            <w:vMerge w:val="continue"/>
            <w:vAlign w:val="center"/>
          </w:tcPr>
          <w:p w14:paraId="53548C9B">
            <w:pPr>
              <w:widowControl/>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bidi="ar"/>
              </w:rPr>
            </w:pPr>
          </w:p>
        </w:tc>
        <w:tc>
          <w:tcPr>
            <w:tcW w:w="1487" w:type="pct"/>
            <w:tcBorders>
              <w:tl2br w:val="nil"/>
              <w:tr2bl w:val="nil"/>
            </w:tcBorders>
            <w:shd w:val="clear" w:color="auto" w:fill="auto"/>
            <w:vAlign w:val="center"/>
          </w:tcPr>
          <w:p w14:paraId="1EA9D2C4">
            <w:pPr>
              <w:widowControl/>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bidi="ar"/>
              </w:rPr>
            </w:pPr>
            <w:r>
              <w:rPr>
                <w:rFonts w:hint="eastAsia" w:ascii="Times New Roman" w:hAnsi="Times New Roman" w:eastAsia="宋体" w:cs="Times New Roman"/>
                <w:bCs/>
                <w:color w:val="auto"/>
                <w:sz w:val="21"/>
                <w:szCs w:val="21"/>
                <w:highlight w:val="none"/>
                <w:lang w:val="en-US" w:eastAsia="zh-CN" w:bidi="ar"/>
              </w:rPr>
              <w:t>B22预算、决算信息公开</w:t>
            </w:r>
          </w:p>
        </w:tc>
        <w:tc>
          <w:tcPr>
            <w:tcW w:w="587" w:type="pct"/>
            <w:tcBorders>
              <w:tl2br w:val="nil"/>
              <w:tr2bl w:val="nil"/>
            </w:tcBorders>
            <w:shd w:val="clear" w:color="auto" w:fill="auto"/>
            <w:vAlign w:val="center"/>
          </w:tcPr>
          <w:p w14:paraId="02104B10">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
              </w:rPr>
            </w:pPr>
            <w:r>
              <w:rPr>
                <w:rFonts w:hint="eastAsia" w:ascii="Times New Roman" w:hAnsi="Times New Roman" w:eastAsia="宋体" w:cs="Times New Roman"/>
                <w:bCs/>
                <w:color w:val="auto"/>
                <w:sz w:val="21"/>
                <w:szCs w:val="21"/>
                <w:highlight w:val="none"/>
                <w:lang w:val="en-US" w:eastAsia="zh-CN" w:bidi="ar"/>
              </w:rPr>
              <w:t>使用合规</w:t>
            </w:r>
          </w:p>
        </w:tc>
        <w:tc>
          <w:tcPr>
            <w:tcW w:w="610" w:type="pct"/>
            <w:tcBorders>
              <w:tl2br w:val="nil"/>
              <w:tr2bl w:val="nil"/>
            </w:tcBorders>
            <w:shd w:val="clear" w:color="auto" w:fill="auto"/>
            <w:vAlign w:val="center"/>
          </w:tcPr>
          <w:p w14:paraId="2B616EF9">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eastAsia" w:ascii="Times New Roman" w:hAnsi="Times New Roman" w:eastAsia="宋体" w:cs="Times New Roman"/>
                <w:bCs/>
                <w:color w:val="auto"/>
                <w:sz w:val="21"/>
                <w:szCs w:val="21"/>
                <w:highlight w:val="none"/>
                <w:lang w:val="en-US" w:eastAsia="zh-CN" w:bidi="ar"/>
              </w:rPr>
              <w:t>使用合规</w:t>
            </w:r>
          </w:p>
        </w:tc>
        <w:tc>
          <w:tcPr>
            <w:tcW w:w="459" w:type="pct"/>
            <w:tcBorders>
              <w:tl2br w:val="nil"/>
              <w:tr2bl w:val="nil"/>
            </w:tcBorders>
            <w:shd w:val="clear" w:color="auto" w:fill="auto"/>
            <w:vAlign w:val="center"/>
          </w:tcPr>
          <w:p w14:paraId="0EE53B69">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
              </w:rPr>
            </w:pPr>
            <w:r>
              <w:rPr>
                <w:rFonts w:hint="eastAsia" w:ascii="Times New Roman" w:hAnsi="Times New Roman" w:eastAsia="宋体" w:cs="Times New Roman"/>
                <w:bCs/>
                <w:color w:val="auto"/>
                <w:sz w:val="21"/>
                <w:szCs w:val="21"/>
                <w:highlight w:val="none"/>
                <w:lang w:val="en-US" w:eastAsia="zh-CN" w:bidi="ar"/>
              </w:rPr>
              <w:t>1.00</w:t>
            </w:r>
          </w:p>
        </w:tc>
        <w:tc>
          <w:tcPr>
            <w:tcW w:w="402" w:type="pct"/>
            <w:tcBorders>
              <w:tl2br w:val="nil"/>
              <w:tr2bl w:val="nil"/>
            </w:tcBorders>
            <w:shd w:val="clear" w:color="auto" w:fill="auto"/>
            <w:vAlign w:val="center"/>
          </w:tcPr>
          <w:p w14:paraId="1801D57C">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
              </w:rPr>
            </w:pPr>
            <w:r>
              <w:rPr>
                <w:rFonts w:hint="default" w:ascii="Times New Roman" w:hAnsi="Times New Roman" w:eastAsia="宋体" w:cs="Times New Roman"/>
                <w:bCs/>
                <w:color w:val="auto"/>
                <w:sz w:val="21"/>
                <w:szCs w:val="21"/>
                <w:highlight w:val="none"/>
                <w:lang w:val="en-US" w:eastAsia="zh-CN" w:bidi="ar"/>
              </w:rPr>
              <w:t xml:space="preserve">1.00 </w:t>
            </w:r>
          </w:p>
        </w:tc>
        <w:tc>
          <w:tcPr>
            <w:tcW w:w="539" w:type="pct"/>
            <w:tcBorders>
              <w:tl2br w:val="nil"/>
              <w:tr2bl w:val="nil"/>
            </w:tcBorders>
            <w:shd w:val="clear" w:color="auto" w:fill="auto"/>
            <w:vAlign w:val="center"/>
          </w:tcPr>
          <w:p w14:paraId="591F9FB0">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
              </w:rPr>
            </w:pPr>
            <w:r>
              <w:rPr>
                <w:rFonts w:hint="default" w:ascii="Times New Roman" w:hAnsi="Times New Roman" w:eastAsia="宋体" w:cs="Times New Roman"/>
                <w:bCs/>
                <w:color w:val="auto"/>
                <w:sz w:val="21"/>
                <w:szCs w:val="21"/>
                <w:highlight w:val="none"/>
                <w:lang w:val="en-US" w:eastAsia="zh-CN" w:bidi="ar"/>
              </w:rPr>
              <w:t>100.00%</w:t>
            </w:r>
          </w:p>
        </w:tc>
      </w:tr>
      <w:tr w14:paraId="274C5A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397" w:hRule="atLeast"/>
        </w:trPr>
        <w:tc>
          <w:tcPr>
            <w:tcW w:w="420" w:type="pct"/>
            <w:vMerge w:val="continue"/>
            <w:tcBorders>
              <w:tl2br w:val="nil"/>
              <w:tr2bl w:val="nil"/>
            </w:tcBorders>
            <w:shd w:val="clear" w:color="auto" w:fill="auto"/>
            <w:vAlign w:val="center"/>
          </w:tcPr>
          <w:p w14:paraId="1E844F28">
            <w:pPr>
              <w:widowControl/>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bidi="ar"/>
              </w:rPr>
            </w:pPr>
          </w:p>
        </w:tc>
        <w:tc>
          <w:tcPr>
            <w:tcW w:w="492" w:type="pct"/>
            <w:vMerge w:val="restart"/>
            <w:vAlign w:val="center"/>
          </w:tcPr>
          <w:p w14:paraId="65A5E4C0">
            <w:pPr>
              <w:widowControl/>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bidi="ar"/>
              </w:rPr>
            </w:pPr>
            <w:r>
              <w:rPr>
                <w:rFonts w:hint="eastAsia" w:ascii="Times New Roman" w:hAnsi="Times New Roman" w:eastAsia="宋体" w:cs="Times New Roman"/>
                <w:bCs/>
                <w:color w:val="auto"/>
                <w:sz w:val="21"/>
                <w:szCs w:val="21"/>
                <w:highlight w:val="none"/>
                <w:lang w:val="en-US" w:eastAsia="zh-CN" w:bidi="ar"/>
              </w:rPr>
              <w:t>B3资金管理</w:t>
            </w:r>
          </w:p>
        </w:tc>
        <w:tc>
          <w:tcPr>
            <w:tcW w:w="1487" w:type="pct"/>
            <w:tcBorders>
              <w:tl2br w:val="nil"/>
              <w:tr2bl w:val="nil"/>
            </w:tcBorders>
            <w:shd w:val="clear" w:color="auto" w:fill="auto"/>
            <w:vAlign w:val="center"/>
          </w:tcPr>
          <w:p w14:paraId="6F116DA2">
            <w:pPr>
              <w:widowControl/>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bidi="ar"/>
              </w:rPr>
            </w:pPr>
            <w:r>
              <w:rPr>
                <w:rFonts w:hint="eastAsia" w:ascii="Times New Roman" w:hAnsi="Times New Roman" w:eastAsia="宋体" w:cs="Times New Roman"/>
                <w:bCs/>
                <w:color w:val="auto"/>
                <w:sz w:val="21"/>
                <w:szCs w:val="21"/>
                <w:highlight w:val="none"/>
                <w:lang w:val="en-US" w:eastAsia="zh-CN" w:bidi="ar"/>
              </w:rPr>
              <w:t>B31资金使用合规性</w:t>
            </w:r>
          </w:p>
        </w:tc>
        <w:tc>
          <w:tcPr>
            <w:tcW w:w="587" w:type="pct"/>
            <w:tcBorders>
              <w:tl2br w:val="nil"/>
              <w:tr2bl w:val="nil"/>
            </w:tcBorders>
            <w:shd w:val="clear" w:color="auto" w:fill="auto"/>
            <w:vAlign w:val="center"/>
          </w:tcPr>
          <w:p w14:paraId="33E4C664">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
              </w:rPr>
            </w:pPr>
            <w:r>
              <w:rPr>
                <w:rFonts w:hint="eastAsia" w:ascii="Times New Roman" w:hAnsi="Times New Roman" w:eastAsia="宋体" w:cs="Times New Roman"/>
                <w:bCs/>
                <w:color w:val="auto"/>
                <w:sz w:val="21"/>
                <w:szCs w:val="21"/>
                <w:highlight w:val="none"/>
                <w:lang w:val="en-US" w:eastAsia="zh-CN" w:bidi="ar"/>
              </w:rPr>
              <w:t>合规</w:t>
            </w:r>
          </w:p>
        </w:tc>
        <w:tc>
          <w:tcPr>
            <w:tcW w:w="610" w:type="pct"/>
            <w:tcBorders>
              <w:tl2br w:val="nil"/>
              <w:tr2bl w:val="nil"/>
            </w:tcBorders>
            <w:shd w:val="clear" w:color="auto" w:fill="auto"/>
            <w:vAlign w:val="center"/>
          </w:tcPr>
          <w:p w14:paraId="703EB701">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eastAsia" w:ascii="Times New Roman" w:hAnsi="Times New Roman" w:eastAsia="宋体" w:cs="Times New Roman"/>
                <w:bCs/>
                <w:color w:val="auto"/>
                <w:sz w:val="21"/>
                <w:szCs w:val="21"/>
                <w:highlight w:val="none"/>
                <w:lang w:val="en-US" w:eastAsia="zh-CN" w:bidi="ar"/>
              </w:rPr>
              <w:t>较合规</w:t>
            </w:r>
          </w:p>
        </w:tc>
        <w:tc>
          <w:tcPr>
            <w:tcW w:w="459" w:type="pct"/>
            <w:tcBorders>
              <w:tl2br w:val="nil"/>
              <w:tr2bl w:val="nil"/>
            </w:tcBorders>
            <w:shd w:val="clear" w:color="auto" w:fill="auto"/>
            <w:vAlign w:val="center"/>
          </w:tcPr>
          <w:p w14:paraId="33A638CE">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
              </w:rPr>
            </w:pPr>
            <w:r>
              <w:rPr>
                <w:rFonts w:hint="eastAsia" w:ascii="Times New Roman" w:hAnsi="Times New Roman" w:eastAsia="宋体" w:cs="Times New Roman"/>
                <w:bCs/>
                <w:color w:val="auto"/>
                <w:sz w:val="21"/>
                <w:szCs w:val="21"/>
                <w:highlight w:val="none"/>
                <w:lang w:val="en-US" w:eastAsia="zh-CN" w:bidi="ar"/>
              </w:rPr>
              <w:t>4.00</w:t>
            </w:r>
          </w:p>
        </w:tc>
        <w:tc>
          <w:tcPr>
            <w:tcW w:w="402" w:type="pct"/>
            <w:tcBorders>
              <w:tl2br w:val="nil"/>
              <w:tr2bl w:val="nil"/>
            </w:tcBorders>
            <w:shd w:val="clear" w:color="auto" w:fill="auto"/>
            <w:vAlign w:val="center"/>
          </w:tcPr>
          <w:p w14:paraId="1C63BF69">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eastAsia" w:ascii="Times New Roman" w:hAnsi="Times New Roman" w:eastAsia="宋体" w:cs="Times New Roman"/>
                <w:bCs/>
                <w:color w:val="auto"/>
                <w:sz w:val="21"/>
                <w:szCs w:val="21"/>
                <w:highlight w:val="none"/>
                <w:lang w:val="en-US" w:eastAsia="zh-CN" w:bidi="ar"/>
              </w:rPr>
              <w:t>3</w:t>
            </w:r>
            <w:r>
              <w:rPr>
                <w:rFonts w:hint="default" w:ascii="Times New Roman" w:hAnsi="Times New Roman" w:eastAsia="宋体" w:cs="Times New Roman"/>
                <w:bCs/>
                <w:color w:val="auto"/>
                <w:sz w:val="21"/>
                <w:szCs w:val="21"/>
                <w:highlight w:val="none"/>
                <w:lang w:val="en-US" w:eastAsia="zh-CN" w:bidi="ar"/>
              </w:rPr>
              <w:t>.</w:t>
            </w:r>
            <w:r>
              <w:rPr>
                <w:rFonts w:hint="eastAsia" w:ascii="Times New Roman" w:hAnsi="Times New Roman" w:eastAsia="宋体" w:cs="Times New Roman"/>
                <w:bCs/>
                <w:color w:val="auto"/>
                <w:sz w:val="21"/>
                <w:szCs w:val="21"/>
                <w:highlight w:val="none"/>
                <w:lang w:val="en-US" w:eastAsia="zh-CN" w:bidi="ar"/>
              </w:rPr>
              <w:t>0</w:t>
            </w:r>
            <w:r>
              <w:rPr>
                <w:rFonts w:hint="default" w:ascii="Times New Roman" w:hAnsi="Times New Roman" w:eastAsia="宋体" w:cs="Times New Roman"/>
                <w:bCs/>
                <w:color w:val="auto"/>
                <w:sz w:val="21"/>
                <w:szCs w:val="21"/>
                <w:highlight w:val="none"/>
                <w:lang w:val="en-US" w:eastAsia="zh-CN" w:bidi="ar"/>
              </w:rPr>
              <w:t xml:space="preserve">0 </w:t>
            </w:r>
          </w:p>
        </w:tc>
        <w:tc>
          <w:tcPr>
            <w:tcW w:w="539" w:type="pct"/>
            <w:tcBorders>
              <w:tl2br w:val="nil"/>
              <w:tr2bl w:val="nil"/>
            </w:tcBorders>
            <w:shd w:val="clear" w:color="auto" w:fill="auto"/>
            <w:vAlign w:val="center"/>
          </w:tcPr>
          <w:p w14:paraId="1257C88D">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
              </w:rPr>
            </w:pPr>
            <w:r>
              <w:rPr>
                <w:rFonts w:hint="eastAsia" w:ascii="Times New Roman" w:hAnsi="Times New Roman" w:eastAsia="宋体" w:cs="Times New Roman"/>
                <w:bCs/>
                <w:color w:val="auto"/>
                <w:sz w:val="21"/>
                <w:szCs w:val="21"/>
                <w:highlight w:val="none"/>
                <w:lang w:val="en-US" w:eastAsia="zh-CN" w:bidi="ar"/>
              </w:rPr>
              <w:t>75.00</w:t>
            </w:r>
            <w:r>
              <w:rPr>
                <w:rFonts w:hint="default" w:ascii="Times New Roman" w:hAnsi="Times New Roman" w:eastAsia="宋体" w:cs="Times New Roman"/>
                <w:bCs/>
                <w:color w:val="auto"/>
                <w:sz w:val="21"/>
                <w:szCs w:val="21"/>
                <w:highlight w:val="none"/>
                <w:lang w:val="en-US" w:eastAsia="zh-CN" w:bidi="ar"/>
              </w:rPr>
              <w:t>%</w:t>
            </w:r>
          </w:p>
        </w:tc>
      </w:tr>
      <w:tr w14:paraId="39B758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397" w:hRule="atLeast"/>
        </w:trPr>
        <w:tc>
          <w:tcPr>
            <w:tcW w:w="420" w:type="pct"/>
            <w:vMerge w:val="continue"/>
            <w:tcBorders>
              <w:tl2br w:val="nil"/>
              <w:tr2bl w:val="nil"/>
            </w:tcBorders>
            <w:shd w:val="clear" w:color="auto" w:fill="auto"/>
            <w:vAlign w:val="center"/>
          </w:tcPr>
          <w:p w14:paraId="4A92DF15">
            <w:pPr>
              <w:widowControl/>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bidi="ar"/>
              </w:rPr>
            </w:pPr>
          </w:p>
        </w:tc>
        <w:tc>
          <w:tcPr>
            <w:tcW w:w="492" w:type="pct"/>
            <w:vMerge w:val="continue"/>
            <w:vAlign w:val="center"/>
          </w:tcPr>
          <w:p w14:paraId="68B49865">
            <w:pPr>
              <w:widowControl/>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bidi="ar"/>
              </w:rPr>
            </w:pPr>
          </w:p>
        </w:tc>
        <w:tc>
          <w:tcPr>
            <w:tcW w:w="1487" w:type="pct"/>
            <w:tcBorders>
              <w:tl2br w:val="nil"/>
              <w:tr2bl w:val="nil"/>
            </w:tcBorders>
            <w:shd w:val="clear" w:color="auto" w:fill="auto"/>
            <w:vAlign w:val="center"/>
          </w:tcPr>
          <w:p w14:paraId="4CDD4074">
            <w:pPr>
              <w:widowControl/>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bidi="ar"/>
              </w:rPr>
            </w:pPr>
            <w:r>
              <w:rPr>
                <w:rFonts w:hint="eastAsia" w:ascii="Times New Roman" w:hAnsi="Times New Roman" w:eastAsia="宋体" w:cs="Times New Roman"/>
                <w:bCs/>
                <w:color w:val="auto"/>
                <w:sz w:val="21"/>
                <w:szCs w:val="21"/>
                <w:highlight w:val="none"/>
                <w:lang w:val="en-US" w:eastAsia="zh-CN" w:bidi="ar"/>
              </w:rPr>
              <w:t>B32政府采购透明度</w:t>
            </w:r>
          </w:p>
        </w:tc>
        <w:tc>
          <w:tcPr>
            <w:tcW w:w="587" w:type="pct"/>
            <w:tcBorders>
              <w:tl2br w:val="nil"/>
              <w:tr2bl w:val="nil"/>
            </w:tcBorders>
            <w:shd w:val="clear" w:color="auto" w:fill="auto"/>
            <w:vAlign w:val="center"/>
          </w:tcPr>
          <w:p w14:paraId="7FAAE63C">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
              </w:rPr>
            </w:pPr>
            <w:r>
              <w:rPr>
                <w:rFonts w:hint="eastAsia" w:ascii="Times New Roman" w:hAnsi="Times New Roman" w:eastAsia="宋体" w:cs="Times New Roman"/>
                <w:bCs/>
                <w:color w:val="auto"/>
                <w:sz w:val="21"/>
                <w:szCs w:val="21"/>
                <w:highlight w:val="none"/>
                <w:lang w:val="en-US" w:eastAsia="zh-CN" w:bidi="ar"/>
              </w:rPr>
              <w:t>执行且有效</w:t>
            </w:r>
          </w:p>
        </w:tc>
        <w:tc>
          <w:tcPr>
            <w:tcW w:w="610" w:type="pct"/>
            <w:tcBorders>
              <w:tl2br w:val="nil"/>
              <w:tr2bl w:val="nil"/>
            </w:tcBorders>
            <w:shd w:val="clear" w:color="auto" w:fill="auto"/>
            <w:vAlign w:val="center"/>
          </w:tcPr>
          <w:p w14:paraId="12A8723C">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eastAsia" w:ascii="Times New Roman" w:hAnsi="Times New Roman" w:eastAsia="宋体" w:cs="Times New Roman"/>
                <w:bCs/>
                <w:color w:val="auto"/>
                <w:sz w:val="21"/>
                <w:szCs w:val="21"/>
                <w:highlight w:val="none"/>
                <w:lang w:val="en-US" w:eastAsia="zh-CN" w:bidi="ar"/>
              </w:rPr>
              <w:t>执行且有效</w:t>
            </w:r>
          </w:p>
        </w:tc>
        <w:tc>
          <w:tcPr>
            <w:tcW w:w="459" w:type="pct"/>
            <w:tcBorders>
              <w:tl2br w:val="nil"/>
              <w:tr2bl w:val="nil"/>
            </w:tcBorders>
            <w:shd w:val="clear" w:color="auto" w:fill="auto"/>
            <w:vAlign w:val="center"/>
          </w:tcPr>
          <w:p w14:paraId="02D0DCA9">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
              </w:rPr>
            </w:pPr>
            <w:r>
              <w:rPr>
                <w:rFonts w:hint="eastAsia" w:ascii="Times New Roman" w:hAnsi="Times New Roman" w:eastAsia="宋体" w:cs="Times New Roman"/>
                <w:bCs/>
                <w:color w:val="auto"/>
                <w:sz w:val="21"/>
                <w:szCs w:val="21"/>
                <w:highlight w:val="none"/>
                <w:lang w:val="en-US" w:eastAsia="zh-CN" w:bidi="ar"/>
              </w:rPr>
              <w:t>2.00</w:t>
            </w:r>
          </w:p>
        </w:tc>
        <w:tc>
          <w:tcPr>
            <w:tcW w:w="402" w:type="pct"/>
            <w:tcBorders>
              <w:tl2br w:val="nil"/>
              <w:tr2bl w:val="nil"/>
            </w:tcBorders>
            <w:shd w:val="clear" w:color="auto" w:fill="auto"/>
            <w:vAlign w:val="center"/>
          </w:tcPr>
          <w:p w14:paraId="6E138D4F">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
              </w:rPr>
            </w:pPr>
            <w:r>
              <w:rPr>
                <w:rFonts w:hint="default" w:ascii="Times New Roman" w:hAnsi="Times New Roman" w:eastAsia="宋体" w:cs="Times New Roman"/>
                <w:bCs/>
                <w:color w:val="auto"/>
                <w:sz w:val="21"/>
                <w:szCs w:val="21"/>
                <w:highlight w:val="none"/>
                <w:lang w:val="en-US" w:eastAsia="zh-CN" w:bidi="ar"/>
              </w:rPr>
              <w:t xml:space="preserve">2.00 </w:t>
            </w:r>
          </w:p>
        </w:tc>
        <w:tc>
          <w:tcPr>
            <w:tcW w:w="539" w:type="pct"/>
            <w:tcBorders>
              <w:tl2br w:val="nil"/>
              <w:tr2bl w:val="nil"/>
            </w:tcBorders>
            <w:shd w:val="clear" w:color="auto" w:fill="auto"/>
            <w:vAlign w:val="center"/>
          </w:tcPr>
          <w:p w14:paraId="6BDB5FAA">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
              </w:rPr>
            </w:pPr>
            <w:r>
              <w:rPr>
                <w:rFonts w:hint="default" w:ascii="Times New Roman" w:hAnsi="Times New Roman" w:eastAsia="宋体" w:cs="Times New Roman"/>
                <w:bCs/>
                <w:color w:val="auto"/>
                <w:sz w:val="21"/>
                <w:szCs w:val="21"/>
                <w:highlight w:val="none"/>
                <w:lang w:val="en-US" w:eastAsia="zh-CN" w:bidi="ar"/>
              </w:rPr>
              <w:t>100.00%</w:t>
            </w:r>
          </w:p>
        </w:tc>
      </w:tr>
      <w:tr w14:paraId="78F08A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397" w:hRule="atLeast"/>
        </w:trPr>
        <w:tc>
          <w:tcPr>
            <w:tcW w:w="420" w:type="pct"/>
            <w:vMerge w:val="continue"/>
            <w:tcBorders>
              <w:tl2br w:val="nil"/>
              <w:tr2bl w:val="nil"/>
            </w:tcBorders>
            <w:shd w:val="clear" w:color="auto" w:fill="auto"/>
            <w:vAlign w:val="center"/>
          </w:tcPr>
          <w:p w14:paraId="5C58421B">
            <w:pPr>
              <w:widowControl/>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bidi="ar"/>
              </w:rPr>
            </w:pPr>
          </w:p>
        </w:tc>
        <w:tc>
          <w:tcPr>
            <w:tcW w:w="492" w:type="pct"/>
            <w:vMerge w:val="restart"/>
            <w:vAlign w:val="center"/>
          </w:tcPr>
          <w:p w14:paraId="0FEEF0D2">
            <w:pPr>
              <w:widowControl/>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bidi="ar"/>
              </w:rPr>
            </w:pPr>
            <w:r>
              <w:rPr>
                <w:rFonts w:hint="eastAsia" w:ascii="Times New Roman" w:hAnsi="Times New Roman" w:eastAsia="宋体" w:cs="Times New Roman"/>
                <w:bCs/>
                <w:color w:val="auto"/>
                <w:sz w:val="21"/>
                <w:szCs w:val="21"/>
                <w:highlight w:val="none"/>
                <w:lang w:val="en-US" w:eastAsia="zh-CN" w:bidi="ar"/>
              </w:rPr>
              <w:t>B4资产管理</w:t>
            </w:r>
          </w:p>
        </w:tc>
        <w:tc>
          <w:tcPr>
            <w:tcW w:w="1487" w:type="pct"/>
            <w:tcBorders>
              <w:tl2br w:val="nil"/>
              <w:tr2bl w:val="nil"/>
            </w:tcBorders>
            <w:shd w:val="clear" w:color="auto" w:fill="auto"/>
            <w:vAlign w:val="center"/>
          </w:tcPr>
          <w:p w14:paraId="7635394F">
            <w:pPr>
              <w:widowControl/>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bidi="ar"/>
              </w:rPr>
            </w:pPr>
            <w:r>
              <w:rPr>
                <w:rFonts w:hint="eastAsia" w:ascii="Times New Roman" w:hAnsi="Times New Roman" w:eastAsia="宋体" w:cs="Times New Roman"/>
                <w:bCs/>
                <w:color w:val="auto"/>
                <w:sz w:val="21"/>
                <w:szCs w:val="21"/>
                <w:highlight w:val="none"/>
                <w:lang w:val="en-US" w:eastAsia="zh-CN" w:bidi="ar"/>
              </w:rPr>
              <w:t>B41固定资产管理规范性</w:t>
            </w:r>
          </w:p>
        </w:tc>
        <w:tc>
          <w:tcPr>
            <w:tcW w:w="587" w:type="pct"/>
            <w:tcBorders>
              <w:tl2br w:val="nil"/>
              <w:tr2bl w:val="nil"/>
            </w:tcBorders>
            <w:shd w:val="clear" w:color="auto" w:fill="auto"/>
            <w:vAlign w:val="center"/>
          </w:tcPr>
          <w:p w14:paraId="423B4C81">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
              </w:rPr>
            </w:pPr>
            <w:r>
              <w:rPr>
                <w:rFonts w:hint="eastAsia" w:ascii="Times New Roman" w:hAnsi="Times New Roman" w:eastAsia="宋体" w:cs="Times New Roman"/>
                <w:bCs/>
                <w:color w:val="auto"/>
                <w:sz w:val="21"/>
                <w:szCs w:val="21"/>
                <w:highlight w:val="none"/>
                <w:lang w:val="en-US" w:eastAsia="zh-CN" w:bidi="ar"/>
              </w:rPr>
              <w:t>规范</w:t>
            </w:r>
          </w:p>
        </w:tc>
        <w:tc>
          <w:tcPr>
            <w:tcW w:w="610" w:type="pct"/>
            <w:tcBorders>
              <w:tl2br w:val="nil"/>
              <w:tr2bl w:val="nil"/>
            </w:tcBorders>
            <w:shd w:val="clear" w:color="auto" w:fill="auto"/>
            <w:vAlign w:val="center"/>
          </w:tcPr>
          <w:p w14:paraId="787E6900">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eastAsia" w:ascii="Times New Roman" w:hAnsi="Times New Roman" w:eastAsia="宋体" w:cs="Times New Roman"/>
                <w:bCs/>
                <w:color w:val="auto"/>
                <w:sz w:val="21"/>
                <w:szCs w:val="21"/>
                <w:highlight w:val="none"/>
                <w:lang w:val="en-US" w:eastAsia="zh-CN" w:bidi="ar"/>
              </w:rPr>
              <w:t>规范</w:t>
            </w:r>
          </w:p>
        </w:tc>
        <w:tc>
          <w:tcPr>
            <w:tcW w:w="459" w:type="pct"/>
            <w:tcBorders>
              <w:tl2br w:val="nil"/>
              <w:tr2bl w:val="nil"/>
            </w:tcBorders>
            <w:shd w:val="clear" w:color="auto" w:fill="auto"/>
            <w:vAlign w:val="center"/>
          </w:tcPr>
          <w:p w14:paraId="55DEAA1B">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
              </w:rPr>
            </w:pPr>
            <w:r>
              <w:rPr>
                <w:rFonts w:hint="eastAsia" w:ascii="Times New Roman" w:hAnsi="Times New Roman" w:eastAsia="宋体" w:cs="Times New Roman"/>
                <w:bCs/>
                <w:color w:val="auto"/>
                <w:sz w:val="21"/>
                <w:szCs w:val="21"/>
                <w:highlight w:val="none"/>
                <w:lang w:val="en-US" w:eastAsia="zh-CN" w:bidi="ar"/>
              </w:rPr>
              <w:t>4.00</w:t>
            </w:r>
          </w:p>
        </w:tc>
        <w:tc>
          <w:tcPr>
            <w:tcW w:w="402" w:type="pct"/>
            <w:tcBorders>
              <w:tl2br w:val="nil"/>
              <w:tr2bl w:val="nil"/>
            </w:tcBorders>
            <w:shd w:val="clear" w:color="auto" w:fill="auto"/>
            <w:vAlign w:val="center"/>
          </w:tcPr>
          <w:p w14:paraId="4C4B1DC8">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
              </w:rPr>
            </w:pPr>
            <w:r>
              <w:rPr>
                <w:rFonts w:hint="default" w:ascii="Times New Roman" w:hAnsi="Times New Roman" w:eastAsia="宋体" w:cs="Times New Roman"/>
                <w:bCs w:val="0"/>
                <w:color w:val="auto"/>
                <w:kern w:val="2"/>
                <w:highlight w:val="none"/>
              </w:rPr>
              <w:t>4.00</w:t>
            </w:r>
            <w:r>
              <w:rPr>
                <w:rFonts w:hint="default" w:ascii="Times New Roman" w:hAnsi="Times New Roman" w:eastAsia="宋体" w:cs="Times New Roman"/>
                <w:bCs/>
                <w:color w:val="auto"/>
                <w:sz w:val="21"/>
                <w:szCs w:val="21"/>
                <w:highlight w:val="none"/>
                <w:lang w:val="en-US" w:eastAsia="zh-CN" w:bidi="ar"/>
              </w:rPr>
              <w:t xml:space="preserve"> </w:t>
            </w:r>
          </w:p>
        </w:tc>
        <w:tc>
          <w:tcPr>
            <w:tcW w:w="539" w:type="pct"/>
            <w:tcBorders>
              <w:tl2br w:val="nil"/>
              <w:tr2bl w:val="nil"/>
            </w:tcBorders>
            <w:shd w:val="clear" w:color="auto" w:fill="auto"/>
            <w:vAlign w:val="center"/>
          </w:tcPr>
          <w:p w14:paraId="4B2054CB">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
              </w:rPr>
            </w:pPr>
            <w:r>
              <w:rPr>
                <w:rFonts w:hint="default" w:ascii="Times New Roman" w:hAnsi="Times New Roman" w:eastAsia="宋体" w:cs="Times New Roman"/>
                <w:bCs/>
                <w:color w:val="auto"/>
                <w:sz w:val="21"/>
                <w:szCs w:val="21"/>
                <w:highlight w:val="none"/>
                <w:lang w:val="en-US" w:eastAsia="zh-CN" w:bidi="ar"/>
              </w:rPr>
              <w:t>100.00%</w:t>
            </w:r>
          </w:p>
        </w:tc>
      </w:tr>
      <w:tr w14:paraId="4F70C4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397" w:hRule="atLeast"/>
        </w:trPr>
        <w:tc>
          <w:tcPr>
            <w:tcW w:w="420" w:type="pct"/>
            <w:vMerge w:val="continue"/>
            <w:tcBorders>
              <w:tl2br w:val="nil"/>
              <w:tr2bl w:val="nil"/>
            </w:tcBorders>
            <w:shd w:val="clear" w:color="auto" w:fill="auto"/>
            <w:vAlign w:val="center"/>
          </w:tcPr>
          <w:p w14:paraId="4E7DB68D">
            <w:pPr>
              <w:widowControl/>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bidi="ar"/>
              </w:rPr>
            </w:pPr>
          </w:p>
        </w:tc>
        <w:tc>
          <w:tcPr>
            <w:tcW w:w="492" w:type="pct"/>
            <w:vMerge w:val="continue"/>
            <w:vAlign w:val="center"/>
          </w:tcPr>
          <w:p w14:paraId="46594940">
            <w:pPr>
              <w:widowControl/>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bidi="ar"/>
              </w:rPr>
            </w:pPr>
          </w:p>
        </w:tc>
        <w:tc>
          <w:tcPr>
            <w:tcW w:w="1487" w:type="pct"/>
            <w:tcBorders>
              <w:tl2br w:val="nil"/>
              <w:tr2bl w:val="nil"/>
            </w:tcBorders>
            <w:shd w:val="clear" w:color="auto" w:fill="auto"/>
            <w:vAlign w:val="center"/>
          </w:tcPr>
          <w:p w14:paraId="40629097">
            <w:pPr>
              <w:widowControl/>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bidi="ar"/>
              </w:rPr>
            </w:pPr>
            <w:r>
              <w:rPr>
                <w:rFonts w:hint="eastAsia" w:ascii="Times New Roman" w:hAnsi="Times New Roman" w:eastAsia="宋体" w:cs="Times New Roman"/>
                <w:bCs/>
                <w:color w:val="auto"/>
                <w:sz w:val="21"/>
                <w:szCs w:val="21"/>
                <w:highlight w:val="none"/>
                <w:lang w:val="en-US" w:eastAsia="zh-CN" w:bidi="ar"/>
              </w:rPr>
              <w:t>B42固定资产利用率</w:t>
            </w:r>
          </w:p>
        </w:tc>
        <w:tc>
          <w:tcPr>
            <w:tcW w:w="587" w:type="pct"/>
            <w:tcBorders>
              <w:tl2br w:val="nil"/>
              <w:tr2bl w:val="nil"/>
            </w:tcBorders>
            <w:shd w:val="clear" w:color="auto" w:fill="auto"/>
            <w:vAlign w:val="center"/>
          </w:tcPr>
          <w:p w14:paraId="7D4ECE2F">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
              </w:rPr>
            </w:pPr>
            <w:r>
              <w:rPr>
                <w:rFonts w:hint="eastAsia" w:ascii="Times New Roman" w:hAnsi="Times New Roman" w:eastAsia="宋体" w:cs="Times New Roman"/>
                <w:bCs/>
                <w:color w:val="auto"/>
                <w:sz w:val="21"/>
                <w:szCs w:val="21"/>
                <w:highlight w:val="none"/>
                <w:lang w:val="en-US" w:eastAsia="zh-CN" w:bidi="ar"/>
              </w:rPr>
              <w:t>≥95.00%</w:t>
            </w:r>
          </w:p>
        </w:tc>
        <w:tc>
          <w:tcPr>
            <w:tcW w:w="610" w:type="pct"/>
            <w:tcBorders>
              <w:tl2br w:val="nil"/>
              <w:tr2bl w:val="nil"/>
            </w:tcBorders>
            <w:shd w:val="clear" w:color="auto" w:fill="auto"/>
            <w:vAlign w:val="center"/>
          </w:tcPr>
          <w:p w14:paraId="1E7B759B">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eastAsia" w:ascii="Times New Roman" w:hAnsi="Times New Roman" w:eastAsia="宋体" w:cs="Times New Roman"/>
                <w:bCs/>
                <w:color w:val="auto"/>
                <w:sz w:val="21"/>
                <w:szCs w:val="21"/>
                <w:highlight w:val="none"/>
                <w:lang w:val="en-US" w:eastAsia="zh-CN" w:bidi="ar"/>
              </w:rPr>
              <w:t>100.00%</w:t>
            </w:r>
          </w:p>
        </w:tc>
        <w:tc>
          <w:tcPr>
            <w:tcW w:w="459" w:type="pct"/>
            <w:tcBorders>
              <w:tl2br w:val="nil"/>
              <w:tr2bl w:val="nil"/>
            </w:tcBorders>
            <w:shd w:val="clear" w:color="auto" w:fill="auto"/>
            <w:vAlign w:val="center"/>
          </w:tcPr>
          <w:p w14:paraId="00F8B184">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
              </w:rPr>
            </w:pPr>
            <w:r>
              <w:rPr>
                <w:rFonts w:hint="eastAsia" w:ascii="Times New Roman" w:hAnsi="Times New Roman" w:eastAsia="宋体" w:cs="Times New Roman"/>
                <w:bCs/>
                <w:color w:val="auto"/>
                <w:sz w:val="21"/>
                <w:szCs w:val="21"/>
                <w:highlight w:val="none"/>
                <w:lang w:val="en-US" w:eastAsia="zh-CN" w:bidi="ar"/>
              </w:rPr>
              <w:t>2.00</w:t>
            </w:r>
          </w:p>
        </w:tc>
        <w:tc>
          <w:tcPr>
            <w:tcW w:w="402" w:type="pct"/>
            <w:tcBorders>
              <w:tl2br w:val="nil"/>
              <w:tr2bl w:val="nil"/>
            </w:tcBorders>
            <w:shd w:val="clear" w:color="auto" w:fill="auto"/>
            <w:vAlign w:val="center"/>
          </w:tcPr>
          <w:p w14:paraId="62F72E59">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
              </w:rPr>
            </w:pPr>
            <w:r>
              <w:rPr>
                <w:rFonts w:hint="default" w:ascii="Times New Roman" w:hAnsi="Times New Roman" w:eastAsia="宋体" w:cs="Times New Roman"/>
                <w:bCs/>
                <w:color w:val="auto"/>
                <w:sz w:val="21"/>
                <w:szCs w:val="21"/>
                <w:highlight w:val="none"/>
                <w:lang w:val="en-US" w:eastAsia="zh-CN" w:bidi="ar"/>
              </w:rPr>
              <w:t xml:space="preserve">2.00 </w:t>
            </w:r>
          </w:p>
        </w:tc>
        <w:tc>
          <w:tcPr>
            <w:tcW w:w="539" w:type="pct"/>
            <w:tcBorders>
              <w:tl2br w:val="nil"/>
              <w:tr2bl w:val="nil"/>
            </w:tcBorders>
            <w:shd w:val="clear" w:color="auto" w:fill="auto"/>
            <w:vAlign w:val="center"/>
          </w:tcPr>
          <w:p w14:paraId="52895F20">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
              </w:rPr>
            </w:pPr>
            <w:r>
              <w:rPr>
                <w:rFonts w:hint="default" w:ascii="Times New Roman" w:hAnsi="Times New Roman" w:eastAsia="宋体" w:cs="Times New Roman"/>
                <w:bCs/>
                <w:color w:val="auto"/>
                <w:sz w:val="21"/>
                <w:szCs w:val="21"/>
                <w:highlight w:val="none"/>
                <w:lang w:val="en-US" w:eastAsia="zh-CN" w:bidi="ar"/>
              </w:rPr>
              <w:t>100.00%</w:t>
            </w:r>
          </w:p>
        </w:tc>
      </w:tr>
      <w:tr w14:paraId="610329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397" w:hRule="atLeast"/>
        </w:trPr>
        <w:tc>
          <w:tcPr>
            <w:tcW w:w="420" w:type="pct"/>
            <w:vMerge w:val="continue"/>
            <w:tcBorders>
              <w:tl2br w:val="nil"/>
              <w:tr2bl w:val="nil"/>
            </w:tcBorders>
            <w:shd w:val="clear" w:color="auto" w:fill="auto"/>
            <w:vAlign w:val="center"/>
          </w:tcPr>
          <w:p w14:paraId="49C5E187">
            <w:pPr>
              <w:widowControl/>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bidi="ar"/>
              </w:rPr>
            </w:pPr>
          </w:p>
        </w:tc>
        <w:tc>
          <w:tcPr>
            <w:tcW w:w="492" w:type="pct"/>
            <w:vMerge w:val="restart"/>
            <w:vAlign w:val="center"/>
          </w:tcPr>
          <w:p w14:paraId="0CFC1FE6">
            <w:pPr>
              <w:widowControl/>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bidi="ar"/>
              </w:rPr>
            </w:pPr>
            <w:r>
              <w:rPr>
                <w:rFonts w:hint="eastAsia" w:ascii="Times New Roman" w:hAnsi="Times New Roman" w:eastAsia="宋体" w:cs="Times New Roman"/>
                <w:bCs/>
                <w:color w:val="auto"/>
                <w:sz w:val="21"/>
                <w:szCs w:val="21"/>
                <w:highlight w:val="none"/>
                <w:lang w:val="en-US" w:eastAsia="zh-CN" w:bidi="ar"/>
              </w:rPr>
              <w:t>B5项目管理</w:t>
            </w:r>
          </w:p>
        </w:tc>
        <w:tc>
          <w:tcPr>
            <w:tcW w:w="1487" w:type="pct"/>
            <w:tcBorders>
              <w:tl2br w:val="nil"/>
              <w:tr2bl w:val="nil"/>
            </w:tcBorders>
            <w:shd w:val="clear" w:color="auto" w:fill="auto"/>
            <w:vAlign w:val="center"/>
          </w:tcPr>
          <w:p w14:paraId="15929647">
            <w:pPr>
              <w:widowControl/>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bidi="ar"/>
              </w:rPr>
            </w:pPr>
            <w:r>
              <w:rPr>
                <w:rFonts w:hint="eastAsia" w:ascii="Times New Roman" w:hAnsi="Times New Roman" w:eastAsia="宋体" w:cs="Times New Roman"/>
                <w:bCs/>
                <w:color w:val="auto"/>
                <w:sz w:val="21"/>
                <w:szCs w:val="21"/>
                <w:highlight w:val="none"/>
                <w:lang w:val="en-US" w:eastAsia="zh-CN" w:bidi="ar"/>
              </w:rPr>
              <w:t>B51</w:t>
            </w:r>
            <w:r>
              <w:rPr>
                <w:rFonts w:hint="eastAsia" w:ascii="Times New Roman" w:hAnsi="Times New Roman" w:eastAsia="宋体" w:cs="Times New Roman"/>
                <w:b w:val="0"/>
                <w:bCs w:val="0"/>
                <w:color w:val="auto"/>
                <w:sz w:val="21"/>
                <w:szCs w:val="21"/>
                <w:highlight w:val="none"/>
                <w:lang w:val="en-US" w:eastAsia="zh-CN"/>
              </w:rPr>
              <w:t>项目绩效达标率</w:t>
            </w:r>
          </w:p>
        </w:tc>
        <w:tc>
          <w:tcPr>
            <w:tcW w:w="587" w:type="pct"/>
            <w:tcBorders>
              <w:tl2br w:val="nil"/>
              <w:tr2bl w:val="nil"/>
            </w:tcBorders>
            <w:shd w:val="clear" w:color="auto" w:fill="auto"/>
            <w:vAlign w:val="center"/>
          </w:tcPr>
          <w:p w14:paraId="40B99329">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
              </w:rPr>
            </w:pPr>
            <w:r>
              <w:rPr>
                <w:rFonts w:hint="eastAsia" w:ascii="Times New Roman" w:hAnsi="Times New Roman" w:eastAsia="宋体" w:cs="Times New Roman"/>
                <w:bCs/>
                <w:color w:val="auto"/>
                <w:sz w:val="21"/>
                <w:szCs w:val="21"/>
                <w:highlight w:val="none"/>
                <w:lang w:val="en-US" w:eastAsia="zh-CN" w:bidi="ar"/>
              </w:rPr>
              <w:t>100.00%</w:t>
            </w:r>
          </w:p>
        </w:tc>
        <w:tc>
          <w:tcPr>
            <w:tcW w:w="610" w:type="pct"/>
            <w:tcBorders>
              <w:tl2br w:val="nil"/>
              <w:tr2bl w:val="nil"/>
            </w:tcBorders>
            <w:shd w:val="clear" w:color="auto" w:fill="auto"/>
            <w:vAlign w:val="center"/>
          </w:tcPr>
          <w:p w14:paraId="69D33B3B">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eastAsia" w:ascii="Times New Roman" w:hAnsi="Times New Roman" w:eastAsia="宋体" w:cs="Times New Roman"/>
                <w:bCs/>
                <w:color w:val="auto"/>
                <w:sz w:val="21"/>
                <w:szCs w:val="21"/>
                <w:highlight w:val="none"/>
                <w:lang w:val="en-US" w:eastAsia="zh-CN" w:bidi="ar"/>
              </w:rPr>
              <w:t>100.00%</w:t>
            </w:r>
          </w:p>
        </w:tc>
        <w:tc>
          <w:tcPr>
            <w:tcW w:w="459" w:type="pct"/>
            <w:tcBorders>
              <w:tl2br w:val="nil"/>
              <w:tr2bl w:val="nil"/>
            </w:tcBorders>
            <w:shd w:val="clear" w:color="auto" w:fill="auto"/>
            <w:vAlign w:val="center"/>
          </w:tcPr>
          <w:p w14:paraId="3835888C">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
              </w:rPr>
            </w:pPr>
            <w:r>
              <w:rPr>
                <w:rFonts w:hint="eastAsia" w:ascii="Times New Roman" w:hAnsi="Times New Roman" w:eastAsia="宋体" w:cs="Times New Roman"/>
                <w:bCs/>
                <w:color w:val="auto"/>
                <w:sz w:val="21"/>
                <w:szCs w:val="21"/>
                <w:highlight w:val="none"/>
                <w:lang w:val="en-US" w:eastAsia="zh-CN" w:bidi="ar"/>
              </w:rPr>
              <w:t>2.00</w:t>
            </w:r>
          </w:p>
        </w:tc>
        <w:tc>
          <w:tcPr>
            <w:tcW w:w="402" w:type="pct"/>
            <w:tcBorders>
              <w:tl2br w:val="nil"/>
              <w:tr2bl w:val="nil"/>
            </w:tcBorders>
            <w:shd w:val="clear" w:color="auto" w:fill="auto"/>
            <w:vAlign w:val="center"/>
          </w:tcPr>
          <w:p w14:paraId="41D8F000">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
              </w:rPr>
            </w:pPr>
            <w:r>
              <w:rPr>
                <w:rFonts w:hint="default" w:ascii="Times New Roman" w:hAnsi="Times New Roman" w:eastAsia="宋体" w:cs="Times New Roman"/>
                <w:bCs/>
                <w:color w:val="auto"/>
                <w:sz w:val="21"/>
                <w:szCs w:val="21"/>
                <w:highlight w:val="none"/>
                <w:lang w:val="en-US" w:eastAsia="zh-CN" w:bidi="ar"/>
              </w:rPr>
              <w:t xml:space="preserve">2.00 </w:t>
            </w:r>
          </w:p>
        </w:tc>
        <w:tc>
          <w:tcPr>
            <w:tcW w:w="539" w:type="pct"/>
            <w:tcBorders>
              <w:tl2br w:val="nil"/>
              <w:tr2bl w:val="nil"/>
            </w:tcBorders>
            <w:shd w:val="clear" w:color="auto" w:fill="auto"/>
            <w:vAlign w:val="center"/>
          </w:tcPr>
          <w:p w14:paraId="1783B855">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
              </w:rPr>
            </w:pPr>
            <w:r>
              <w:rPr>
                <w:rFonts w:hint="default" w:ascii="Times New Roman" w:hAnsi="Times New Roman" w:eastAsia="宋体" w:cs="Times New Roman"/>
                <w:bCs/>
                <w:color w:val="auto"/>
                <w:sz w:val="21"/>
                <w:szCs w:val="21"/>
                <w:highlight w:val="none"/>
                <w:lang w:val="en-US" w:eastAsia="zh-CN" w:bidi="ar"/>
              </w:rPr>
              <w:t>100.00%</w:t>
            </w:r>
          </w:p>
        </w:tc>
      </w:tr>
      <w:tr w14:paraId="349459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397" w:hRule="atLeast"/>
        </w:trPr>
        <w:tc>
          <w:tcPr>
            <w:tcW w:w="420" w:type="pct"/>
            <w:vMerge w:val="continue"/>
            <w:tcBorders>
              <w:tl2br w:val="nil"/>
              <w:tr2bl w:val="nil"/>
            </w:tcBorders>
            <w:shd w:val="clear" w:color="auto" w:fill="auto"/>
            <w:vAlign w:val="center"/>
          </w:tcPr>
          <w:p w14:paraId="73AC6ED3">
            <w:pPr>
              <w:widowControl/>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bidi="ar"/>
              </w:rPr>
            </w:pPr>
          </w:p>
        </w:tc>
        <w:tc>
          <w:tcPr>
            <w:tcW w:w="492" w:type="pct"/>
            <w:vMerge w:val="continue"/>
            <w:vAlign w:val="center"/>
          </w:tcPr>
          <w:p w14:paraId="7E0C5E56">
            <w:pPr>
              <w:widowControl/>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bidi="ar"/>
              </w:rPr>
            </w:pPr>
          </w:p>
        </w:tc>
        <w:tc>
          <w:tcPr>
            <w:tcW w:w="1487" w:type="pct"/>
            <w:tcBorders>
              <w:tl2br w:val="nil"/>
              <w:tr2bl w:val="nil"/>
            </w:tcBorders>
            <w:shd w:val="clear" w:color="auto" w:fill="auto"/>
            <w:vAlign w:val="center"/>
          </w:tcPr>
          <w:p w14:paraId="11D5A31D">
            <w:pPr>
              <w:widowControl/>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bidi="ar"/>
              </w:rPr>
            </w:pPr>
            <w:r>
              <w:rPr>
                <w:rFonts w:hint="eastAsia" w:ascii="Times New Roman" w:hAnsi="Times New Roman" w:eastAsia="宋体" w:cs="Times New Roman"/>
                <w:bCs/>
                <w:color w:val="auto"/>
                <w:sz w:val="21"/>
                <w:szCs w:val="21"/>
                <w:highlight w:val="none"/>
                <w:lang w:val="en-US" w:eastAsia="zh-CN" w:bidi="ar"/>
              </w:rPr>
              <w:t>B52项目支出预算调整率</w:t>
            </w:r>
          </w:p>
        </w:tc>
        <w:tc>
          <w:tcPr>
            <w:tcW w:w="587" w:type="pct"/>
            <w:tcBorders>
              <w:tl2br w:val="nil"/>
              <w:tr2bl w:val="nil"/>
            </w:tcBorders>
            <w:shd w:val="clear" w:color="auto" w:fill="auto"/>
            <w:vAlign w:val="center"/>
          </w:tcPr>
          <w:p w14:paraId="7B970E87">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
              </w:rPr>
            </w:pPr>
            <w:r>
              <w:rPr>
                <w:rFonts w:hint="eastAsia" w:ascii="Times New Roman" w:hAnsi="Times New Roman" w:eastAsia="宋体" w:cs="Times New Roman"/>
                <w:bCs/>
                <w:color w:val="auto"/>
                <w:sz w:val="21"/>
                <w:szCs w:val="21"/>
                <w:highlight w:val="none"/>
                <w:lang w:val="en-US" w:eastAsia="zh-CN" w:bidi="ar"/>
              </w:rPr>
              <w:t>±10.00%以内</w:t>
            </w:r>
          </w:p>
        </w:tc>
        <w:tc>
          <w:tcPr>
            <w:tcW w:w="610" w:type="pct"/>
            <w:tcBorders>
              <w:tl2br w:val="nil"/>
              <w:tr2bl w:val="nil"/>
            </w:tcBorders>
            <w:shd w:val="clear" w:color="auto" w:fill="auto"/>
            <w:vAlign w:val="center"/>
          </w:tcPr>
          <w:p w14:paraId="163C1211">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eastAsia" w:ascii="Times New Roman" w:hAnsi="Times New Roman" w:eastAsia="宋体" w:cs="Times New Roman"/>
                <w:bCs/>
                <w:color w:val="auto"/>
                <w:sz w:val="21"/>
                <w:szCs w:val="21"/>
                <w:highlight w:val="none"/>
                <w:lang w:val="en-US" w:eastAsia="zh-CN" w:bidi="ar"/>
              </w:rPr>
              <w:t>84,214.52%</w:t>
            </w:r>
          </w:p>
        </w:tc>
        <w:tc>
          <w:tcPr>
            <w:tcW w:w="459" w:type="pct"/>
            <w:tcBorders>
              <w:tl2br w:val="nil"/>
              <w:tr2bl w:val="nil"/>
            </w:tcBorders>
            <w:shd w:val="clear" w:color="auto" w:fill="auto"/>
            <w:vAlign w:val="center"/>
          </w:tcPr>
          <w:p w14:paraId="49C82614">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
              </w:rPr>
            </w:pPr>
            <w:r>
              <w:rPr>
                <w:rFonts w:hint="eastAsia" w:ascii="Times New Roman" w:hAnsi="Times New Roman" w:eastAsia="宋体" w:cs="Times New Roman"/>
                <w:bCs/>
                <w:color w:val="auto"/>
                <w:sz w:val="21"/>
                <w:szCs w:val="21"/>
                <w:highlight w:val="none"/>
                <w:lang w:val="en-US" w:eastAsia="zh-CN" w:bidi="ar"/>
              </w:rPr>
              <w:t>3.00</w:t>
            </w:r>
          </w:p>
        </w:tc>
        <w:tc>
          <w:tcPr>
            <w:tcW w:w="402" w:type="pct"/>
            <w:tcBorders>
              <w:tl2br w:val="nil"/>
              <w:tr2bl w:val="nil"/>
            </w:tcBorders>
            <w:shd w:val="clear" w:color="auto" w:fill="auto"/>
            <w:vAlign w:val="center"/>
          </w:tcPr>
          <w:p w14:paraId="52B10990">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
              </w:rPr>
            </w:pPr>
            <w:r>
              <w:rPr>
                <w:rFonts w:hint="default" w:ascii="Times New Roman" w:hAnsi="Times New Roman" w:eastAsia="宋体" w:cs="Times New Roman"/>
                <w:bCs/>
                <w:color w:val="auto"/>
                <w:sz w:val="21"/>
                <w:szCs w:val="21"/>
                <w:highlight w:val="none"/>
                <w:lang w:val="en-US" w:eastAsia="zh-CN" w:bidi="ar"/>
              </w:rPr>
              <w:t xml:space="preserve">0.00 </w:t>
            </w:r>
          </w:p>
        </w:tc>
        <w:tc>
          <w:tcPr>
            <w:tcW w:w="539" w:type="pct"/>
            <w:tcBorders>
              <w:tl2br w:val="nil"/>
              <w:tr2bl w:val="nil"/>
            </w:tcBorders>
            <w:shd w:val="clear" w:color="auto" w:fill="auto"/>
            <w:vAlign w:val="center"/>
          </w:tcPr>
          <w:p w14:paraId="204C19F5">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
              </w:rPr>
            </w:pPr>
            <w:r>
              <w:rPr>
                <w:rFonts w:hint="default" w:ascii="Times New Roman" w:hAnsi="Times New Roman" w:eastAsia="宋体" w:cs="Times New Roman"/>
                <w:bCs/>
                <w:color w:val="auto"/>
                <w:sz w:val="21"/>
                <w:szCs w:val="21"/>
                <w:highlight w:val="none"/>
                <w:lang w:val="en-US" w:eastAsia="zh-CN" w:bidi="ar"/>
              </w:rPr>
              <w:t>0.00%</w:t>
            </w:r>
          </w:p>
        </w:tc>
      </w:tr>
      <w:tr w14:paraId="7DFC19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397" w:hRule="atLeast"/>
        </w:trPr>
        <w:tc>
          <w:tcPr>
            <w:tcW w:w="2400" w:type="pct"/>
            <w:gridSpan w:val="3"/>
            <w:tcBorders>
              <w:tl2br w:val="nil"/>
              <w:tr2bl w:val="nil"/>
            </w:tcBorders>
            <w:shd w:val="clear" w:color="auto" w:fill="auto"/>
            <w:vAlign w:val="center"/>
          </w:tcPr>
          <w:p w14:paraId="01DBA92B">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
              </w:rPr>
            </w:pPr>
            <w:r>
              <w:rPr>
                <w:rFonts w:hint="eastAsia" w:ascii="Times New Roman" w:hAnsi="Times New Roman" w:eastAsia="宋体" w:cs="Times New Roman"/>
                <w:b/>
                <w:color w:val="auto"/>
                <w:sz w:val="21"/>
                <w:szCs w:val="21"/>
                <w:highlight w:val="none"/>
                <w:lang w:val="en-US" w:eastAsia="zh-CN" w:bidi="ar"/>
              </w:rPr>
              <w:t>合计</w:t>
            </w:r>
          </w:p>
        </w:tc>
        <w:tc>
          <w:tcPr>
            <w:tcW w:w="587" w:type="pct"/>
            <w:tcBorders>
              <w:tl2br w:val="nil"/>
              <w:tr2bl w:val="nil"/>
            </w:tcBorders>
            <w:shd w:val="clear" w:color="auto" w:fill="auto"/>
            <w:vAlign w:val="center"/>
          </w:tcPr>
          <w:p w14:paraId="093C80C1">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
              </w:rPr>
            </w:pPr>
          </w:p>
        </w:tc>
        <w:tc>
          <w:tcPr>
            <w:tcW w:w="610" w:type="pct"/>
            <w:tcBorders>
              <w:tl2br w:val="nil"/>
              <w:tr2bl w:val="nil"/>
            </w:tcBorders>
            <w:shd w:val="clear" w:color="auto" w:fill="auto"/>
            <w:vAlign w:val="center"/>
          </w:tcPr>
          <w:p w14:paraId="2729DA4E">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p>
        </w:tc>
        <w:tc>
          <w:tcPr>
            <w:tcW w:w="459" w:type="pct"/>
            <w:tcBorders>
              <w:tl2br w:val="nil"/>
              <w:tr2bl w:val="nil"/>
            </w:tcBorders>
            <w:shd w:val="clear" w:color="auto" w:fill="auto"/>
            <w:vAlign w:val="center"/>
          </w:tcPr>
          <w:p w14:paraId="540D1E6C">
            <w:pPr>
              <w:widowControl/>
              <w:spacing w:line="240" w:lineRule="auto"/>
              <w:ind w:firstLine="0" w:firstLineChars="0"/>
              <w:jc w:val="center"/>
              <w:textAlignment w:val="center"/>
              <w:rPr>
                <w:rFonts w:hint="eastAsia" w:ascii="Times New Roman" w:hAnsi="Times New Roman" w:eastAsia="宋体" w:cs="Times New Roman"/>
                <w:b/>
                <w:bCs w:val="0"/>
                <w:color w:val="auto"/>
                <w:sz w:val="21"/>
                <w:szCs w:val="21"/>
                <w:highlight w:val="none"/>
                <w:lang w:val="en-US" w:eastAsia="zh-CN" w:bidi="ar"/>
              </w:rPr>
            </w:pPr>
            <w:r>
              <w:rPr>
                <w:rFonts w:hint="eastAsia" w:ascii="Times New Roman" w:hAnsi="Times New Roman" w:eastAsia="宋体" w:cs="Times New Roman"/>
                <w:b/>
                <w:bCs w:val="0"/>
                <w:color w:val="auto"/>
                <w:sz w:val="21"/>
                <w:szCs w:val="21"/>
                <w:highlight w:val="none"/>
                <w:lang w:val="en-US" w:eastAsia="zh-CN" w:bidi="ar"/>
              </w:rPr>
              <w:t>25.00</w:t>
            </w:r>
          </w:p>
        </w:tc>
        <w:tc>
          <w:tcPr>
            <w:tcW w:w="677" w:type="dxa"/>
            <w:tcBorders>
              <w:tl2br w:val="nil"/>
              <w:tr2bl w:val="nil"/>
            </w:tcBorders>
            <w:shd w:val="clear" w:color="auto" w:fill="auto"/>
            <w:vAlign w:val="center"/>
          </w:tcPr>
          <w:p w14:paraId="7CB045B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val="0"/>
                <w:color w:val="auto"/>
                <w:sz w:val="21"/>
                <w:szCs w:val="21"/>
                <w:highlight w:val="none"/>
                <w:lang w:val="en-US" w:eastAsia="zh-CN" w:bidi="ar"/>
              </w:rPr>
            </w:pPr>
            <w:r>
              <w:rPr>
                <w:rFonts w:hint="eastAsia" w:ascii="Times New Roman" w:hAnsi="Times New Roman" w:eastAsia="宋体" w:cs="Times New Roman"/>
                <w:b/>
                <w:bCs w:val="0"/>
                <w:i w:val="0"/>
                <w:iCs w:val="0"/>
                <w:color w:val="auto"/>
                <w:kern w:val="0"/>
                <w:sz w:val="21"/>
                <w:szCs w:val="21"/>
                <w:highlight w:val="none"/>
                <w:u w:val="none"/>
                <w:lang w:val="en-US" w:eastAsia="zh-CN" w:bidi="ar"/>
              </w:rPr>
              <w:t>21.00</w:t>
            </w:r>
          </w:p>
        </w:tc>
        <w:tc>
          <w:tcPr>
            <w:tcW w:w="908" w:type="dxa"/>
            <w:tcBorders>
              <w:tl2br w:val="nil"/>
              <w:tr2bl w:val="nil"/>
            </w:tcBorders>
            <w:shd w:val="clear" w:color="auto" w:fill="auto"/>
            <w:vAlign w:val="center"/>
          </w:tcPr>
          <w:p w14:paraId="5635D10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val="0"/>
                <w:color w:val="auto"/>
                <w:sz w:val="21"/>
                <w:szCs w:val="21"/>
                <w:highlight w:val="none"/>
                <w:lang w:val="en-US" w:eastAsia="zh-CN" w:bidi="ar"/>
              </w:rPr>
            </w:pPr>
            <w:r>
              <w:rPr>
                <w:rFonts w:hint="eastAsia" w:ascii="Times New Roman" w:hAnsi="Times New Roman" w:eastAsia="宋体" w:cs="Times New Roman"/>
                <w:b/>
                <w:i w:val="0"/>
                <w:iCs w:val="0"/>
                <w:color w:val="auto"/>
                <w:kern w:val="0"/>
                <w:sz w:val="21"/>
                <w:szCs w:val="21"/>
                <w:highlight w:val="none"/>
                <w:u w:val="none"/>
                <w:lang w:val="en-US" w:eastAsia="zh-CN" w:bidi="ar"/>
              </w:rPr>
              <w:t>84.00%</w:t>
            </w:r>
          </w:p>
        </w:tc>
      </w:tr>
    </w:tbl>
    <w:p w14:paraId="664EADA0">
      <w:pPr>
        <w:ind w:firstLine="640"/>
        <w:rPr>
          <w:rFonts w:hint="default" w:ascii="Times New Roman" w:hAnsi="Times New Roman" w:eastAsia="宋体" w:cs="Times New Roman"/>
          <w:bCs/>
          <w:color w:val="auto"/>
          <w:highlight w:val="none"/>
        </w:rPr>
      </w:pPr>
    </w:p>
    <w:p w14:paraId="2EAEE71E">
      <w:pPr>
        <w:ind w:firstLine="643"/>
        <w:rPr>
          <w:rFonts w:hint="default" w:ascii="Times New Roman" w:hAnsi="Times New Roman" w:eastAsia="宋体" w:cs="Times New Roman"/>
          <w:b/>
          <w:color w:val="auto"/>
          <w:highlight w:val="none"/>
        </w:rPr>
      </w:pPr>
      <w:r>
        <w:rPr>
          <w:rFonts w:hint="default" w:ascii="Times New Roman" w:hAnsi="Times New Roman" w:eastAsia="宋体" w:cs="Times New Roman"/>
          <w:b/>
          <w:color w:val="auto"/>
          <w:highlight w:val="none"/>
        </w:rPr>
        <w:t>指标得分分析：</w:t>
      </w:r>
    </w:p>
    <w:p w14:paraId="180C6CC2">
      <w:pPr>
        <w:ind w:firstLine="640"/>
        <w:rPr>
          <w:rFonts w:hint="default" w:ascii="Times New Roman" w:hAnsi="Times New Roman" w:eastAsia="宋体" w:cs="Times New Roman"/>
          <w:b/>
          <w:color w:val="auto"/>
          <w:highlight w:val="none"/>
        </w:rPr>
      </w:pPr>
      <w:r>
        <w:rPr>
          <w:rFonts w:hint="default" w:ascii="Times New Roman" w:hAnsi="Times New Roman" w:eastAsia="宋体" w:cs="Times New Roman"/>
          <w:b/>
          <w:color w:val="auto"/>
          <w:highlight w:val="none"/>
        </w:rPr>
        <w:t>（1）B11内部控制制度健全性指标：</w:t>
      </w:r>
    </w:p>
    <w:p w14:paraId="4D42BDBD">
      <w:pPr>
        <w:ind w:firstLine="640"/>
        <w:rPr>
          <w:rFonts w:hint="eastAsia" w:ascii="Times New Roman" w:hAnsi="Times New Roman" w:eastAsia="宋体" w:cs="Times New Roman"/>
          <w:bCs/>
          <w:color w:val="auto"/>
          <w:highlight w:val="none"/>
        </w:rPr>
      </w:pPr>
      <w:r>
        <w:rPr>
          <w:rFonts w:hint="eastAsia" w:ascii="Times New Roman" w:hAnsi="Times New Roman" w:eastAsia="宋体" w:cs="Times New Roman"/>
          <w:bCs/>
          <w:color w:val="auto"/>
          <w:highlight w:val="none"/>
        </w:rPr>
        <w:t>经查看伊宁县农业技术推广中心提供的内控制度文件显示，单位已根据实际需求建立预算管理、收支业务、政府采购管理、资产管理、建设项目管理、合同管理六大板块相关制度，具体包括：《伊宁县农业技术推广中心财务管理制度》《伊宁县农业技术推广中心收入支出管理制度》《伊宁县农业技术推广中心公差管理制度》《伊宁县农业技术推广中心公务接待管理办法》《伊宁县农业技术推广中心国有资产管理内部控制制度》《伊宁县农业技术推广中心合同管理制度》《伊宁县农业技术推广中心项目建设管理》《伊宁县农业技术推广中心公车管理制度》《伊宁县农业技术推广中心预算管理制度》《伊宁县农业技术推广中心政府采购管理内部控制制度》《伊宁县农业技术推广中心政府采购管理内部控制制度》</w:t>
      </w:r>
      <w:r>
        <w:rPr>
          <w:rFonts w:hint="eastAsia" w:ascii="Times New Roman" w:hAnsi="Times New Roman" w:eastAsia="宋体" w:cs="Times New Roman"/>
          <w:bCs/>
          <w:color w:val="auto"/>
          <w:highlight w:val="none"/>
          <w:lang w:val="en-US" w:eastAsia="zh-CN"/>
        </w:rPr>
        <w:t>等。</w:t>
      </w:r>
      <w:r>
        <w:rPr>
          <w:rFonts w:hint="eastAsia" w:ascii="Times New Roman" w:hAnsi="Times New Roman" w:eastAsia="宋体" w:cs="Times New Roman"/>
          <w:bCs/>
          <w:color w:val="auto"/>
          <w:highlight w:val="none"/>
        </w:rPr>
        <w:t>伊宁县农业技术推广中心已建立较完善的内部控制制度</w:t>
      </w:r>
      <w:r>
        <w:rPr>
          <w:rFonts w:hint="eastAsia" w:ascii="Times New Roman" w:hAnsi="Times New Roman" w:eastAsia="宋体" w:cs="Times New Roman"/>
          <w:bCs/>
          <w:color w:val="auto"/>
          <w:highlight w:val="none"/>
          <w:lang w:eastAsia="zh-CN"/>
        </w:rPr>
        <w:t>，</w:t>
      </w:r>
      <w:r>
        <w:rPr>
          <w:rFonts w:hint="eastAsia" w:ascii="Times New Roman" w:hAnsi="Times New Roman" w:eastAsia="宋体" w:cs="Times New Roman"/>
          <w:bCs/>
          <w:color w:val="auto"/>
          <w:highlight w:val="none"/>
        </w:rPr>
        <w:t>且能保障主要职责和事业发展的需要。</w:t>
      </w:r>
    </w:p>
    <w:p w14:paraId="2720424A">
      <w:pPr>
        <w:ind w:firstLine="640"/>
        <w:rPr>
          <w:rFonts w:hint="default" w:ascii="Times New Roman" w:hAnsi="Times New Roman" w:eastAsia="宋体" w:cs="Times New Roman"/>
          <w:color w:val="auto"/>
          <w:kern w:val="2"/>
          <w:highlight w:val="none"/>
          <w:lang w:eastAsia="zh-CN"/>
        </w:rPr>
      </w:pPr>
      <w:r>
        <w:rPr>
          <w:rFonts w:hint="default" w:ascii="Times New Roman" w:hAnsi="Times New Roman" w:eastAsia="宋体" w:cs="Times New Roman"/>
          <w:bCs w:val="0"/>
          <w:color w:val="auto"/>
          <w:kern w:val="2"/>
          <w:highlight w:val="none"/>
        </w:rPr>
        <w:t>该指标满分为4.00分，根据评分标准得4.00分。</w:t>
      </w:r>
    </w:p>
    <w:p w14:paraId="23E24C54">
      <w:pPr>
        <w:ind w:firstLine="640"/>
        <w:rPr>
          <w:rFonts w:hint="default" w:ascii="Times New Roman" w:hAnsi="Times New Roman" w:eastAsia="宋体" w:cs="Times New Roman"/>
          <w:b/>
          <w:color w:val="auto"/>
          <w:highlight w:val="none"/>
        </w:rPr>
      </w:pPr>
      <w:r>
        <w:rPr>
          <w:rFonts w:hint="default" w:ascii="Times New Roman" w:hAnsi="Times New Roman" w:eastAsia="宋体" w:cs="Times New Roman"/>
          <w:b/>
          <w:color w:val="auto"/>
          <w:highlight w:val="none"/>
        </w:rPr>
        <w:t>（2）B21预算执行率指标：</w:t>
      </w:r>
    </w:p>
    <w:p w14:paraId="19A8C634">
      <w:pPr>
        <w:ind w:firstLine="640"/>
        <w:rPr>
          <w:rFonts w:hint="default" w:ascii="Times New Roman" w:hAnsi="Times New Roman" w:eastAsia="宋体" w:cs="Times New Roman"/>
          <w:bCs w:val="0"/>
          <w:color w:val="auto"/>
          <w:kern w:val="2"/>
          <w:highlight w:val="none"/>
        </w:rPr>
      </w:pPr>
      <w:r>
        <w:rPr>
          <w:rFonts w:hint="eastAsia" w:ascii="Times New Roman" w:hAnsi="Times New Roman" w:eastAsia="宋体" w:cs="Times New Roman"/>
          <w:bCs/>
          <w:color w:val="auto"/>
          <w:highlight w:val="none"/>
        </w:rPr>
        <w:t>根</w:t>
      </w:r>
      <w:r>
        <w:rPr>
          <w:rFonts w:hint="default" w:ascii="Times New Roman" w:hAnsi="Times New Roman" w:eastAsia="宋体" w:cs="Times New Roman"/>
          <w:bCs w:val="0"/>
          <w:color w:val="auto"/>
          <w:kern w:val="2"/>
          <w:highlight w:val="none"/>
        </w:rPr>
        <w:t>据伊宁县农业技术推广中心提供的2024年决算表格数据显示，伊宁县农业技术推广中心2024年年初预算数为577.41万元，全年预算数为1,245.85万元，决算数为1,245.85万元，预算执行率为100.00%。根据评分标准，得满分。</w:t>
      </w:r>
    </w:p>
    <w:p w14:paraId="7BB6251B">
      <w:pPr>
        <w:ind w:firstLine="640"/>
        <w:rPr>
          <w:rFonts w:hint="default" w:ascii="Times New Roman" w:hAnsi="Times New Roman" w:eastAsia="宋体" w:cs="Times New Roman"/>
          <w:color w:val="auto"/>
          <w:kern w:val="2"/>
          <w:highlight w:val="none"/>
          <w:lang w:eastAsia="zh-CN"/>
        </w:rPr>
      </w:pPr>
      <w:r>
        <w:rPr>
          <w:rFonts w:hint="default" w:ascii="Times New Roman" w:hAnsi="Times New Roman" w:eastAsia="宋体" w:cs="Times New Roman"/>
          <w:bCs w:val="0"/>
          <w:color w:val="auto"/>
          <w:kern w:val="2"/>
          <w:highlight w:val="none"/>
        </w:rPr>
        <w:t>该指标满分为3.00分，根据评分标准得3.00分。</w:t>
      </w:r>
    </w:p>
    <w:p w14:paraId="1E594999">
      <w:pPr>
        <w:ind w:firstLine="640"/>
        <w:rPr>
          <w:rFonts w:hint="default" w:ascii="Times New Roman" w:hAnsi="Times New Roman" w:eastAsia="宋体" w:cs="Times New Roman"/>
          <w:b/>
          <w:color w:val="auto"/>
          <w:highlight w:val="none"/>
        </w:rPr>
      </w:pPr>
      <w:r>
        <w:rPr>
          <w:rFonts w:hint="default" w:ascii="Times New Roman" w:hAnsi="Times New Roman" w:eastAsia="宋体" w:cs="Times New Roman"/>
          <w:b/>
          <w:color w:val="auto"/>
          <w:highlight w:val="none"/>
        </w:rPr>
        <w:t>（3）B22预算、决算信息公开指标：</w:t>
      </w:r>
    </w:p>
    <w:p w14:paraId="421187E7">
      <w:pPr>
        <w:ind w:firstLine="640"/>
        <w:rPr>
          <w:rFonts w:hint="default" w:ascii="Times New Roman" w:hAnsi="Times New Roman" w:eastAsia="宋体" w:cs="Times New Roman"/>
          <w:bCs w:val="0"/>
          <w:color w:val="auto"/>
          <w:kern w:val="2"/>
          <w:highlight w:val="none"/>
        </w:rPr>
      </w:pPr>
      <w:r>
        <w:rPr>
          <w:rFonts w:hint="default" w:ascii="Times New Roman" w:hAnsi="Times New Roman" w:eastAsia="宋体" w:cs="Times New Roman"/>
          <w:bCs w:val="0"/>
          <w:color w:val="auto"/>
          <w:kern w:val="2"/>
          <w:highlight w:val="none"/>
        </w:rPr>
        <w:t>①伊宁县财政局于2024年2月18日下达《关于下达2024年部门预算的通知》（伊县财预〔2024〕</w:t>
      </w:r>
      <w:r>
        <w:rPr>
          <w:rFonts w:hint="eastAsia" w:ascii="Times New Roman" w:hAnsi="Times New Roman" w:eastAsia="宋体" w:cs="Times New Roman"/>
          <w:bCs w:val="0"/>
          <w:color w:val="auto"/>
          <w:kern w:val="2"/>
          <w:highlight w:val="none"/>
          <w:lang w:val="en-US" w:eastAsia="zh-CN"/>
        </w:rPr>
        <w:t>3</w:t>
      </w:r>
      <w:r>
        <w:rPr>
          <w:rFonts w:hint="default" w:ascii="Times New Roman" w:hAnsi="Times New Roman" w:eastAsia="宋体" w:cs="Times New Roman"/>
          <w:bCs w:val="0"/>
          <w:color w:val="auto"/>
          <w:kern w:val="2"/>
          <w:highlight w:val="none"/>
        </w:rPr>
        <w:t>号）文件，经查询伊宁县人民政府网站-政务信息公开-信息公开目录—财政信息—财政预算信息公开板块数据显示，伊宁县农业技术推广中心已于2024年3月5日公开2024年部门预算，公开时间在预算批复下达的20日内，公开内容符合《地方预决算公开操作规程》相关规定。</w:t>
      </w:r>
    </w:p>
    <w:p w14:paraId="42E64F81">
      <w:pPr>
        <w:ind w:firstLine="640"/>
        <w:rPr>
          <w:rFonts w:hint="default" w:ascii="Times New Roman" w:hAnsi="Times New Roman" w:eastAsia="宋体" w:cs="Times New Roman"/>
          <w:color w:val="auto"/>
          <w:kern w:val="2"/>
          <w:highlight w:val="none"/>
        </w:rPr>
      </w:pPr>
      <w:r>
        <w:rPr>
          <w:rFonts w:hint="default" w:ascii="Times New Roman" w:hAnsi="Times New Roman" w:eastAsia="宋体" w:cs="Times New Roman"/>
          <w:color w:val="auto"/>
          <w:kern w:val="2"/>
          <w:highlight w:val="none"/>
        </w:rPr>
        <w:t>②2024年部门决算尚未到公开时间，不在本次评价范围之内。</w:t>
      </w:r>
    </w:p>
    <w:p w14:paraId="54792D88">
      <w:pPr>
        <w:ind w:firstLine="640"/>
        <w:rPr>
          <w:rFonts w:hint="default" w:ascii="Times New Roman" w:hAnsi="Times New Roman" w:eastAsia="宋体" w:cs="Times New Roman"/>
          <w:color w:val="auto"/>
          <w:kern w:val="2"/>
          <w:highlight w:val="none"/>
          <w:lang w:eastAsia="zh-CN"/>
        </w:rPr>
      </w:pPr>
      <w:r>
        <w:rPr>
          <w:rFonts w:hint="default" w:ascii="Times New Roman" w:hAnsi="Times New Roman" w:eastAsia="宋体" w:cs="Times New Roman"/>
          <w:bCs w:val="0"/>
          <w:color w:val="auto"/>
          <w:kern w:val="2"/>
          <w:highlight w:val="none"/>
        </w:rPr>
        <w:t>该指标满分为1.00分，根据评分标准得1.00分。</w:t>
      </w:r>
    </w:p>
    <w:p w14:paraId="2DFE5CAB">
      <w:pPr>
        <w:ind w:firstLine="640"/>
        <w:rPr>
          <w:rFonts w:hint="default" w:ascii="Times New Roman" w:hAnsi="Times New Roman" w:eastAsia="宋体" w:cs="Times New Roman"/>
          <w:b/>
          <w:color w:val="auto"/>
          <w:highlight w:val="none"/>
        </w:rPr>
      </w:pPr>
      <w:r>
        <w:rPr>
          <w:rFonts w:hint="default" w:ascii="Times New Roman" w:hAnsi="Times New Roman" w:eastAsia="宋体" w:cs="Times New Roman"/>
          <w:b/>
          <w:color w:val="auto"/>
          <w:highlight w:val="none"/>
        </w:rPr>
        <w:t>（4）B31资金使用合规性指标：</w:t>
      </w:r>
    </w:p>
    <w:p w14:paraId="417FE90C">
      <w:pPr>
        <w:ind w:firstLine="640"/>
        <w:rPr>
          <w:rFonts w:hint="default" w:ascii="Times New Roman" w:hAnsi="Times New Roman" w:eastAsia="宋体" w:cs="Times New Roman"/>
          <w:bCs w:val="0"/>
          <w:color w:val="auto"/>
          <w:kern w:val="2"/>
          <w:highlight w:val="none"/>
          <w:lang w:val="en-US" w:eastAsia="zh-CN"/>
        </w:rPr>
      </w:pPr>
      <w:r>
        <w:rPr>
          <w:rFonts w:hint="default" w:ascii="Times New Roman" w:hAnsi="Times New Roman" w:eastAsia="宋体" w:cs="Times New Roman"/>
          <w:bCs w:val="0"/>
          <w:color w:val="auto"/>
          <w:kern w:val="2"/>
          <w:highlight w:val="none"/>
        </w:rPr>
        <w:t>伊宁县农业技术推广中心全年预算数为</w:t>
      </w:r>
      <w:r>
        <w:rPr>
          <w:rFonts w:hint="default" w:ascii="Times New Roman" w:hAnsi="Times New Roman" w:eastAsia="宋体" w:cs="Times New Roman"/>
          <w:bCs w:val="0"/>
          <w:color w:val="auto"/>
          <w:kern w:val="2"/>
          <w:highlight w:val="none"/>
          <w:lang w:val="en-US" w:eastAsia="zh-CN"/>
        </w:rPr>
        <w:t>1,245.85</w:t>
      </w:r>
      <w:r>
        <w:rPr>
          <w:rFonts w:hint="default" w:ascii="Times New Roman" w:hAnsi="Times New Roman" w:eastAsia="宋体" w:cs="Times New Roman"/>
          <w:bCs w:val="0"/>
          <w:color w:val="auto"/>
          <w:kern w:val="2"/>
          <w:highlight w:val="none"/>
        </w:rPr>
        <w:t>万元，决算数为</w:t>
      </w:r>
      <w:r>
        <w:rPr>
          <w:rFonts w:hint="default" w:ascii="Times New Roman" w:hAnsi="Times New Roman" w:eastAsia="宋体" w:cs="Times New Roman"/>
          <w:bCs w:val="0"/>
          <w:color w:val="auto"/>
          <w:kern w:val="2"/>
          <w:highlight w:val="none"/>
          <w:lang w:val="en-US" w:eastAsia="zh-CN"/>
        </w:rPr>
        <w:t>1,245.85</w:t>
      </w:r>
      <w:r>
        <w:rPr>
          <w:rFonts w:hint="default" w:ascii="Times New Roman" w:hAnsi="Times New Roman" w:eastAsia="宋体" w:cs="Times New Roman"/>
          <w:bCs w:val="0"/>
          <w:color w:val="auto"/>
          <w:kern w:val="2"/>
          <w:highlight w:val="none"/>
        </w:rPr>
        <w:t>万元，预算执行率为100.00%，基本支出部分，按照实际发生部分进行支付，工资部分由伊宁县农业技术推广中心提交申请国库统发，资金的申请和拨付有完整的审批程序和手续。项目支出部分，由绩效评价小组进行</w:t>
      </w:r>
      <w:r>
        <w:rPr>
          <w:rFonts w:hint="default" w:ascii="Times New Roman" w:hAnsi="Times New Roman" w:eastAsia="宋体" w:cs="Times New Roman"/>
          <w:bCs w:val="0"/>
          <w:color w:val="auto"/>
          <w:kern w:val="2"/>
          <w:highlight w:val="none"/>
          <w:lang w:val="en-US" w:eastAsia="zh-CN"/>
        </w:rPr>
        <w:t>抽查</w:t>
      </w:r>
      <w:r>
        <w:rPr>
          <w:rFonts w:hint="default" w:ascii="Times New Roman" w:hAnsi="Times New Roman" w:eastAsia="宋体" w:cs="Times New Roman"/>
          <w:bCs w:val="0"/>
          <w:color w:val="auto"/>
          <w:kern w:val="2"/>
          <w:highlight w:val="none"/>
        </w:rPr>
        <w:t>中央粮油生产保障资金项目</w:t>
      </w:r>
      <w:r>
        <w:rPr>
          <w:rFonts w:hint="default" w:ascii="Times New Roman" w:hAnsi="Times New Roman" w:eastAsia="宋体" w:cs="Times New Roman"/>
          <w:bCs w:val="0"/>
          <w:color w:val="auto"/>
          <w:kern w:val="2"/>
          <w:highlight w:val="none"/>
          <w:lang w:eastAsia="zh-CN"/>
        </w:rPr>
        <w:t>、</w:t>
      </w:r>
      <w:r>
        <w:rPr>
          <w:rFonts w:hint="default" w:ascii="Times New Roman" w:hAnsi="Times New Roman" w:eastAsia="宋体" w:cs="Times New Roman"/>
          <w:bCs w:val="0"/>
          <w:color w:val="auto"/>
          <w:kern w:val="2"/>
          <w:highlight w:val="none"/>
        </w:rPr>
        <w:t>中央农业经营主体能力提升项目支出</w:t>
      </w:r>
      <w:r>
        <w:rPr>
          <w:rFonts w:hint="default" w:ascii="Times New Roman" w:hAnsi="Times New Roman" w:eastAsia="宋体" w:cs="Times New Roman"/>
          <w:bCs w:val="0"/>
          <w:color w:val="auto"/>
          <w:kern w:val="2"/>
          <w:highlight w:val="none"/>
          <w:lang w:val="en-US" w:eastAsia="zh-CN"/>
        </w:rPr>
        <w:t>671.20万元，</w:t>
      </w:r>
      <w:r>
        <w:rPr>
          <w:rFonts w:hint="default" w:ascii="Times New Roman" w:hAnsi="Times New Roman" w:eastAsia="宋体" w:cs="Times New Roman"/>
          <w:color w:val="auto"/>
          <w:kern w:val="2"/>
          <w:highlight w:val="none"/>
          <w:lang w:val="en-US" w:eastAsia="zh-CN"/>
        </w:rPr>
        <w:t>项目支出</w:t>
      </w:r>
      <w:r>
        <w:rPr>
          <w:rFonts w:hint="default" w:ascii="Times New Roman" w:hAnsi="Times New Roman" w:eastAsia="宋体" w:cs="Times New Roman"/>
          <w:bCs w:val="0"/>
          <w:color w:val="auto"/>
          <w:kern w:val="2"/>
          <w:highlight w:val="none"/>
        </w:rPr>
        <w:t>有完整的审批流程，</w:t>
      </w:r>
      <w:r>
        <w:rPr>
          <w:rFonts w:hint="default" w:ascii="Times New Roman" w:hAnsi="Times New Roman" w:eastAsia="宋体" w:cs="Times New Roman"/>
          <w:bCs w:val="0"/>
          <w:color w:val="auto"/>
          <w:kern w:val="2"/>
          <w:highlight w:val="none"/>
          <w:lang w:val="en-US" w:eastAsia="zh-CN"/>
        </w:rPr>
        <w:t>由业务科室按照</w:t>
      </w:r>
      <w:r>
        <w:rPr>
          <w:rFonts w:hint="default" w:ascii="Times New Roman" w:hAnsi="Times New Roman" w:eastAsia="宋体" w:cs="Times New Roman"/>
          <w:bCs w:val="0"/>
          <w:color w:val="auto"/>
          <w:kern w:val="2"/>
          <w:highlight w:val="none"/>
        </w:rPr>
        <w:t>《伊宁县农业技术推广中心财务管理制度》</w:t>
      </w:r>
      <w:r>
        <w:rPr>
          <w:rFonts w:hint="default" w:ascii="Times New Roman" w:hAnsi="Times New Roman" w:eastAsia="宋体" w:cs="Times New Roman"/>
          <w:bCs w:val="0"/>
          <w:color w:val="auto"/>
          <w:kern w:val="2"/>
          <w:highlight w:val="none"/>
          <w:lang w:val="en-US" w:eastAsia="zh-CN"/>
        </w:rPr>
        <w:t>规定，大额支出</w:t>
      </w:r>
      <w:r>
        <w:rPr>
          <w:rFonts w:hint="default" w:ascii="Times New Roman" w:hAnsi="Times New Roman" w:eastAsia="宋体" w:cs="Times New Roman"/>
          <w:bCs w:val="0"/>
          <w:color w:val="auto"/>
          <w:kern w:val="2"/>
          <w:highlight w:val="none"/>
        </w:rPr>
        <w:t>经领导班子集体决策通过后，</w:t>
      </w:r>
      <w:r>
        <w:rPr>
          <w:rFonts w:hint="default" w:ascii="Times New Roman" w:hAnsi="Times New Roman" w:eastAsia="宋体" w:cs="Times New Roman"/>
          <w:bCs w:val="0"/>
          <w:color w:val="auto"/>
          <w:kern w:val="2"/>
          <w:highlight w:val="none"/>
          <w:lang w:val="en-US" w:eastAsia="zh-CN"/>
        </w:rPr>
        <w:t>由业务经办人准备支付资料办理费用报销手续，</w:t>
      </w:r>
      <w:r>
        <w:rPr>
          <w:rFonts w:hint="default" w:ascii="Times New Roman" w:hAnsi="Times New Roman" w:eastAsia="宋体" w:cs="Times New Roman"/>
          <w:bCs w:val="0"/>
          <w:color w:val="auto"/>
          <w:kern w:val="2"/>
          <w:sz w:val="21"/>
          <w:szCs w:val="21"/>
          <w:highlight w:val="none"/>
        </w:rPr>
        <w:t>一次性开支在</w:t>
      </w:r>
      <w:r>
        <w:rPr>
          <w:rFonts w:hint="default" w:ascii="Times New Roman" w:hAnsi="Times New Roman" w:eastAsia="宋体" w:cs="Times New Roman"/>
          <w:bCs w:val="0"/>
          <w:color w:val="auto"/>
          <w:kern w:val="2"/>
          <w:sz w:val="21"/>
          <w:szCs w:val="21"/>
          <w:highlight w:val="none"/>
          <w:lang w:val="en-US" w:eastAsia="zh-CN"/>
        </w:rPr>
        <w:t>1,0</w:t>
      </w:r>
      <w:r>
        <w:rPr>
          <w:rFonts w:hint="default" w:ascii="Times New Roman" w:hAnsi="Times New Roman" w:eastAsia="宋体" w:cs="Times New Roman"/>
          <w:bCs w:val="0"/>
          <w:color w:val="auto"/>
          <w:kern w:val="2"/>
          <w:sz w:val="21"/>
          <w:szCs w:val="21"/>
          <w:highlight w:val="none"/>
        </w:rPr>
        <w:t>00</w:t>
      </w:r>
      <w:r>
        <w:rPr>
          <w:rFonts w:hint="default" w:ascii="Times New Roman" w:hAnsi="Times New Roman" w:eastAsia="宋体" w:cs="Times New Roman"/>
          <w:bCs w:val="0"/>
          <w:color w:val="auto"/>
          <w:kern w:val="2"/>
          <w:sz w:val="21"/>
          <w:szCs w:val="21"/>
          <w:highlight w:val="none"/>
          <w:lang w:val="en-US" w:eastAsia="zh-CN"/>
        </w:rPr>
        <w:t>.00</w:t>
      </w:r>
      <w:r>
        <w:rPr>
          <w:rFonts w:hint="default" w:ascii="Times New Roman" w:hAnsi="Times New Roman" w:eastAsia="宋体" w:cs="Times New Roman"/>
          <w:bCs w:val="0"/>
          <w:color w:val="auto"/>
          <w:kern w:val="2"/>
          <w:sz w:val="21"/>
          <w:szCs w:val="21"/>
          <w:highlight w:val="none"/>
        </w:rPr>
        <w:t>元以下的需经分管科室领导同意，开支1</w:t>
      </w:r>
      <w:r>
        <w:rPr>
          <w:rFonts w:hint="default" w:ascii="Times New Roman" w:hAnsi="Times New Roman" w:eastAsia="宋体" w:cs="Times New Roman"/>
          <w:bCs w:val="0"/>
          <w:color w:val="auto"/>
          <w:kern w:val="2"/>
          <w:sz w:val="21"/>
          <w:szCs w:val="21"/>
          <w:highlight w:val="none"/>
          <w:lang w:val="en-US" w:eastAsia="zh-CN"/>
        </w:rPr>
        <w:t>,</w:t>
      </w:r>
      <w:r>
        <w:rPr>
          <w:rFonts w:hint="default" w:ascii="Times New Roman" w:hAnsi="Times New Roman" w:eastAsia="宋体" w:cs="Times New Roman"/>
          <w:bCs w:val="0"/>
          <w:color w:val="auto"/>
          <w:kern w:val="2"/>
          <w:sz w:val="21"/>
          <w:szCs w:val="21"/>
          <w:highlight w:val="none"/>
        </w:rPr>
        <w:t>000</w:t>
      </w:r>
      <w:r>
        <w:rPr>
          <w:rFonts w:hint="default" w:ascii="Times New Roman" w:hAnsi="Times New Roman" w:eastAsia="宋体" w:cs="Times New Roman"/>
          <w:bCs w:val="0"/>
          <w:color w:val="auto"/>
          <w:kern w:val="2"/>
          <w:sz w:val="21"/>
          <w:szCs w:val="21"/>
          <w:highlight w:val="none"/>
          <w:lang w:val="en-US" w:eastAsia="zh-CN"/>
        </w:rPr>
        <w:t>.00元</w:t>
      </w:r>
      <w:r>
        <w:rPr>
          <w:rFonts w:hint="default" w:ascii="Times New Roman" w:hAnsi="Times New Roman" w:eastAsia="宋体" w:cs="Times New Roman"/>
          <w:bCs w:val="0"/>
          <w:color w:val="auto"/>
          <w:kern w:val="2"/>
          <w:sz w:val="21"/>
          <w:szCs w:val="21"/>
          <w:highlight w:val="none"/>
        </w:rPr>
        <w:t>以上需经</w:t>
      </w:r>
      <w:r>
        <w:rPr>
          <w:rFonts w:hint="default" w:ascii="Times New Roman" w:hAnsi="Times New Roman" w:eastAsia="宋体" w:cs="Times New Roman"/>
          <w:bCs w:val="0"/>
          <w:color w:val="auto"/>
          <w:kern w:val="2"/>
          <w:sz w:val="21"/>
          <w:szCs w:val="21"/>
          <w:highlight w:val="none"/>
          <w:lang w:eastAsia="zh-CN"/>
        </w:rPr>
        <w:t>主任</w:t>
      </w:r>
      <w:r>
        <w:rPr>
          <w:rFonts w:hint="default" w:ascii="Times New Roman" w:hAnsi="Times New Roman" w:eastAsia="宋体" w:cs="Times New Roman"/>
          <w:bCs w:val="0"/>
          <w:color w:val="auto"/>
          <w:kern w:val="2"/>
          <w:sz w:val="21"/>
          <w:szCs w:val="21"/>
          <w:highlight w:val="none"/>
        </w:rPr>
        <w:t>同意，5</w:t>
      </w:r>
      <w:r>
        <w:rPr>
          <w:rFonts w:hint="default" w:ascii="Times New Roman" w:hAnsi="Times New Roman" w:eastAsia="宋体" w:cs="Times New Roman"/>
          <w:bCs w:val="0"/>
          <w:color w:val="auto"/>
          <w:kern w:val="2"/>
          <w:sz w:val="21"/>
          <w:szCs w:val="21"/>
          <w:highlight w:val="none"/>
          <w:lang w:val="en-US" w:eastAsia="zh-CN"/>
        </w:rPr>
        <w:t>,</w:t>
      </w:r>
      <w:r>
        <w:rPr>
          <w:rFonts w:hint="default" w:ascii="Times New Roman" w:hAnsi="Times New Roman" w:eastAsia="宋体" w:cs="Times New Roman"/>
          <w:bCs w:val="0"/>
          <w:color w:val="auto"/>
          <w:kern w:val="2"/>
          <w:sz w:val="21"/>
          <w:szCs w:val="21"/>
          <w:highlight w:val="none"/>
        </w:rPr>
        <w:t>000</w:t>
      </w:r>
      <w:r>
        <w:rPr>
          <w:rFonts w:hint="default" w:ascii="Times New Roman" w:hAnsi="Times New Roman" w:eastAsia="宋体" w:cs="Times New Roman"/>
          <w:bCs w:val="0"/>
          <w:color w:val="auto"/>
          <w:kern w:val="2"/>
          <w:sz w:val="21"/>
          <w:szCs w:val="21"/>
          <w:highlight w:val="none"/>
          <w:lang w:val="en-US" w:eastAsia="zh-CN"/>
        </w:rPr>
        <w:t>.00</w:t>
      </w:r>
      <w:r>
        <w:rPr>
          <w:rFonts w:hint="default" w:ascii="Times New Roman" w:hAnsi="Times New Roman" w:eastAsia="宋体" w:cs="Times New Roman"/>
          <w:bCs w:val="0"/>
          <w:color w:val="auto"/>
          <w:kern w:val="2"/>
          <w:sz w:val="21"/>
          <w:szCs w:val="21"/>
          <w:highlight w:val="none"/>
        </w:rPr>
        <w:t>元以上需开会议</w:t>
      </w:r>
      <w:r>
        <w:rPr>
          <w:rFonts w:hint="default" w:ascii="Times New Roman" w:hAnsi="Times New Roman" w:eastAsia="宋体" w:cs="Times New Roman"/>
          <w:bCs w:val="0"/>
          <w:color w:val="auto"/>
          <w:kern w:val="2"/>
          <w:highlight w:val="none"/>
          <w:lang w:val="en-US" w:eastAsia="zh-CN"/>
        </w:rPr>
        <w:t>审核后，</w:t>
      </w:r>
      <w:r>
        <w:rPr>
          <w:rFonts w:hint="default" w:ascii="Times New Roman" w:hAnsi="Times New Roman" w:eastAsia="宋体" w:cs="Times New Roman"/>
          <w:bCs w:val="0"/>
          <w:color w:val="auto"/>
          <w:kern w:val="2"/>
          <w:highlight w:val="none"/>
        </w:rPr>
        <w:t>提交</w:t>
      </w:r>
      <w:r>
        <w:rPr>
          <w:rFonts w:hint="default" w:ascii="Times New Roman" w:hAnsi="Times New Roman" w:eastAsia="宋体" w:cs="Times New Roman"/>
          <w:bCs w:val="0"/>
          <w:color w:val="auto"/>
          <w:kern w:val="2"/>
          <w:highlight w:val="none"/>
          <w:lang w:val="en-US" w:eastAsia="zh-CN"/>
        </w:rPr>
        <w:t>资金支付申请到伊宁县</w:t>
      </w:r>
      <w:r>
        <w:rPr>
          <w:rFonts w:hint="default" w:ascii="Times New Roman" w:hAnsi="Times New Roman" w:eastAsia="宋体" w:cs="Times New Roman"/>
          <w:bCs w:val="0"/>
          <w:color w:val="auto"/>
          <w:kern w:val="2"/>
          <w:highlight w:val="none"/>
        </w:rPr>
        <w:t>财政局业务科室，经审核通过后按照国库集中支付的程序进行项目资金支付</w:t>
      </w:r>
      <w:r>
        <w:rPr>
          <w:rFonts w:hint="default" w:ascii="Times New Roman" w:hAnsi="Times New Roman" w:eastAsia="宋体" w:cs="Times New Roman"/>
          <w:bCs w:val="0"/>
          <w:color w:val="auto"/>
          <w:kern w:val="2"/>
          <w:highlight w:val="none"/>
          <w:lang w:eastAsia="zh-CN"/>
        </w:rPr>
        <w:t>。</w:t>
      </w:r>
      <w:r>
        <w:rPr>
          <w:rFonts w:hint="default" w:ascii="Times New Roman" w:hAnsi="Times New Roman" w:eastAsia="宋体" w:cs="Times New Roman"/>
          <w:bCs w:val="0"/>
          <w:color w:val="auto"/>
          <w:kern w:val="2"/>
          <w:highlight w:val="none"/>
          <w:lang w:val="en-US" w:eastAsia="zh-CN"/>
        </w:rPr>
        <w:t>绩效评价小组抽取7笔费用支付凭证共计124.04万元，发现问题如下：</w:t>
      </w:r>
    </w:p>
    <w:p w14:paraId="5F97B07D">
      <w:pPr>
        <w:ind w:firstLine="640"/>
        <w:rPr>
          <w:rFonts w:hint="default" w:ascii="Times New Roman" w:hAnsi="Times New Roman" w:eastAsia="宋体" w:cs="Times New Roman"/>
          <w:bCs w:val="0"/>
          <w:color w:val="auto"/>
          <w:kern w:val="2"/>
          <w:highlight w:val="none"/>
          <w:lang w:val="en-US" w:eastAsia="zh-CN"/>
        </w:rPr>
      </w:pPr>
      <w:r>
        <w:rPr>
          <w:rFonts w:hint="default" w:ascii="Times New Roman" w:hAnsi="Times New Roman" w:eastAsia="宋体" w:cs="Times New Roman"/>
          <w:bCs w:val="0"/>
          <w:color w:val="auto"/>
          <w:kern w:val="2"/>
          <w:highlight w:val="none"/>
          <w:lang w:val="en-US" w:eastAsia="zh-CN"/>
        </w:rPr>
        <w:t>2024年11月22日1#记账凭证，该部门单位向伊宁边境经济合作区音速电子产品经销部支付办公用品费用0.46万元，财务凭证后附国库集中支付回单、发票及送（销）货单，但缺失政采云平台的相关采购合同。</w:t>
      </w:r>
    </w:p>
    <w:p w14:paraId="73344947">
      <w:pPr>
        <w:ind w:firstLine="640"/>
        <w:rPr>
          <w:rFonts w:hint="default" w:ascii="Times New Roman" w:hAnsi="Times New Roman" w:eastAsia="宋体" w:cs="Times New Roman"/>
          <w:bCs w:val="0"/>
          <w:color w:val="auto"/>
          <w:kern w:val="2"/>
          <w:highlight w:val="none"/>
          <w:lang w:val="en-US" w:eastAsia="zh-CN"/>
        </w:rPr>
      </w:pPr>
      <w:r>
        <w:rPr>
          <w:rFonts w:hint="default" w:ascii="Times New Roman" w:hAnsi="Times New Roman" w:eastAsia="宋体" w:cs="Times New Roman"/>
          <w:bCs w:val="0"/>
          <w:color w:val="auto"/>
          <w:kern w:val="2"/>
          <w:highlight w:val="none"/>
          <w:lang w:val="en-US" w:eastAsia="zh-CN"/>
        </w:rPr>
        <w:t>该指标满分为4.00分，根据评分标准得3.00分。</w:t>
      </w:r>
    </w:p>
    <w:p w14:paraId="7A630871">
      <w:pPr>
        <w:ind w:firstLine="640"/>
        <w:rPr>
          <w:rFonts w:hint="default" w:ascii="Times New Roman" w:hAnsi="Times New Roman" w:eastAsia="宋体" w:cs="Times New Roman"/>
          <w:b/>
          <w:color w:val="auto"/>
          <w:highlight w:val="none"/>
        </w:rPr>
      </w:pPr>
      <w:r>
        <w:rPr>
          <w:rFonts w:hint="default" w:ascii="Times New Roman" w:hAnsi="Times New Roman" w:eastAsia="宋体" w:cs="Times New Roman"/>
          <w:b/>
          <w:color w:val="auto"/>
          <w:highlight w:val="none"/>
        </w:rPr>
        <w:t>（5）B32政府采购透明度指标：</w:t>
      </w:r>
    </w:p>
    <w:p w14:paraId="31E867C1">
      <w:pPr>
        <w:ind w:firstLine="640" w:firstLineChars="0"/>
        <w:jc w:val="left"/>
        <w:rPr>
          <w:rFonts w:hint="default" w:ascii="Times New Roman" w:hAnsi="Times New Roman" w:eastAsia="宋体" w:cs="Times New Roman"/>
          <w:b/>
          <w:bCs w:val="0"/>
          <w:color w:val="auto"/>
          <w:highlight w:val="none"/>
          <w:lang w:val="en-US" w:eastAsia="zh-CN"/>
        </w:rPr>
      </w:pPr>
      <w:r>
        <w:rPr>
          <w:rFonts w:hint="default" w:ascii="Times New Roman" w:hAnsi="Times New Roman" w:eastAsia="宋体" w:cs="Times New Roman"/>
          <w:bCs w:val="0"/>
          <w:color w:val="auto"/>
          <w:kern w:val="2"/>
          <w:highlight w:val="none"/>
        </w:rPr>
        <w:t>经查伊宁县农业技术推广中心2024年决算报表和政采云平台统计报表可知，伊宁县农业技术推广中心2024年政府采购支出金额为1,186.57万元，其中：政府采购货物支出432.59万元，政府采购服务支出753.98万元。经查单位政采云平台</w:t>
      </w:r>
      <w:r>
        <w:rPr>
          <w:rFonts w:hint="default" w:ascii="Times New Roman" w:hAnsi="Times New Roman" w:eastAsia="宋体" w:cs="Times New Roman"/>
          <w:bCs w:val="0"/>
          <w:color w:val="auto"/>
          <w:kern w:val="2"/>
          <w:highlight w:val="none"/>
          <w:lang w:val="en-US" w:eastAsia="zh-CN"/>
        </w:rPr>
        <w:t>及采购合同</w:t>
      </w:r>
      <w:r>
        <w:rPr>
          <w:rFonts w:hint="default" w:ascii="Times New Roman" w:hAnsi="Times New Roman" w:eastAsia="宋体" w:cs="Times New Roman"/>
          <w:bCs w:val="0"/>
          <w:color w:val="auto"/>
          <w:kern w:val="2"/>
          <w:highlight w:val="none"/>
        </w:rPr>
        <w:t>，单位实施的采购项目均在平台按政府采购程序执行并公开采购信息。</w:t>
      </w:r>
      <w:r>
        <w:rPr>
          <w:rFonts w:hint="default" w:ascii="Times New Roman" w:hAnsi="Times New Roman" w:eastAsia="宋体" w:cs="Times New Roman"/>
          <w:bCs w:val="0"/>
          <w:color w:val="auto"/>
          <w:kern w:val="2"/>
          <w:highlight w:val="none"/>
          <w:lang w:val="en-US" w:eastAsia="zh-CN"/>
        </w:rPr>
        <w:t>具体情况如下表所示：</w:t>
      </w:r>
    </w:p>
    <w:p w14:paraId="4D2AC65F">
      <w:pPr>
        <w:ind w:firstLine="0" w:firstLineChars="0"/>
        <w:jc w:val="center"/>
        <w:rPr>
          <w:rFonts w:hint="default" w:ascii="Times New Roman" w:hAnsi="Times New Roman" w:eastAsia="宋体" w:cs="Times New Roman"/>
          <w:b/>
          <w:color w:val="auto"/>
          <w:highlight w:val="none"/>
          <w:lang w:val="en-US" w:eastAsia="zh-CN"/>
        </w:rPr>
      </w:pPr>
      <w:r>
        <w:rPr>
          <w:rFonts w:hint="default" w:ascii="Times New Roman" w:hAnsi="Times New Roman" w:eastAsia="宋体" w:cs="Times New Roman"/>
          <w:b/>
          <w:bCs w:val="0"/>
          <w:color w:val="auto"/>
          <w:highlight w:val="none"/>
          <w:lang w:val="en-US" w:eastAsia="zh-CN"/>
        </w:rPr>
        <w:t>2024年</w:t>
      </w:r>
      <w:r>
        <w:rPr>
          <w:rFonts w:hint="default" w:ascii="Times New Roman" w:hAnsi="Times New Roman" w:eastAsia="宋体" w:cs="Times New Roman"/>
          <w:b/>
          <w:bCs w:val="0"/>
          <w:color w:val="auto"/>
          <w:highlight w:val="none"/>
        </w:rPr>
        <w:t>伊宁县农业技术推广中心</w:t>
      </w:r>
      <w:r>
        <w:rPr>
          <w:rFonts w:hint="default" w:ascii="Times New Roman" w:hAnsi="Times New Roman" w:eastAsia="宋体" w:cs="Times New Roman"/>
          <w:b/>
          <w:color w:val="auto"/>
          <w:highlight w:val="none"/>
        </w:rPr>
        <w:t>政府采购</w:t>
      </w:r>
      <w:r>
        <w:rPr>
          <w:rFonts w:hint="default" w:ascii="Times New Roman" w:hAnsi="Times New Roman" w:eastAsia="宋体" w:cs="Times New Roman"/>
          <w:b/>
          <w:color w:val="auto"/>
          <w:highlight w:val="none"/>
          <w:lang w:val="en-US" w:eastAsia="zh-CN"/>
        </w:rPr>
        <w:t>明细表</w:t>
      </w:r>
    </w:p>
    <w:p w14:paraId="37A0117C">
      <w:pPr>
        <w:ind w:firstLine="0" w:firstLineChars="0"/>
        <w:jc w:val="right"/>
        <w:rPr>
          <w:rFonts w:hint="default" w:ascii="Times New Roman" w:hAnsi="Times New Roman" w:eastAsia="宋体" w:cs="Times New Roman"/>
          <w:b/>
          <w:color w:val="auto"/>
          <w:highlight w:val="none"/>
          <w:lang w:val="en-US" w:eastAsia="zh-CN"/>
        </w:rPr>
      </w:pPr>
      <w:r>
        <w:rPr>
          <w:rFonts w:hint="eastAsia" w:ascii="Times New Roman" w:hAnsi="Times New Roman" w:eastAsia="宋体" w:cs="Times New Roman"/>
          <w:b/>
          <w:color w:val="auto"/>
          <w:highlight w:val="none"/>
          <w:lang w:val="en-US" w:eastAsia="zh-CN"/>
        </w:rPr>
        <w:t>单位：万元</w:t>
      </w:r>
    </w:p>
    <w:tbl>
      <w:tblPr>
        <w:tblStyle w:val="21"/>
        <w:tblW w:w="8283"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27"/>
        <w:gridCol w:w="5545"/>
        <w:gridCol w:w="936"/>
        <w:gridCol w:w="1075"/>
      </w:tblGrid>
      <w:tr w14:paraId="271CF8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B23ED">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val="0"/>
                <w:i w:val="0"/>
                <w:iCs w:val="0"/>
                <w:color w:val="auto"/>
                <w:sz w:val="21"/>
                <w:szCs w:val="21"/>
                <w:highlight w:val="none"/>
                <w:u w:val="none"/>
                <w:lang w:bidi="ar"/>
              </w:rPr>
            </w:pPr>
            <w:r>
              <w:rPr>
                <w:rFonts w:hint="eastAsia" w:ascii="Times New Roman" w:hAnsi="Times New Roman" w:eastAsia="宋体" w:cs="Times New Roman"/>
                <w:b/>
                <w:bCs w:val="0"/>
                <w:i w:val="0"/>
                <w:iCs w:val="0"/>
                <w:color w:val="auto"/>
                <w:kern w:val="0"/>
                <w:sz w:val="21"/>
                <w:szCs w:val="21"/>
                <w:highlight w:val="none"/>
                <w:u w:val="none"/>
                <w:lang w:val="en-US" w:eastAsia="zh-CN" w:bidi="ar"/>
              </w:rPr>
              <w:t>序号</w:t>
            </w:r>
          </w:p>
        </w:tc>
        <w:tc>
          <w:tcPr>
            <w:tcW w:w="5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3B126">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val="0"/>
                <w:i w:val="0"/>
                <w:iCs w:val="0"/>
                <w:color w:val="auto"/>
                <w:sz w:val="21"/>
                <w:szCs w:val="21"/>
                <w:highlight w:val="none"/>
                <w:u w:val="none"/>
                <w:lang w:bidi="ar"/>
              </w:rPr>
            </w:pPr>
            <w:r>
              <w:rPr>
                <w:rFonts w:hint="eastAsia" w:ascii="Times New Roman" w:hAnsi="Times New Roman" w:eastAsia="宋体" w:cs="Times New Roman"/>
                <w:b/>
                <w:bCs w:val="0"/>
                <w:i w:val="0"/>
                <w:iCs w:val="0"/>
                <w:color w:val="auto"/>
                <w:kern w:val="0"/>
                <w:sz w:val="21"/>
                <w:szCs w:val="21"/>
                <w:highlight w:val="none"/>
                <w:u w:val="none"/>
                <w:lang w:val="en-US" w:eastAsia="zh-CN" w:bidi="ar"/>
              </w:rPr>
              <w:t>合同名称</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A8C350">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val="0"/>
                <w:i w:val="0"/>
                <w:iCs w:val="0"/>
                <w:color w:val="auto"/>
                <w:sz w:val="21"/>
                <w:szCs w:val="21"/>
                <w:highlight w:val="none"/>
                <w:u w:val="none"/>
                <w:lang w:bidi="ar"/>
              </w:rPr>
            </w:pPr>
            <w:r>
              <w:rPr>
                <w:rFonts w:hint="eastAsia" w:ascii="Times New Roman" w:hAnsi="Times New Roman" w:eastAsia="宋体" w:cs="Times New Roman"/>
                <w:b/>
                <w:bCs w:val="0"/>
                <w:i w:val="0"/>
                <w:iCs w:val="0"/>
                <w:color w:val="auto"/>
                <w:kern w:val="0"/>
                <w:sz w:val="21"/>
                <w:szCs w:val="21"/>
                <w:highlight w:val="none"/>
                <w:u w:val="none"/>
                <w:lang w:val="en-US" w:eastAsia="zh-CN" w:bidi="ar"/>
              </w:rPr>
              <w:t>性质</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BEE82">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val="0"/>
                <w:i w:val="0"/>
                <w:iCs w:val="0"/>
                <w:color w:val="auto"/>
                <w:sz w:val="21"/>
                <w:szCs w:val="21"/>
                <w:highlight w:val="none"/>
                <w:u w:val="none"/>
                <w:lang w:bidi="ar"/>
              </w:rPr>
            </w:pPr>
            <w:r>
              <w:rPr>
                <w:rFonts w:hint="eastAsia" w:ascii="Times New Roman" w:hAnsi="Times New Roman" w:eastAsia="宋体" w:cs="Times New Roman"/>
                <w:b/>
                <w:bCs w:val="0"/>
                <w:i w:val="0"/>
                <w:iCs w:val="0"/>
                <w:color w:val="auto"/>
                <w:kern w:val="0"/>
                <w:sz w:val="21"/>
                <w:szCs w:val="21"/>
                <w:highlight w:val="none"/>
                <w:u w:val="none"/>
                <w:lang w:val="en-US" w:eastAsia="zh-CN" w:bidi="ar"/>
              </w:rPr>
              <w:t>采购金额</w:t>
            </w:r>
          </w:p>
        </w:tc>
      </w:tr>
      <w:tr w14:paraId="736C23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003E3">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Cs/>
                <w:i w:val="0"/>
                <w:iCs w:val="0"/>
                <w:color w:val="auto"/>
                <w:sz w:val="21"/>
                <w:szCs w:val="21"/>
                <w:highlight w:val="none"/>
                <w:u w:val="none"/>
                <w:lang w:bidi="ar"/>
              </w:rPr>
            </w:pPr>
            <w:r>
              <w:rPr>
                <w:rFonts w:hint="eastAsia" w:ascii="Times New Roman" w:hAnsi="Times New Roman" w:eastAsia="宋体" w:cs="Times New Roman"/>
                <w:bCs/>
                <w:i w:val="0"/>
                <w:iCs w:val="0"/>
                <w:color w:val="auto"/>
                <w:kern w:val="0"/>
                <w:sz w:val="21"/>
                <w:szCs w:val="21"/>
                <w:highlight w:val="none"/>
                <w:u w:val="none"/>
                <w:lang w:val="en-US" w:eastAsia="zh-CN" w:bidi="ar"/>
              </w:rPr>
              <w:t>1</w:t>
            </w:r>
          </w:p>
        </w:tc>
        <w:tc>
          <w:tcPr>
            <w:tcW w:w="5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7D747">
            <w:pPr>
              <w:keepNext w:val="0"/>
              <w:keepLines w:val="0"/>
              <w:widowControl/>
              <w:suppressLineNumbers w:val="0"/>
              <w:spacing w:line="240" w:lineRule="auto"/>
              <w:ind w:firstLine="0" w:firstLineChars="0"/>
              <w:jc w:val="left"/>
              <w:textAlignment w:val="center"/>
              <w:rPr>
                <w:rFonts w:hint="eastAsia" w:ascii="Times New Roman" w:hAnsi="Times New Roman" w:eastAsia="宋体" w:cs="Times New Roman"/>
                <w:bCs/>
                <w:i w:val="0"/>
                <w:iCs w:val="0"/>
                <w:color w:val="auto"/>
                <w:sz w:val="21"/>
                <w:szCs w:val="21"/>
                <w:highlight w:val="none"/>
                <w:u w:val="none"/>
                <w:lang w:bidi="ar"/>
              </w:rPr>
            </w:pPr>
            <w:r>
              <w:rPr>
                <w:rFonts w:hint="eastAsia" w:ascii="Times New Roman" w:hAnsi="Times New Roman" w:eastAsia="宋体" w:cs="Times New Roman"/>
                <w:bCs/>
                <w:i w:val="0"/>
                <w:iCs w:val="0"/>
                <w:color w:val="auto"/>
                <w:kern w:val="0"/>
                <w:sz w:val="21"/>
                <w:szCs w:val="21"/>
                <w:highlight w:val="none"/>
                <w:u w:val="none"/>
                <w:lang w:val="en-US" w:eastAsia="zh-CN" w:bidi="ar"/>
              </w:rPr>
              <w:t>伊宁县2024年玉米绿色高产高效行动项目合同</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98F80">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Cs/>
                <w:i w:val="0"/>
                <w:iCs w:val="0"/>
                <w:color w:val="auto"/>
                <w:sz w:val="21"/>
                <w:szCs w:val="21"/>
                <w:highlight w:val="none"/>
                <w:u w:val="none"/>
                <w:lang w:bidi="ar"/>
              </w:rPr>
            </w:pPr>
            <w:r>
              <w:rPr>
                <w:rFonts w:hint="eastAsia" w:ascii="Times New Roman" w:hAnsi="Times New Roman" w:eastAsia="宋体" w:cs="Times New Roman"/>
                <w:bCs/>
                <w:i w:val="0"/>
                <w:iCs w:val="0"/>
                <w:color w:val="auto"/>
                <w:kern w:val="0"/>
                <w:sz w:val="21"/>
                <w:szCs w:val="21"/>
                <w:highlight w:val="none"/>
                <w:u w:val="none"/>
                <w:lang w:val="en-US" w:eastAsia="zh-CN" w:bidi="ar"/>
              </w:rPr>
              <w:t>货物</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32B3A">
            <w:pPr>
              <w:keepNext w:val="0"/>
              <w:keepLines w:val="0"/>
              <w:widowControl/>
              <w:suppressLineNumbers w:val="0"/>
              <w:spacing w:line="240" w:lineRule="auto"/>
              <w:ind w:firstLine="0" w:firstLineChars="0"/>
              <w:jc w:val="right"/>
              <w:textAlignment w:val="center"/>
              <w:rPr>
                <w:rFonts w:hint="eastAsia" w:ascii="Times New Roman" w:hAnsi="Times New Roman" w:eastAsia="宋体" w:cs="Times New Roman"/>
                <w:bCs/>
                <w:i w:val="0"/>
                <w:iCs w:val="0"/>
                <w:color w:val="auto"/>
                <w:sz w:val="21"/>
                <w:szCs w:val="21"/>
                <w:highlight w:val="none"/>
                <w:u w:val="none"/>
                <w:lang w:bidi="ar"/>
              </w:rPr>
            </w:pPr>
            <w:r>
              <w:rPr>
                <w:rFonts w:hint="eastAsia" w:ascii="Times New Roman" w:hAnsi="Times New Roman" w:eastAsia="宋体" w:cs="Times New Roman"/>
                <w:bCs/>
                <w:i w:val="0"/>
                <w:iCs w:val="0"/>
                <w:color w:val="auto"/>
                <w:kern w:val="0"/>
                <w:sz w:val="21"/>
                <w:szCs w:val="21"/>
                <w:highlight w:val="none"/>
                <w:u w:val="none"/>
                <w:lang w:val="en-US" w:eastAsia="zh-CN" w:bidi="ar"/>
              </w:rPr>
              <w:t xml:space="preserve"> 69.36 </w:t>
            </w:r>
          </w:p>
        </w:tc>
      </w:tr>
      <w:tr w14:paraId="5995BE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B9500">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Cs/>
                <w:i w:val="0"/>
                <w:iCs w:val="0"/>
                <w:color w:val="auto"/>
                <w:sz w:val="21"/>
                <w:szCs w:val="21"/>
                <w:highlight w:val="none"/>
                <w:u w:val="none"/>
                <w:lang w:bidi="ar"/>
              </w:rPr>
            </w:pPr>
            <w:r>
              <w:rPr>
                <w:rFonts w:hint="eastAsia" w:ascii="Times New Roman" w:hAnsi="Times New Roman" w:eastAsia="宋体" w:cs="Times New Roman"/>
                <w:bCs/>
                <w:i w:val="0"/>
                <w:iCs w:val="0"/>
                <w:color w:val="auto"/>
                <w:kern w:val="0"/>
                <w:sz w:val="21"/>
                <w:szCs w:val="21"/>
                <w:highlight w:val="none"/>
                <w:u w:val="none"/>
                <w:lang w:val="en-US" w:eastAsia="zh-CN" w:bidi="ar"/>
              </w:rPr>
              <w:t>2</w:t>
            </w:r>
          </w:p>
        </w:tc>
        <w:tc>
          <w:tcPr>
            <w:tcW w:w="5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EA62E">
            <w:pPr>
              <w:keepNext w:val="0"/>
              <w:keepLines w:val="0"/>
              <w:widowControl/>
              <w:suppressLineNumbers w:val="0"/>
              <w:spacing w:line="240" w:lineRule="auto"/>
              <w:ind w:firstLine="0" w:firstLineChars="0"/>
              <w:jc w:val="left"/>
              <w:textAlignment w:val="center"/>
              <w:rPr>
                <w:rFonts w:hint="eastAsia" w:ascii="Times New Roman" w:hAnsi="Times New Roman" w:eastAsia="宋体" w:cs="Times New Roman"/>
                <w:bCs/>
                <w:i w:val="0"/>
                <w:iCs w:val="0"/>
                <w:color w:val="auto"/>
                <w:sz w:val="21"/>
                <w:szCs w:val="21"/>
                <w:highlight w:val="none"/>
                <w:u w:val="none"/>
                <w:lang w:bidi="ar"/>
              </w:rPr>
            </w:pPr>
            <w:r>
              <w:rPr>
                <w:rFonts w:hint="eastAsia" w:ascii="Times New Roman" w:hAnsi="Times New Roman" w:eastAsia="宋体" w:cs="Times New Roman"/>
                <w:bCs/>
                <w:i w:val="0"/>
                <w:iCs w:val="0"/>
                <w:color w:val="auto"/>
                <w:kern w:val="0"/>
                <w:sz w:val="21"/>
                <w:szCs w:val="21"/>
                <w:highlight w:val="none"/>
                <w:u w:val="none"/>
                <w:lang w:val="en-US" w:eastAsia="zh-CN" w:bidi="ar"/>
              </w:rPr>
              <w:t>伊宁县2024年玉米绿色高产高效行动项目合同</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4788A">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Cs/>
                <w:i w:val="0"/>
                <w:iCs w:val="0"/>
                <w:color w:val="auto"/>
                <w:sz w:val="21"/>
                <w:szCs w:val="21"/>
                <w:highlight w:val="none"/>
                <w:u w:val="none"/>
                <w:lang w:bidi="ar"/>
              </w:rPr>
            </w:pPr>
            <w:r>
              <w:rPr>
                <w:rFonts w:hint="eastAsia" w:ascii="Times New Roman" w:hAnsi="Times New Roman" w:eastAsia="宋体" w:cs="Times New Roman"/>
                <w:bCs/>
                <w:i w:val="0"/>
                <w:iCs w:val="0"/>
                <w:color w:val="auto"/>
                <w:kern w:val="0"/>
                <w:sz w:val="21"/>
                <w:szCs w:val="21"/>
                <w:highlight w:val="none"/>
                <w:u w:val="none"/>
                <w:lang w:val="en-US" w:eastAsia="zh-CN" w:bidi="ar"/>
              </w:rPr>
              <w:t>货物</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D54E2">
            <w:pPr>
              <w:keepNext w:val="0"/>
              <w:keepLines w:val="0"/>
              <w:widowControl/>
              <w:suppressLineNumbers w:val="0"/>
              <w:spacing w:line="240" w:lineRule="auto"/>
              <w:ind w:firstLine="0" w:firstLineChars="0"/>
              <w:jc w:val="right"/>
              <w:textAlignment w:val="center"/>
              <w:rPr>
                <w:rFonts w:hint="eastAsia" w:ascii="Times New Roman" w:hAnsi="Times New Roman" w:eastAsia="宋体" w:cs="Times New Roman"/>
                <w:bCs/>
                <w:i w:val="0"/>
                <w:iCs w:val="0"/>
                <w:color w:val="auto"/>
                <w:sz w:val="21"/>
                <w:szCs w:val="21"/>
                <w:highlight w:val="none"/>
                <w:u w:val="none"/>
                <w:lang w:bidi="ar"/>
              </w:rPr>
            </w:pPr>
            <w:r>
              <w:rPr>
                <w:rFonts w:hint="eastAsia" w:ascii="Times New Roman" w:hAnsi="Times New Roman" w:eastAsia="宋体" w:cs="Times New Roman"/>
                <w:bCs/>
                <w:i w:val="0"/>
                <w:iCs w:val="0"/>
                <w:color w:val="auto"/>
                <w:kern w:val="0"/>
                <w:sz w:val="21"/>
                <w:szCs w:val="21"/>
                <w:highlight w:val="none"/>
                <w:u w:val="none"/>
                <w:lang w:val="en-US" w:eastAsia="zh-CN" w:bidi="ar"/>
              </w:rPr>
              <w:t xml:space="preserve"> 17.10 </w:t>
            </w:r>
          </w:p>
        </w:tc>
      </w:tr>
      <w:tr w14:paraId="60F4FC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6A7BE">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Cs/>
                <w:i w:val="0"/>
                <w:iCs w:val="0"/>
                <w:color w:val="auto"/>
                <w:sz w:val="21"/>
                <w:szCs w:val="21"/>
                <w:highlight w:val="none"/>
                <w:u w:val="none"/>
                <w:lang w:bidi="ar"/>
              </w:rPr>
            </w:pPr>
            <w:r>
              <w:rPr>
                <w:rFonts w:hint="eastAsia" w:ascii="Times New Roman" w:hAnsi="Times New Roman" w:eastAsia="宋体" w:cs="Times New Roman"/>
                <w:bCs/>
                <w:i w:val="0"/>
                <w:iCs w:val="0"/>
                <w:color w:val="auto"/>
                <w:kern w:val="0"/>
                <w:sz w:val="21"/>
                <w:szCs w:val="21"/>
                <w:highlight w:val="none"/>
                <w:u w:val="none"/>
                <w:lang w:val="en-US" w:eastAsia="zh-CN" w:bidi="ar"/>
              </w:rPr>
              <w:t>3</w:t>
            </w:r>
          </w:p>
        </w:tc>
        <w:tc>
          <w:tcPr>
            <w:tcW w:w="5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9F08A">
            <w:pPr>
              <w:keepNext w:val="0"/>
              <w:keepLines w:val="0"/>
              <w:widowControl/>
              <w:suppressLineNumbers w:val="0"/>
              <w:spacing w:line="240" w:lineRule="auto"/>
              <w:ind w:firstLine="0" w:firstLineChars="0"/>
              <w:jc w:val="left"/>
              <w:textAlignment w:val="center"/>
              <w:rPr>
                <w:rFonts w:hint="eastAsia" w:ascii="Times New Roman" w:hAnsi="Times New Roman" w:eastAsia="宋体" w:cs="Times New Roman"/>
                <w:bCs/>
                <w:i w:val="0"/>
                <w:iCs w:val="0"/>
                <w:color w:val="auto"/>
                <w:sz w:val="21"/>
                <w:szCs w:val="21"/>
                <w:highlight w:val="none"/>
                <w:u w:val="none"/>
                <w:lang w:bidi="ar"/>
              </w:rPr>
            </w:pPr>
            <w:r>
              <w:rPr>
                <w:rFonts w:hint="eastAsia" w:ascii="Times New Roman" w:hAnsi="Times New Roman" w:eastAsia="宋体" w:cs="Times New Roman"/>
                <w:bCs/>
                <w:i w:val="0"/>
                <w:iCs w:val="0"/>
                <w:color w:val="auto"/>
                <w:kern w:val="0"/>
                <w:sz w:val="21"/>
                <w:szCs w:val="21"/>
                <w:highlight w:val="none"/>
                <w:u w:val="none"/>
                <w:lang w:val="en-US" w:eastAsia="zh-CN" w:bidi="ar"/>
              </w:rPr>
              <w:t>伊宁县2023年第三次全国土壤普查项目（一标段）合同</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4FA8A">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Cs/>
                <w:i w:val="0"/>
                <w:iCs w:val="0"/>
                <w:color w:val="auto"/>
                <w:sz w:val="21"/>
                <w:szCs w:val="21"/>
                <w:highlight w:val="none"/>
                <w:u w:val="none"/>
                <w:lang w:bidi="ar"/>
              </w:rPr>
            </w:pPr>
            <w:r>
              <w:rPr>
                <w:rFonts w:hint="eastAsia" w:ascii="Times New Roman" w:hAnsi="Times New Roman" w:eastAsia="宋体" w:cs="Times New Roman"/>
                <w:bCs/>
                <w:i w:val="0"/>
                <w:iCs w:val="0"/>
                <w:color w:val="auto"/>
                <w:kern w:val="0"/>
                <w:sz w:val="21"/>
                <w:szCs w:val="21"/>
                <w:highlight w:val="none"/>
                <w:u w:val="none"/>
                <w:lang w:val="en-US" w:eastAsia="zh-CN" w:bidi="ar"/>
              </w:rPr>
              <w:t>服务</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4174C">
            <w:pPr>
              <w:keepNext w:val="0"/>
              <w:keepLines w:val="0"/>
              <w:widowControl/>
              <w:suppressLineNumbers w:val="0"/>
              <w:spacing w:line="240" w:lineRule="auto"/>
              <w:ind w:firstLine="0" w:firstLineChars="0"/>
              <w:jc w:val="right"/>
              <w:textAlignment w:val="center"/>
              <w:rPr>
                <w:rFonts w:hint="eastAsia" w:ascii="Times New Roman" w:hAnsi="Times New Roman" w:eastAsia="宋体" w:cs="Times New Roman"/>
                <w:bCs/>
                <w:i w:val="0"/>
                <w:iCs w:val="0"/>
                <w:color w:val="auto"/>
                <w:sz w:val="21"/>
                <w:szCs w:val="21"/>
                <w:highlight w:val="none"/>
                <w:u w:val="none"/>
                <w:lang w:bidi="ar"/>
              </w:rPr>
            </w:pPr>
            <w:r>
              <w:rPr>
                <w:rFonts w:hint="eastAsia" w:ascii="Times New Roman" w:hAnsi="Times New Roman" w:eastAsia="宋体" w:cs="Times New Roman"/>
                <w:bCs/>
                <w:i w:val="0"/>
                <w:iCs w:val="0"/>
                <w:color w:val="auto"/>
                <w:kern w:val="0"/>
                <w:sz w:val="21"/>
                <w:szCs w:val="21"/>
                <w:highlight w:val="none"/>
                <w:u w:val="none"/>
                <w:lang w:val="en-US" w:eastAsia="zh-CN" w:bidi="ar"/>
              </w:rPr>
              <w:t xml:space="preserve"> 199.80 </w:t>
            </w:r>
          </w:p>
        </w:tc>
      </w:tr>
      <w:tr w14:paraId="119C18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689EA">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Cs/>
                <w:i w:val="0"/>
                <w:iCs w:val="0"/>
                <w:color w:val="auto"/>
                <w:sz w:val="21"/>
                <w:szCs w:val="21"/>
                <w:highlight w:val="none"/>
                <w:u w:val="none"/>
                <w:lang w:bidi="ar"/>
              </w:rPr>
            </w:pPr>
            <w:r>
              <w:rPr>
                <w:rFonts w:hint="eastAsia" w:ascii="Times New Roman" w:hAnsi="Times New Roman" w:eastAsia="宋体" w:cs="Times New Roman"/>
                <w:bCs/>
                <w:i w:val="0"/>
                <w:iCs w:val="0"/>
                <w:color w:val="auto"/>
                <w:kern w:val="0"/>
                <w:sz w:val="21"/>
                <w:szCs w:val="21"/>
                <w:highlight w:val="none"/>
                <w:u w:val="none"/>
                <w:lang w:val="en-US" w:eastAsia="zh-CN" w:bidi="ar"/>
              </w:rPr>
              <w:t>4</w:t>
            </w:r>
          </w:p>
        </w:tc>
        <w:tc>
          <w:tcPr>
            <w:tcW w:w="5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78317">
            <w:pPr>
              <w:keepNext w:val="0"/>
              <w:keepLines w:val="0"/>
              <w:widowControl/>
              <w:suppressLineNumbers w:val="0"/>
              <w:spacing w:line="240" w:lineRule="auto"/>
              <w:ind w:firstLine="0" w:firstLineChars="0"/>
              <w:jc w:val="left"/>
              <w:textAlignment w:val="center"/>
              <w:rPr>
                <w:rFonts w:hint="eastAsia" w:ascii="Times New Roman" w:hAnsi="Times New Roman" w:eastAsia="宋体" w:cs="Times New Roman"/>
                <w:bCs/>
                <w:i w:val="0"/>
                <w:iCs w:val="0"/>
                <w:color w:val="auto"/>
                <w:sz w:val="21"/>
                <w:szCs w:val="21"/>
                <w:highlight w:val="none"/>
                <w:u w:val="none"/>
                <w:lang w:bidi="ar"/>
              </w:rPr>
            </w:pPr>
            <w:r>
              <w:rPr>
                <w:rFonts w:hint="eastAsia" w:ascii="Times New Roman" w:hAnsi="Times New Roman" w:eastAsia="宋体" w:cs="Times New Roman"/>
                <w:bCs/>
                <w:i w:val="0"/>
                <w:iCs w:val="0"/>
                <w:color w:val="auto"/>
                <w:kern w:val="0"/>
                <w:sz w:val="21"/>
                <w:szCs w:val="21"/>
                <w:highlight w:val="none"/>
                <w:u w:val="none"/>
                <w:lang w:val="en-US" w:eastAsia="zh-CN" w:bidi="ar"/>
              </w:rPr>
              <w:t>伊宁县2024年玉米绿色高产高效行动项目标项二、标项三（二次）合同</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C6DF2">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Cs/>
                <w:i w:val="0"/>
                <w:iCs w:val="0"/>
                <w:color w:val="auto"/>
                <w:sz w:val="21"/>
                <w:szCs w:val="21"/>
                <w:highlight w:val="none"/>
                <w:u w:val="none"/>
                <w:lang w:bidi="ar"/>
              </w:rPr>
            </w:pPr>
            <w:r>
              <w:rPr>
                <w:rFonts w:hint="eastAsia" w:ascii="Times New Roman" w:hAnsi="Times New Roman" w:eastAsia="宋体" w:cs="Times New Roman"/>
                <w:bCs/>
                <w:i w:val="0"/>
                <w:iCs w:val="0"/>
                <w:color w:val="auto"/>
                <w:kern w:val="0"/>
                <w:sz w:val="21"/>
                <w:szCs w:val="21"/>
                <w:highlight w:val="none"/>
                <w:u w:val="none"/>
                <w:lang w:val="en-US" w:eastAsia="zh-CN" w:bidi="ar"/>
              </w:rPr>
              <w:t>货物</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2695D">
            <w:pPr>
              <w:keepNext w:val="0"/>
              <w:keepLines w:val="0"/>
              <w:widowControl/>
              <w:suppressLineNumbers w:val="0"/>
              <w:spacing w:line="240" w:lineRule="auto"/>
              <w:ind w:firstLine="0" w:firstLineChars="0"/>
              <w:jc w:val="right"/>
              <w:textAlignment w:val="center"/>
              <w:rPr>
                <w:rFonts w:hint="eastAsia" w:ascii="Times New Roman" w:hAnsi="Times New Roman" w:eastAsia="宋体" w:cs="Times New Roman"/>
                <w:bCs/>
                <w:i w:val="0"/>
                <w:iCs w:val="0"/>
                <w:color w:val="auto"/>
                <w:sz w:val="21"/>
                <w:szCs w:val="21"/>
                <w:highlight w:val="none"/>
                <w:u w:val="none"/>
                <w:lang w:bidi="ar"/>
              </w:rPr>
            </w:pPr>
            <w:r>
              <w:rPr>
                <w:rFonts w:hint="eastAsia" w:ascii="Times New Roman" w:hAnsi="Times New Roman" w:eastAsia="宋体" w:cs="Times New Roman"/>
                <w:bCs/>
                <w:i w:val="0"/>
                <w:iCs w:val="0"/>
                <w:color w:val="auto"/>
                <w:kern w:val="0"/>
                <w:sz w:val="21"/>
                <w:szCs w:val="21"/>
                <w:highlight w:val="none"/>
                <w:u w:val="none"/>
                <w:lang w:val="en-US" w:eastAsia="zh-CN" w:bidi="ar"/>
              </w:rPr>
              <w:t xml:space="preserve"> 66.42 </w:t>
            </w:r>
          </w:p>
        </w:tc>
      </w:tr>
      <w:tr w14:paraId="6C43B0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68532">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Cs/>
                <w:i w:val="0"/>
                <w:iCs w:val="0"/>
                <w:color w:val="auto"/>
                <w:sz w:val="21"/>
                <w:szCs w:val="21"/>
                <w:highlight w:val="none"/>
                <w:u w:val="none"/>
                <w:lang w:bidi="ar"/>
              </w:rPr>
            </w:pPr>
            <w:r>
              <w:rPr>
                <w:rFonts w:hint="eastAsia" w:ascii="Times New Roman" w:hAnsi="Times New Roman" w:eastAsia="宋体" w:cs="Times New Roman"/>
                <w:bCs/>
                <w:i w:val="0"/>
                <w:iCs w:val="0"/>
                <w:color w:val="auto"/>
                <w:kern w:val="0"/>
                <w:sz w:val="21"/>
                <w:szCs w:val="21"/>
                <w:highlight w:val="none"/>
                <w:u w:val="none"/>
                <w:lang w:val="en-US" w:eastAsia="zh-CN" w:bidi="ar"/>
              </w:rPr>
              <w:t>5</w:t>
            </w:r>
          </w:p>
        </w:tc>
        <w:tc>
          <w:tcPr>
            <w:tcW w:w="5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BF086">
            <w:pPr>
              <w:keepNext w:val="0"/>
              <w:keepLines w:val="0"/>
              <w:widowControl/>
              <w:suppressLineNumbers w:val="0"/>
              <w:spacing w:line="240" w:lineRule="auto"/>
              <w:ind w:firstLine="0" w:firstLineChars="0"/>
              <w:jc w:val="left"/>
              <w:textAlignment w:val="center"/>
              <w:rPr>
                <w:rFonts w:hint="eastAsia" w:ascii="Times New Roman" w:hAnsi="Times New Roman" w:eastAsia="宋体" w:cs="Times New Roman"/>
                <w:bCs/>
                <w:i w:val="0"/>
                <w:iCs w:val="0"/>
                <w:color w:val="auto"/>
                <w:sz w:val="21"/>
                <w:szCs w:val="21"/>
                <w:highlight w:val="none"/>
                <w:u w:val="none"/>
                <w:lang w:bidi="ar"/>
              </w:rPr>
            </w:pPr>
            <w:r>
              <w:rPr>
                <w:rFonts w:hint="eastAsia" w:ascii="Times New Roman" w:hAnsi="Times New Roman" w:eastAsia="宋体" w:cs="Times New Roman"/>
                <w:bCs/>
                <w:i w:val="0"/>
                <w:iCs w:val="0"/>
                <w:color w:val="auto"/>
                <w:kern w:val="0"/>
                <w:sz w:val="21"/>
                <w:szCs w:val="21"/>
                <w:highlight w:val="none"/>
                <w:u w:val="none"/>
                <w:lang w:val="en-US" w:eastAsia="zh-CN" w:bidi="ar"/>
              </w:rPr>
              <w:t>关于车辆保险的框架协议合同</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6694F">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Cs/>
                <w:i w:val="0"/>
                <w:iCs w:val="0"/>
                <w:color w:val="auto"/>
                <w:sz w:val="21"/>
                <w:szCs w:val="21"/>
                <w:highlight w:val="none"/>
                <w:u w:val="none"/>
                <w:lang w:bidi="ar"/>
              </w:rPr>
            </w:pPr>
            <w:r>
              <w:rPr>
                <w:rFonts w:hint="eastAsia" w:ascii="Times New Roman" w:hAnsi="Times New Roman" w:eastAsia="宋体" w:cs="Times New Roman"/>
                <w:bCs/>
                <w:i w:val="0"/>
                <w:iCs w:val="0"/>
                <w:color w:val="auto"/>
                <w:kern w:val="0"/>
                <w:sz w:val="21"/>
                <w:szCs w:val="21"/>
                <w:highlight w:val="none"/>
                <w:u w:val="none"/>
                <w:lang w:val="en-US" w:eastAsia="zh-CN" w:bidi="ar"/>
              </w:rPr>
              <w:t>服务</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9D7B2">
            <w:pPr>
              <w:keepNext w:val="0"/>
              <w:keepLines w:val="0"/>
              <w:widowControl/>
              <w:suppressLineNumbers w:val="0"/>
              <w:spacing w:line="240" w:lineRule="auto"/>
              <w:ind w:firstLine="0" w:firstLineChars="0"/>
              <w:jc w:val="right"/>
              <w:textAlignment w:val="center"/>
              <w:rPr>
                <w:rFonts w:hint="eastAsia" w:ascii="Times New Roman" w:hAnsi="Times New Roman" w:eastAsia="宋体" w:cs="Times New Roman"/>
                <w:bCs/>
                <w:i w:val="0"/>
                <w:iCs w:val="0"/>
                <w:color w:val="auto"/>
                <w:sz w:val="21"/>
                <w:szCs w:val="21"/>
                <w:highlight w:val="none"/>
                <w:u w:val="none"/>
                <w:lang w:bidi="ar"/>
              </w:rPr>
            </w:pPr>
            <w:r>
              <w:rPr>
                <w:rFonts w:hint="eastAsia" w:ascii="Times New Roman" w:hAnsi="Times New Roman" w:eastAsia="宋体" w:cs="Times New Roman"/>
                <w:bCs/>
                <w:i w:val="0"/>
                <w:iCs w:val="0"/>
                <w:color w:val="auto"/>
                <w:kern w:val="0"/>
                <w:sz w:val="21"/>
                <w:szCs w:val="21"/>
                <w:highlight w:val="none"/>
                <w:u w:val="none"/>
                <w:lang w:val="en-US" w:eastAsia="zh-CN" w:bidi="ar"/>
              </w:rPr>
              <w:t xml:space="preserve"> 0.14 </w:t>
            </w:r>
          </w:p>
        </w:tc>
      </w:tr>
      <w:tr w14:paraId="59AEB6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BE75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Cs/>
                <w:i w:val="0"/>
                <w:iCs w:val="0"/>
                <w:color w:val="auto"/>
                <w:sz w:val="21"/>
                <w:szCs w:val="21"/>
                <w:highlight w:val="none"/>
                <w:u w:val="none"/>
                <w:lang w:bidi="ar"/>
              </w:rPr>
            </w:pPr>
            <w:r>
              <w:rPr>
                <w:rFonts w:hint="eastAsia" w:ascii="Times New Roman" w:hAnsi="Times New Roman" w:eastAsia="宋体" w:cs="Times New Roman"/>
                <w:bCs/>
                <w:i w:val="0"/>
                <w:iCs w:val="0"/>
                <w:color w:val="auto"/>
                <w:kern w:val="0"/>
                <w:sz w:val="21"/>
                <w:szCs w:val="21"/>
                <w:highlight w:val="none"/>
                <w:u w:val="none"/>
                <w:lang w:val="en-US" w:eastAsia="zh-CN" w:bidi="ar"/>
              </w:rPr>
              <w:t>6</w:t>
            </w:r>
          </w:p>
        </w:tc>
        <w:tc>
          <w:tcPr>
            <w:tcW w:w="5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23A48">
            <w:pPr>
              <w:keepNext w:val="0"/>
              <w:keepLines w:val="0"/>
              <w:widowControl/>
              <w:suppressLineNumbers w:val="0"/>
              <w:spacing w:line="240" w:lineRule="auto"/>
              <w:ind w:firstLine="0" w:firstLineChars="0"/>
              <w:jc w:val="left"/>
              <w:textAlignment w:val="center"/>
              <w:rPr>
                <w:rFonts w:hint="eastAsia" w:ascii="Times New Roman" w:hAnsi="Times New Roman" w:eastAsia="宋体" w:cs="Times New Roman"/>
                <w:bCs/>
                <w:i w:val="0"/>
                <w:iCs w:val="0"/>
                <w:color w:val="auto"/>
                <w:sz w:val="21"/>
                <w:szCs w:val="21"/>
                <w:highlight w:val="none"/>
                <w:u w:val="none"/>
                <w:lang w:bidi="ar"/>
              </w:rPr>
            </w:pPr>
            <w:r>
              <w:rPr>
                <w:rFonts w:hint="eastAsia" w:ascii="Times New Roman" w:hAnsi="Times New Roman" w:eastAsia="宋体" w:cs="Times New Roman"/>
                <w:bCs/>
                <w:i w:val="0"/>
                <w:iCs w:val="0"/>
                <w:color w:val="auto"/>
                <w:kern w:val="0"/>
                <w:sz w:val="21"/>
                <w:szCs w:val="21"/>
                <w:highlight w:val="none"/>
                <w:u w:val="none"/>
                <w:lang w:val="en-US" w:eastAsia="zh-CN" w:bidi="ar"/>
              </w:rPr>
              <w:t>伊宁县2023年第三次全国土壤普查项目合同</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5531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Cs/>
                <w:i w:val="0"/>
                <w:iCs w:val="0"/>
                <w:color w:val="auto"/>
                <w:sz w:val="21"/>
                <w:szCs w:val="21"/>
                <w:highlight w:val="none"/>
                <w:u w:val="none"/>
                <w:lang w:bidi="ar"/>
              </w:rPr>
            </w:pPr>
            <w:r>
              <w:rPr>
                <w:rFonts w:hint="eastAsia" w:ascii="Times New Roman" w:hAnsi="Times New Roman" w:eastAsia="宋体" w:cs="Times New Roman"/>
                <w:bCs/>
                <w:i w:val="0"/>
                <w:iCs w:val="0"/>
                <w:color w:val="auto"/>
                <w:kern w:val="0"/>
                <w:sz w:val="21"/>
                <w:szCs w:val="21"/>
                <w:highlight w:val="none"/>
                <w:u w:val="none"/>
                <w:lang w:val="en-US" w:eastAsia="zh-CN" w:bidi="ar"/>
              </w:rPr>
              <w:t>服务</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A0D2E">
            <w:pPr>
              <w:keepNext w:val="0"/>
              <w:keepLines w:val="0"/>
              <w:widowControl/>
              <w:suppressLineNumbers w:val="0"/>
              <w:spacing w:line="240" w:lineRule="auto"/>
              <w:ind w:firstLine="0" w:firstLineChars="0"/>
              <w:jc w:val="right"/>
              <w:textAlignment w:val="center"/>
              <w:rPr>
                <w:rFonts w:hint="eastAsia" w:ascii="Times New Roman" w:hAnsi="Times New Roman" w:eastAsia="宋体" w:cs="Times New Roman"/>
                <w:bCs/>
                <w:i w:val="0"/>
                <w:iCs w:val="0"/>
                <w:color w:val="auto"/>
                <w:sz w:val="21"/>
                <w:szCs w:val="21"/>
                <w:highlight w:val="none"/>
                <w:u w:val="none"/>
                <w:lang w:bidi="ar"/>
              </w:rPr>
            </w:pPr>
            <w:r>
              <w:rPr>
                <w:rFonts w:hint="eastAsia" w:ascii="Times New Roman" w:hAnsi="Times New Roman" w:eastAsia="宋体" w:cs="Times New Roman"/>
                <w:bCs/>
                <w:i w:val="0"/>
                <w:iCs w:val="0"/>
                <w:color w:val="auto"/>
                <w:kern w:val="0"/>
                <w:sz w:val="21"/>
                <w:szCs w:val="21"/>
                <w:highlight w:val="none"/>
                <w:u w:val="none"/>
                <w:lang w:val="en-US" w:eastAsia="zh-CN" w:bidi="ar"/>
              </w:rPr>
              <w:t xml:space="preserve"> 523.80 </w:t>
            </w:r>
          </w:p>
        </w:tc>
      </w:tr>
      <w:tr w14:paraId="66E05D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D3FD3">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Cs/>
                <w:i w:val="0"/>
                <w:iCs w:val="0"/>
                <w:color w:val="auto"/>
                <w:sz w:val="21"/>
                <w:szCs w:val="21"/>
                <w:highlight w:val="none"/>
                <w:u w:val="none"/>
                <w:lang w:bidi="ar"/>
              </w:rPr>
            </w:pPr>
            <w:r>
              <w:rPr>
                <w:rFonts w:hint="eastAsia" w:ascii="Times New Roman" w:hAnsi="Times New Roman" w:eastAsia="宋体" w:cs="Times New Roman"/>
                <w:bCs/>
                <w:i w:val="0"/>
                <w:iCs w:val="0"/>
                <w:color w:val="auto"/>
                <w:kern w:val="0"/>
                <w:sz w:val="21"/>
                <w:szCs w:val="21"/>
                <w:highlight w:val="none"/>
                <w:u w:val="none"/>
                <w:lang w:val="en-US" w:eastAsia="zh-CN" w:bidi="ar"/>
              </w:rPr>
              <w:t>7</w:t>
            </w:r>
          </w:p>
        </w:tc>
        <w:tc>
          <w:tcPr>
            <w:tcW w:w="5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C6582">
            <w:pPr>
              <w:keepNext w:val="0"/>
              <w:keepLines w:val="0"/>
              <w:widowControl/>
              <w:suppressLineNumbers w:val="0"/>
              <w:spacing w:line="240" w:lineRule="auto"/>
              <w:ind w:firstLine="0" w:firstLineChars="0"/>
              <w:jc w:val="left"/>
              <w:textAlignment w:val="center"/>
              <w:rPr>
                <w:rFonts w:hint="eastAsia" w:ascii="Times New Roman" w:hAnsi="Times New Roman" w:eastAsia="宋体" w:cs="Times New Roman"/>
                <w:bCs/>
                <w:i w:val="0"/>
                <w:iCs w:val="0"/>
                <w:color w:val="auto"/>
                <w:sz w:val="21"/>
                <w:szCs w:val="21"/>
                <w:highlight w:val="none"/>
                <w:u w:val="none"/>
                <w:lang w:bidi="ar"/>
              </w:rPr>
            </w:pPr>
            <w:r>
              <w:rPr>
                <w:rFonts w:hint="eastAsia" w:ascii="Times New Roman" w:hAnsi="Times New Roman" w:eastAsia="宋体" w:cs="Times New Roman"/>
                <w:bCs/>
                <w:i w:val="0"/>
                <w:iCs w:val="0"/>
                <w:color w:val="auto"/>
                <w:kern w:val="0"/>
                <w:sz w:val="21"/>
                <w:szCs w:val="21"/>
                <w:highlight w:val="none"/>
                <w:u w:val="none"/>
                <w:lang w:val="en-US" w:eastAsia="zh-CN" w:bidi="ar"/>
              </w:rPr>
              <w:t>伊宁县2024年小麦“一喷三防”项目合同</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8D2B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Cs/>
                <w:i w:val="0"/>
                <w:iCs w:val="0"/>
                <w:color w:val="auto"/>
                <w:sz w:val="21"/>
                <w:szCs w:val="21"/>
                <w:highlight w:val="none"/>
                <w:u w:val="none"/>
                <w:lang w:bidi="ar"/>
              </w:rPr>
            </w:pPr>
            <w:r>
              <w:rPr>
                <w:rFonts w:hint="eastAsia" w:ascii="Times New Roman" w:hAnsi="Times New Roman" w:eastAsia="宋体" w:cs="Times New Roman"/>
                <w:bCs/>
                <w:i w:val="0"/>
                <w:iCs w:val="0"/>
                <w:color w:val="auto"/>
                <w:kern w:val="0"/>
                <w:sz w:val="21"/>
                <w:szCs w:val="21"/>
                <w:highlight w:val="none"/>
                <w:u w:val="none"/>
                <w:lang w:val="en-US" w:eastAsia="zh-CN" w:bidi="ar"/>
              </w:rPr>
              <w:t>货物</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ABFB6">
            <w:pPr>
              <w:keepNext w:val="0"/>
              <w:keepLines w:val="0"/>
              <w:widowControl/>
              <w:suppressLineNumbers w:val="0"/>
              <w:spacing w:line="240" w:lineRule="auto"/>
              <w:ind w:firstLine="0" w:firstLineChars="0"/>
              <w:jc w:val="right"/>
              <w:textAlignment w:val="center"/>
              <w:rPr>
                <w:rFonts w:hint="eastAsia" w:ascii="Times New Roman" w:hAnsi="Times New Roman" w:eastAsia="宋体" w:cs="Times New Roman"/>
                <w:bCs/>
                <w:i w:val="0"/>
                <w:iCs w:val="0"/>
                <w:color w:val="auto"/>
                <w:sz w:val="21"/>
                <w:szCs w:val="21"/>
                <w:highlight w:val="none"/>
                <w:u w:val="none"/>
                <w:lang w:bidi="ar"/>
              </w:rPr>
            </w:pPr>
            <w:r>
              <w:rPr>
                <w:rFonts w:hint="eastAsia" w:ascii="Times New Roman" w:hAnsi="Times New Roman" w:eastAsia="宋体" w:cs="Times New Roman"/>
                <w:bCs/>
                <w:i w:val="0"/>
                <w:iCs w:val="0"/>
                <w:color w:val="auto"/>
                <w:kern w:val="0"/>
                <w:sz w:val="21"/>
                <w:szCs w:val="21"/>
                <w:highlight w:val="none"/>
                <w:u w:val="none"/>
                <w:lang w:val="en-US" w:eastAsia="zh-CN" w:bidi="ar"/>
              </w:rPr>
              <w:t xml:space="preserve"> 112.31 </w:t>
            </w:r>
          </w:p>
        </w:tc>
      </w:tr>
      <w:tr w14:paraId="623A5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931D0">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Cs/>
                <w:i w:val="0"/>
                <w:iCs w:val="0"/>
                <w:color w:val="auto"/>
                <w:sz w:val="21"/>
                <w:szCs w:val="21"/>
                <w:highlight w:val="none"/>
                <w:u w:val="none"/>
                <w:lang w:bidi="ar"/>
              </w:rPr>
            </w:pPr>
            <w:r>
              <w:rPr>
                <w:rFonts w:hint="eastAsia" w:ascii="Times New Roman" w:hAnsi="Times New Roman" w:eastAsia="宋体" w:cs="Times New Roman"/>
                <w:bCs/>
                <w:i w:val="0"/>
                <w:iCs w:val="0"/>
                <w:color w:val="auto"/>
                <w:kern w:val="0"/>
                <w:sz w:val="21"/>
                <w:szCs w:val="21"/>
                <w:highlight w:val="none"/>
                <w:u w:val="none"/>
                <w:lang w:val="en-US" w:eastAsia="zh-CN" w:bidi="ar"/>
              </w:rPr>
              <w:t>8</w:t>
            </w:r>
          </w:p>
        </w:tc>
        <w:tc>
          <w:tcPr>
            <w:tcW w:w="5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AD166">
            <w:pPr>
              <w:keepNext w:val="0"/>
              <w:keepLines w:val="0"/>
              <w:widowControl/>
              <w:suppressLineNumbers w:val="0"/>
              <w:spacing w:line="240" w:lineRule="auto"/>
              <w:ind w:firstLine="0" w:firstLineChars="0"/>
              <w:jc w:val="left"/>
              <w:textAlignment w:val="center"/>
              <w:rPr>
                <w:rFonts w:hint="eastAsia" w:ascii="Times New Roman" w:hAnsi="Times New Roman" w:eastAsia="宋体" w:cs="Times New Roman"/>
                <w:bCs/>
                <w:i w:val="0"/>
                <w:iCs w:val="0"/>
                <w:color w:val="auto"/>
                <w:sz w:val="21"/>
                <w:szCs w:val="21"/>
                <w:highlight w:val="none"/>
                <w:u w:val="none"/>
                <w:lang w:bidi="ar"/>
              </w:rPr>
            </w:pPr>
            <w:r>
              <w:rPr>
                <w:rFonts w:hint="eastAsia" w:ascii="Times New Roman" w:hAnsi="Times New Roman" w:eastAsia="宋体" w:cs="Times New Roman"/>
                <w:bCs/>
                <w:i w:val="0"/>
                <w:iCs w:val="0"/>
                <w:color w:val="auto"/>
                <w:kern w:val="0"/>
                <w:sz w:val="21"/>
                <w:szCs w:val="21"/>
                <w:highlight w:val="none"/>
                <w:u w:val="none"/>
                <w:lang w:val="en-US" w:eastAsia="zh-CN" w:bidi="ar"/>
              </w:rPr>
              <w:t>关于车辆保险的框架协议合同</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186EA">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Cs/>
                <w:i w:val="0"/>
                <w:iCs w:val="0"/>
                <w:color w:val="auto"/>
                <w:sz w:val="21"/>
                <w:szCs w:val="21"/>
                <w:highlight w:val="none"/>
                <w:u w:val="none"/>
                <w:lang w:bidi="ar"/>
              </w:rPr>
            </w:pPr>
            <w:r>
              <w:rPr>
                <w:rFonts w:hint="eastAsia" w:ascii="Times New Roman" w:hAnsi="Times New Roman" w:eastAsia="宋体" w:cs="Times New Roman"/>
                <w:bCs/>
                <w:i w:val="0"/>
                <w:iCs w:val="0"/>
                <w:color w:val="auto"/>
                <w:kern w:val="0"/>
                <w:sz w:val="21"/>
                <w:szCs w:val="21"/>
                <w:highlight w:val="none"/>
                <w:u w:val="none"/>
                <w:lang w:val="en-US" w:eastAsia="zh-CN" w:bidi="ar"/>
              </w:rPr>
              <w:t>服务</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1F3D1">
            <w:pPr>
              <w:keepNext w:val="0"/>
              <w:keepLines w:val="0"/>
              <w:widowControl/>
              <w:suppressLineNumbers w:val="0"/>
              <w:spacing w:line="240" w:lineRule="auto"/>
              <w:ind w:firstLine="0" w:firstLineChars="0"/>
              <w:jc w:val="right"/>
              <w:textAlignment w:val="center"/>
              <w:rPr>
                <w:rFonts w:hint="eastAsia" w:ascii="Times New Roman" w:hAnsi="Times New Roman" w:eastAsia="宋体" w:cs="Times New Roman"/>
                <w:bCs/>
                <w:i w:val="0"/>
                <w:iCs w:val="0"/>
                <w:color w:val="auto"/>
                <w:sz w:val="21"/>
                <w:szCs w:val="21"/>
                <w:highlight w:val="none"/>
                <w:u w:val="none"/>
                <w:lang w:bidi="ar"/>
              </w:rPr>
            </w:pPr>
            <w:r>
              <w:rPr>
                <w:rFonts w:hint="eastAsia" w:ascii="Times New Roman" w:hAnsi="Times New Roman" w:eastAsia="宋体" w:cs="Times New Roman"/>
                <w:bCs/>
                <w:i w:val="0"/>
                <w:iCs w:val="0"/>
                <w:color w:val="auto"/>
                <w:kern w:val="0"/>
                <w:sz w:val="21"/>
                <w:szCs w:val="21"/>
                <w:highlight w:val="none"/>
                <w:u w:val="none"/>
                <w:lang w:val="en-US" w:eastAsia="zh-CN" w:bidi="ar"/>
              </w:rPr>
              <w:t xml:space="preserve"> 0.24 </w:t>
            </w:r>
          </w:p>
        </w:tc>
      </w:tr>
      <w:tr w14:paraId="0656F5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B3E5B">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Cs/>
                <w:i w:val="0"/>
                <w:iCs w:val="0"/>
                <w:color w:val="auto"/>
                <w:sz w:val="21"/>
                <w:szCs w:val="21"/>
                <w:highlight w:val="none"/>
                <w:u w:val="none"/>
                <w:lang w:bidi="ar"/>
              </w:rPr>
            </w:pPr>
            <w:r>
              <w:rPr>
                <w:rFonts w:hint="eastAsia" w:ascii="Times New Roman" w:hAnsi="Times New Roman" w:eastAsia="宋体" w:cs="Times New Roman"/>
                <w:bCs/>
                <w:i w:val="0"/>
                <w:iCs w:val="0"/>
                <w:color w:val="auto"/>
                <w:kern w:val="0"/>
                <w:sz w:val="21"/>
                <w:szCs w:val="21"/>
                <w:highlight w:val="none"/>
                <w:u w:val="none"/>
                <w:lang w:val="en-US" w:eastAsia="zh-CN" w:bidi="ar"/>
              </w:rPr>
              <w:t>9</w:t>
            </w:r>
          </w:p>
        </w:tc>
        <w:tc>
          <w:tcPr>
            <w:tcW w:w="5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D296D">
            <w:pPr>
              <w:keepNext w:val="0"/>
              <w:keepLines w:val="0"/>
              <w:widowControl/>
              <w:suppressLineNumbers w:val="0"/>
              <w:spacing w:line="240" w:lineRule="auto"/>
              <w:ind w:firstLine="0" w:firstLineChars="0"/>
              <w:jc w:val="left"/>
              <w:textAlignment w:val="center"/>
              <w:rPr>
                <w:rFonts w:hint="eastAsia" w:ascii="Times New Roman" w:hAnsi="Times New Roman" w:eastAsia="宋体" w:cs="Times New Roman"/>
                <w:bCs/>
                <w:i w:val="0"/>
                <w:iCs w:val="0"/>
                <w:color w:val="auto"/>
                <w:sz w:val="21"/>
                <w:szCs w:val="21"/>
                <w:highlight w:val="none"/>
                <w:u w:val="none"/>
                <w:lang w:bidi="ar"/>
              </w:rPr>
            </w:pPr>
            <w:r>
              <w:rPr>
                <w:rFonts w:hint="eastAsia" w:ascii="Times New Roman" w:hAnsi="Times New Roman" w:eastAsia="宋体" w:cs="Times New Roman"/>
                <w:bCs/>
                <w:i w:val="0"/>
                <w:iCs w:val="0"/>
                <w:color w:val="auto"/>
                <w:kern w:val="0"/>
                <w:sz w:val="21"/>
                <w:szCs w:val="21"/>
                <w:highlight w:val="none"/>
                <w:u w:val="none"/>
                <w:lang w:val="en-US" w:eastAsia="zh-CN" w:bidi="ar"/>
              </w:rPr>
              <w:t>伊宁县2024年玉米绿色高产高效行动项目标项二、标项三（二次）合同</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DDC09">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Cs/>
                <w:i w:val="0"/>
                <w:iCs w:val="0"/>
                <w:color w:val="auto"/>
                <w:sz w:val="21"/>
                <w:szCs w:val="21"/>
                <w:highlight w:val="none"/>
                <w:u w:val="none"/>
                <w:lang w:bidi="ar"/>
              </w:rPr>
            </w:pPr>
            <w:r>
              <w:rPr>
                <w:rFonts w:hint="eastAsia" w:ascii="Times New Roman" w:hAnsi="Times New Roman" w:eastAsia="宋体" w:cs="Times New Roman"/>
                <w:bCs/>
                <w:i w:val="0"/>
                <w:iCs w:val="0"/>
                <w:color w:val="auto"/>
                <w:kern w:val="0"/>
                <w:sz w:val="21"/>
                <w:szCs w:val="21"/>
                <w:highlight w:val="none"/>
                <w:u w:val="none"/>
                <w:lang w:val="en-US" w:eastAsia="zh-CN" w:bidi="ar"/>
              </w:rPr>
              <w:t>货物</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10C85">
            <w:pPr>
              <w:keepNext w:val="0"/>
              <w:keepLines w:val="0"/>
              <w:widowControl/>
              <w:suppressLineNumbers w:val="0"/>
              <w:spacing w:line="240" w:lineRule="auto"/>
              <w:ind w:firstLine="0" w:firstLineChars="0"/>
              <w:jc w:val="right"/>
              <w:textAlignment w:val="center"/>
              <w:rPr>
                <w:rFonts w:hint="eastAsia" w:ascii="Times New Roman" w:hAnsi="Times New Roman" w:eastAsia="宋体" w:cs="Times New Roman"/>
                <w:bCs/>
                <w:i w:val="0"/>
                <w:iCs w:val="0"/>
                <w:color w:val="auto"/>
                <w:sz w:val="21"/>
                <w:szCs w:val="21"/>
                <w:highlight w:val="none"/>
                <w:u w:val="none"/>
                <w:lang w:bidi="ar"/>
              </w:rPr>
            </w:pPr>
            <w:r>
              <w:rPr>
                <w:rFonts w:hint="eastAsia" w:ascii="Times New Roman" w:hAnsi="Times New Roman" w:eastAsia="宋体" w:cs="Times New Roman"/>
                <w:bCs/>
                <w:i w:val="0"/>
                <w:iCs w:val="0"/>
                <w:color w:val="auto"/>
                <w:kern w:val="0"/>
                <w:sz w:val="21"/>
                <w:szCs w:val="21"/>
                <w:highlight w:val="none"/>
                <w:u w:val="none"/>
                <w:lang w:val="en-US" w:eastAsia="zh-CN" w:bidi="ar"/>
              </w:rPr>
              <w:t xml:space="preserve"> 167.40 </w:t>
            </w:r>
          </w:p>
        </w:tc>
      </w:tr>
      <w:tr w14:paraId="20A2F8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7894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Cs/>
                <w:i w:val="0"/>
                <w:iCs w:val="0"/>
                <w:color w:val="auto"/>
                <w:sz w:val="21"/>
                <w:szCs w:val="21"/>
                <w:highlight w:val="none"/>
                <w:u w:val="none"/>
                <w:lang w:bidi="ar"/>
              </w:rPr>
            </w:pPr>
            <w:r>
              <w:rPr>
                <w:rFonts w:hint="eastAsia" w:ascii="Times New Roman" w:hAnsi="Times New Roman" w:eastAsia="宋体" w:cs="Times New Roman"/>
                <w:bCs/>
                <w:i w:val="0"/>
                <w:iCs w:val="0"/>
                <w:color w:val="auto"/>
                <w:kern w:val="0"/>
                <w:sz w:val="21"/>
                <w:szCs w:val="21"/>
                <w:highlight w:val="none"/>
                <w:u w:val="none"/>
                <w:lang w:val="en-US" w:eastAsia="zh-CN" w:bidi="ar"/>
              </w:rPr>
              <w:t>10</w:t>
            </w:r>
          </w:p>
        </w:tc>
        <w:tc>
          <w:tcPr>
            <w:tcW w:w="5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955FB">
            <w:pPr>
              <w:keepNext w:val="0"/>
              <w:keepLines w:val="0"/>
              <w:widowControl/>
              <w:suppressLineNumbers w:val="0"/>
              <w:spacing w:line="240" w:lineRule="auto"/>
              <w:ind w:firstLine="0" w:firstLineChars="0"/>
              <w:jc w:val="left"/>
              <w:textAlignment w:val="center"/>
              <w:rPr>
                <w:rFonts w:hint="eastAsia" w:ascii="Times New Roman" w:hAnsi="Times New Roman" w:eastAsia="宋体" w:cs="Times New Roman"/>
                <w:bCs/>
                <w:i w:val="0"/>
                <w:iCs w:val="0"/>
                <w:color w:val="auto"/>
                <w:sz w:val="21"/>
                <w:szCs w:val="21"/>
                <w:highlight w:val="none"/>
                <w:u w:val="none"/>
                <w:lang w:bidi="ar"/>
              </w:rPr>
            </w:pPr>
            <w:r>
              <w:rPr>
                <w:rFonts w:hint="eastAsia" w:ascii="Times New Roman" w:hAnsi="Times New Roman" w:eastAsia="宋体" w:cs="Times New Roman"/>
                <w:bCs/>
                <w:i w:val="0"/>
                <w:iCs w:val="0"/>
                <w:color w:val="auto"/>
                <w:kern w:val="0"/>
                <w:sz w:val="21"/>
                <w:szCs w:val="21"/>
                <w:highlight w:val="none"/>
                <w:u w:val="none"/>
                <w:lang w:val="en-US" w:eastAsia="zh-CN" w:bidi="ar"/>
              </w:rPr>
              <w:t>伊宁县2024玉米绿色高产高效行动项目合同</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C8289">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Cs/>
                <w:i w:val="0"/>
                <w:iCs w:val="0"/>
                <w:color w:val="auto"/>
                <w:sz w:val="21"/>
                <w:szCs w:val="21"/>
                <w:highlight w:val="none"/>
                <w:u w:val="none"/>
                <w:lang w:bidi="ar"/>
              </w:rPr>
            </w:pPr>
            <w:r>
              <w:rPr>
                <w:rFonts w:hint="eastAsia" w:ascii="Times New Roman" w:hAnsi="Times New Roman" w:eastAsia="宋体" w:cs="Times New Roman"/>
                <w:bCs/>
                <w:i w:val="0"/>
                <w:iCs w:val="0"/>
                <w:color w:val="auto"/>
                <w:kern w:val="0"/>
                <w:sz w:val="21"/>
                <w:szCs w:val="21"/>
                <w:highlight w:val="none"/>
                <w:u w:val="none"/>
                <w:lang w:val="en-US" w:eastAsia="zh-CN" w:bidi="ar"/>
              </w:rPr>
              <w:t>服务</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9BF9A">
            <w:pPr>
              <w:keepNext w:val="0"/>
              <w:keepLines w:val="0"/>
              <w:widowControl/>
              <w:suppressLineNumbers w:val="0"/>
              <w:spacing w:line="240" w:lineRule="auto"/>
              <w:ind w:firstLine="0" w:firstLineChars="0"/>
              <w:jc w:val="right"/>
              <w:textAlignment w:val="center"/>
              <w:rPr>
                <w:rFonts w:hint="eastAsia" w:ascii="Times New Roman" w:hAnsi="Times New Roman" w:eastAsia="宋体" w:cs="Times New Roman"/>
                <w:bCs/>
                <w:i w:val="0"/>
                <w:iCs w:val="0"/>
                <w:color w:val="auto"/>
                <w:sz w:val="21"/>
                <w:szCs w:val="21"/>
                <w:highlight w:val="none"/>
                <w:u w:val="none"/>
                <w:lang w:bidi="ar"/>
              </w:rPr>
            </w:pPr>
            <w:r>
              <w:rPr>
                <w:rFonts w:hint="eastAsia" w:ascii="Times New Roman" w:hAnsi="Times New Roman" w:eastAsia="宋体" w:cs="Times New Roman"/>
                <w:bCs/>
                <w:i w:val="0"/>
                <w:iCs w:val="0"/>
                <w:color w:val="auto"/>
                <w:kern w:val="0"/>
                <w:sz w:val="21"/>
                <w:szCs w:val="21"/>
                <w:highlight w:val="none"/>
                <w:u w:val="none"/>
                <w:lang w:val="en-US" w:eastAsia="zh-CN" w:bidi="ar"/>
              </w:rPr>
              <w:t xml:space="preserve"> 30.00 </w:t>
            </w:r>
          </w:p>
        </w:tc>
      </w:tr>
      <w:tr w14:paraId="5D12A7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D61E1">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Cs/>
                <w:i w:val="0"/>
                <w:iCs w:val="0"/>
                <w:color w:val="auto"/>
                <w:sz w:val="21"/>
                <w:szCs w:val="21"/>
                <w:highlight w:val="none"/>
                <w:u w:val="none"/>
                <w:lang w:bidi="ar"/>
              </w:rPr>
            </w:pPr>
            <w:r>
              <w:rPr>
                <w:rFonts w:hint="eastAsia" w:ascii="Times New Roman" w:hAnsi="Times New Roman" w:eastAsia="宋体" w:cs="Times New Roman"/>
                <w:bCs/>
                <w:i w:val="0"/>
                <w:iCs w:val="0"/>
                <w:color w:val="auto"/>
                <w:kern w:val="0"/>
                <w:sz w:val="21"/>
                <w:szCs w:val="21"/>
                <w:highlight w:val="none"/>
                <w:u w:val="none"/>
                <w:lang w:val="en-US" w:eastAsia="zh-CN" w:bidi="ar"/>
              </w:rPr>
              <w:t>合计</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83D1E">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Cs/>
                <w:i w:val="0"/>
                <w:iCs w:val="0"/>
                <w:color w:val="auto"/>
                <w:sz w:val="21"/>
                <w:szCs w:val="21"/>
                <w:highlight w:val="none"/>
                <w:u w:val="none"/>
                <w:lang w:bidi="ar"/>
              </w:rPr>
            </w:pPr>
            <w:r>
              <w:rPr>
                <w:rFonts w:hint="eastAsia" w:ascii="Times New Roman" w:hAnsi="Times New Roman" w:eastAsia="宋体" w:cs="Times New Roman"/>
                <w:bCs/>
                <w:i w:val="0"/>
                <w:iCs w:val="0"/>
                <w:color w:val="auto"/>
                <w:kern w:val="0"/>
                <w:sz w:val="21"/>
                <w:szCs w:val="21"/>
                <w:highlight w:val="none"/>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641FD">
            <w:pPr>
              <w:keepNext w:val="0"/>
              <w:keepLines w:val="0"/>
              <w:widowControl/>
              <w:suppressLineNumbers w:val="0"/>
              <w:spacing w:line="240" w:lineRule="auto"/>
              <w:ind w:firstLine="0" w:firstLineChars="0"/>
              <w:jc w:val="right"/>
              <w:textAlignment w:val="center"/>
              <w:rPr>
                <w:rFonts w:hint="eastAsia" w:ascii="Times New Roman" w:hAnsi="Times New Roman" w:eastAsia="宋体" w:cs="Times New Roman"/>
                <w:bCs/>
                <w:i w:val="0"/>
                <w:iCs w:val="0"/>
                <w:color w:val="auto"/>
                <w:sz w:val="21"/>
                <w:szCs w:val="21"/>
                <w:highlight w:val="none"/>
                <w:u w:val="none"/>
                <w:lang w:bidi="ar"/>
              </w:rPr>
            </w:pPr>
            <w:r>
              <w:rPr>
                <w:rFonts w:hint="eastAsia" w:ascii="Times New Roman" w:hAnsi="Times New Roman" w:eastAsia="宋体" w:cs="Times New Roman"/>
                <w:bCs/>
                <w:i w:val="0"/>
                <w:iCs w:val="0"/>
                <w:color w:val="auto"/>
                <w:kern w:val="0"/>
                <w:sz w:val="21"/>
                <w:szCs w:val="21"/>
                <w:highlight w:val="none"/>
                <w:u w:val="none"/>
                <w:lang w:val="en-US" w:eastAsia="zh-CN" w:bidi="ar"/>
              </w:rPr>
              <w:t xml:space="preserve">1,186.57 </w:t>
            </w:r>
          </w:p>
        </w:tc>
      </w:tr>
    </w:tbl>
    <w:p w14:paraId="57089845">
      <w:pPr>
        <w:ind w:firstLine="640"/>
        <w:rPr>
          <w:rFonts w:hint="eastAsia" w:ascii="Times New Roman" w:hAnsi="Times New Roman" w:eastAsia="宋体" w:cs="Times New Roman"/>
          <w:bCs w:val="0"/>
          <w:color w:val="auto"/>
          <w:kern w:val="2"/>
          <w:highlight w:val="none"/>
          <w:lang w:val="en-US" w:eastAsia="zh-CN"/>
        </w:rPr>
      </w:pPr>
      <w:r>
        <w:rPr>
          <w:rFonts w:hint="eastAsia" w:ascii="Times New Roman" w:hAnsi="Times New Roman" w:eastAsia="宋体" w:cs="Times New Roman"/>
          <w:bCs w:val="0"/>
          <w:color w:val="auto"/>
          <w:kern w:val="2"/>
          <w:highlight w:val="none"/>
          <w:lang w:val="en-US" w:eastAsia="zh-CN"/>
        </w:rPr>
        <w:t>该指标满分为2.00分，根据评分标准得2.00分。</w:t>
      </w:r>
    </w:p>
    <w:p w14:paraId="79EB948E">
      <w:pPr>
        <w:ind w:firstLine="640"/>
        <w:rPr>
          <w:rFonts w:hint="default" w:ascii="Times New Roman" w:hAnsi="Times New Roman" w:eastAsia="宋体" w:cs="Times New Roman"/>
          <w:b/>
          <w:color w:val="auto"/>
          <w:highlight w:val="none"/>
        </w:rPr>
      </w:pPr>
      <w:r>
        <w:rPr>
          <w:rFonts w:hint="default" w:ascii="Times New Roman" w:hAnsi="Times New Roman" w:eastAsia="宋体" w:cs="Times New Roman"/>
          <w:b/>
          <w:color w:val="auto"/>
          <w:highlight w:val="none"/>
        </w:rPr>
        <w:t>（6）B41固定资产管理规范性指标：</w:t>
      </w:r>
    </w:p>
    <w:p w14:paraId="4B1F7417">
      <w:pPr>
        <w:numPr>
          <w:ilvl w:val="-1"/>
          <w:numId w:val="0"/>
        </w:numPr>
        <w:ind w:firstLine="640" w:firstLineChars="0"/>
        <w:rPr>
          <w:rFonts w:hint="default" w:ascii="Times New Roman" w:hAnsi="Times New Roman" w:eastAsia="宋体" w:cs="Times New Roman"/>
          <w:bCs w:val="0"/>
          <w:color w:val="auto"/>
          <w:kern w:val="2"/>
          <w:highlight w:val="none"/>
          <w:lang w:eastAsia="zh-CN"/>
        </w:rPr>
      </w:pPr>
      <w:r>
        <w:rPr>
          <w:rFonts w:hint="default" w:ascii="Times New Roman" w:hAnsi="Times New Roman" w:eastAsia="宋体" w:cs="Times New Roman"/>
          <w:bCs w:val="0"/>
          <w:color w:val="auto"/>
          <w:kern w:val="2"/>
          <w:highlight w:val="none"/>
          <w:lang w:eastAsia="zh-CN"/>
        </w:rPr>
        <w:t>伊宁县农业技术推广中心已建立《伊宁县农业技术推广中心国有资产管理内部控制制度》</w:t>
      </w:r>
      <w:r>
        <w:rPr>
          <w:rFonts w:hint="eastAsia" w:ascii="Times New Roman" w:hAnsi="Times New Roman" w:eastAsia="宋体" w:cs="Times New Roman"/>
          <w:bCs w:val="0"/>
          <w:color w:val="auto"/>
          <w:kern w:val="2"/>
          <w:highlight w:val="none"/>
          <w:lang w:eastAsia="zh-CN"/>
        </w:rPr>
        <w:t>，</w:t>
      </w:r>
      <w:r>
        <w:rPr>
          <w:rFonts w:hint="default" w:ascii="Times New Roman" w:hAnsi="Times New Roman" w:eastAsia="宋体" w:cs="Times New Roman"/>
          <w:bCs w:val="0"/>
          <w:color w:val="auto"/>
          <w:kern w:val="2"/>
          <w:highlight w:val="none"/>
          <w:lang w:eastAsia="zh-CN"/>
        </w:rPr>
        <w:t>资产制度中包含资产使用、资产配置与调剂、资产处置、资产统计与清查与资产登记管理，资产归口管理部门是办公室。2024年伊宁县农业技术推广中心办公室部门对单位固定资产进行资产盘点，出具《伊宁县农业技术推广中心固定资产盘点表》。本次评价小组</w:t>
      </w:r>
      <w:r>
        <w:rPr>
          <w:rFonts w:hint="eastAsia" w:ascii="Times New Roman" w:hAnsi="Times New Roman" w:eastAsia="宋体" w:cs="Times New Roman"/>
          <w:bCs w:val="0"/>
          <w:color w:val="auto"/>
          <w:kern w:val="2"/>
          <w:highlight w:val="none"/>
          <w:lang w:eastAsia="zh-CN"/>
        </w:rPr>
        <w:t>现场</w:t>
      </w:r>
      <w:r>
        <w:rPr>
          <w:rFonts w:hint="default" w:ascii="Times New Roman" w:hAnsi="Times New Roman" w:eastAsia="宋体" w:cs="Times New Roman"/>
          <w:bCs w:val="0"/>
          <w:color w:val="auto"/>
          <w:kern w:val="2"/>
          <w:highlight w:val="none"/>
          <w:lang w:eastAsia="zh-CN"/>
        </w:rPr>
        <w:t>随机抽取了单位东风皮卡、小麦有害生物预警决策辅助系统、江铃全顺轻型客车、有害生物预警基地其他构筑物、化验仪器、电脑等固定资产进行实地核查</w:t>
      </w:r>
      <w:r>
        <w:rPr>
          <w:rFonts w:hint="eastAsia" w:ascii="Times New Roman" w:hAnsi="Times New Roman" w:eastAsia="宋体" w:cs="Times New Roman"/>
          <w:bCs w:val="0"/>
          <w:color w:val="auto"/>
          <w:kern w:val="2"/>
          <w:highlight w:val="none"/>
          <w:lang w:eastAsia="zh-CN"/>
        </w:rPr>
        <w:t>，</w:t>
      </w:r>
      <w:r>
        <w:rPr>
          <w:rFonts w:hint="default" w:ascii="Times New Roman" w:hAnsi="Times New Roman" w:eastAsia="宋体" w:cs="Times New Roman"/>
          <w:bCs w:val="0"/>
          <w:color w:val="auto"/>
          <w:kern w:val="2"/>
          <w:highlight w:val="none"/>
          <w:lang w:eastAsia="zh-CN"/>
        </w:rPr>
        <w:t>现场对抽盘资产的资产编号、名称、规格型号等信息进行逐项核查。本次抽盘资产与固定资产账务记录一致。</w:t>
      </w:r>
    </w:p>
    <w:p w14:paraId="44B98F26">
      <w:pPr>
        <w:ind w:firstLine="640"/>
        <w:rPr>
          <w:rFonts w:hint="default" w:ascii="Times New Roman" w:hAnsi="Times New Roman" w:eastAsia="宋体" w:cs="Times New Roman"/>
          <w:color w:val="auto"/>
          <w:kern w:val="2"/>
          <w:highlight w:val="none"/>
          <w:lang w:eastAsia="zh-CN"/>
        </w:rPr>
      </w:pPr>
      <w:r>
        <w:rPr>
          <w:rFonts w:hint="default" w:ascii="Times New Roman" w:hAnsi="Times New Roman" w:eastAsia="宋体" w:cs="Times New Roman"/>
          <w:bCs w:val="0"/>
          <w:color w:val="auto"/>
          <w:kern w:val="2"/>
          <w:highlight w:val="none"/>
        </w:rPr>
        <w:t>该指标满分为4.00分，根据评分标准得4.00分。</w:t>
      </w:r>
    </w:p>
    <w:p w14:paraId="4FF81181">
      <w:pPr>
        <w:ind w:firstLine="640"/>
        <w:rPr>
          <w:rFonts w:hint="default" w:ascii="Times New Roman" w:hAnsi="Times New Roman" w:eastAsia="宋体" w:cs="Times New Roman"/>
          <w:b/>
          <w:color w:val="auto"/>
          <w:highlight w:val="none"/>
        </w:rPr>
      </w:pPr>
      <w:r>
        <w:rPr>
          <w:rFonts w:hint="default" w:ascii="Times New Roman" w:hAnsi="Times New Roman" w:eastAsia="宋体" w:cs="Times New Roman"/>
          <w:b/>
          <w:color w:val="auto"/>
          <w:highlight w:val="none"/>
        </w:rPr>
        <w:t>（7）B42固定资产利用率指标：</w:t>
      </w:r>
    </w:p>
    <w:p w14:paraId="11A35B7B">
      <w:pPr>
        <w:ind w:firstLine="640"/>
        <w:rPr>
          <w:rFonts w:hint="default" w:ascii="Times New Roman" w:hAnsi="Times New Roman" w:eastAsia="宋体" w:cs="Times New Roman"/>
          <w:bCs w:val="0"/>
          <w:color w:val="auto"/>
          <w:kern w:val="2"/>
          <w:highlight w:val="none"/>
        </w:rPr>
      </w:pPr>
      <w:r>
        <w:rPr>
          <w:rFonts w:hint="default" w:ascii="Times New Roman" w:hAnsi="Times New Roman" w:eastAsia="宋体" w:cs="Times New Roman"/>
          <w:bCs w:val="0"/>
          <w:color w:val="auto"/>
          <w:kern w:val="2"/>
          <w:highlight w:val="none"/>
        </w:rPr>
        <w:t>按照《2024年度行政事业性国有资产报表》显示，伊宁县农业技术推广</w:t>
      </w:r>
      <w:r>
        <w:rPr>
          <w:rFonts w:hint="default" w:ascii="Times New Roman" w:hAnsi="Times New Roman" w:eastAsia="宋体" w:cs="Times New Roman"/>
          <w:bCs w:val="0"/>
          <w:color w:val="auto"/>
          <w:kern w:val="2"/>
          <w:highlight w:val="none"/>
          <w:lang w:eastAsia="zh-CN"/>
        </w:rPr>
        <w:t>中心</w:t>
      </w:r>
      <w:r>
        <w:rPr>
          <w:rFonts w:hint="default" w:ascii="Times New Roman" w:hAnsi="Times New Roman" w:eastAsia="宋体" w:cs="Times New Roman"/>
          <w:bCs w:val="0"/>
          <w:color w:val="auto"/>
          <w:kern w:val="2"/>
          <w:highlight w:val="none"/>
        </w:rPr>
        <w:t>2024年固定资产期末原值为501.81万元，在用资产期末原值为501.81万元，固定资产利用率为100.00%。</w:t>
      </w:r>
    </w:p>
    <w:p w14:paraId="14861EF8">
      <w:pPr>
        <w:ind w:firstLine="640"/>
        <w:rPr>
          <w:rFonts w:hint="default" w:ascii="Times New Roman" w:hAnsi="Times New Roman" w:eastAsia="宋体" w:cs="Times New Roman"/>
          <w:color w:val="auto"/>
          <w:kern w:val="2"/>
          <w:highlight w:val="none"/>
          <w:lang w:eastAsia="zh-CN"/>
        </w:rPr>
      </w:pPr>
      <w:r>
        <w:rPr>
          <w:rFonts w:hint="default" w:ascii="Times New Roman" w:hAnsi="Times New Roman" w:eastAsia="宋体" w:cs="Times New Roman"/>
          <w:bCs w:val="0"/>
          <w:color w:val="auto"/>
          <w:kern w:val="2"/>
          <w:highlight w:val="none"/>
        </w:rPr>
        <w:t>该指标满分为2.00分，根据评分标准得2.00分。</w:t>
      </w:r>
    </w:p>
    <w:p w14:paraId="42468E27">
      <w:pPr>
        <w:ind w:firstLine="640"/>
        <w:rPr>
          <w:rFonts w:hint="default" w:ascii="Times New Roman" w:hAnsi="Times New Roman" w:eastAsia="宋体" w:cs="Times New Roman"/>
          <w:b/>
          <w:color w:val="auto"/>
          <w:highlight w:val="none"/>
        </w:rPr>
      </w:pPr>
      <w:r>
        <w:rPr>
          <w:rFonts w:hint="default" w:ascii="Times New Roman" w:hAnsi="Times New Roman" w:eastAsia="宋体" w:cs="Times New Roman"/>
          <w:b/>
          <w:color w:val="auto"/>
          <w:highlight w:val="none"/>
        </w:rPr>
        <w:t>（8）B51</w:t>
      </w:r>
      <w:r>
        <w:rPr>
          <w:rFonts w:hint="default" w:ascii="Times New Roman" w:hAnsi="Times New Roman" w:eastAsia="宋体" w:cs="Times New Roman"/>
          <w:b/>
          <w:bCs w:val="0"/>
          <w:color w:val="auto"/>
          <w:sz w:val="21"/>
          <w:szCs w:val="21"/>
          <w:highlight w:val="none"/>
          <w:lang w:val="en-US" w:eastAsia="zh-CN"/>
        </w:rPr>
        <w:t>项目绩效达标率</w:t>
      </w:r>
      <w:r>
        <w:rPr>
          <w:rFonts w:hint="default" w:ascii="Times New Roman" w:hAnsi="Times New Roman" w:eastAsia="宋体" w:cs="Times New Roman"/>
          <w:b/>
          <w:color w:val="auto"/>
          <w:highlight w:val="none"/>
        </w:rPr>
        <w:t>指标：</w:t>
      </w:r>
    </w:p>
    <w:p w14:paraId="51829681">
      <w:pPr>
        <w:ind w:firstLine="640"/>
        <w:rPr>
          <w:rFonts w:hint="default" w:ascii="Times New Roman" w:hAnsi="Times New Roman" w:eastAsia="宋体" w:cs="Times New Roman"/>
          <w:bCs w:val="0"/>
          <w:color w:val="auto"/>
          <w:kern w:val="2"/>
          <w:highlight w:val="none"/>
        </w:rPr>
      </w:pPr>
      <w:r>
        <w:rPr>
          <w:rFonts w:hint="default" w:ascii="Times New Roman" w:hAnsi="Times New Roman" w:eastAsia="宋体" w:cs="Times New Roman"/>
          <w:bCs w:val="0"/>
          <w:color w:val="auto"/>
          <w:kern w:val="2"/>
          <w:highlight w:val="none"/>
        </w:rPr>
        <w:t>伊宁县农业农村局内设项目管理办公室，统筹管理所有管辖下设二级单位的所有项目。</w:t>
      </w:r>
      <w:r>
        <w:rPr>
          <w:rFonts w:hint="default" w:ascii="Times New Roman" w:hAnsi="Times New Roman" w:eastAsia="宋体" w:cs="Times New Roman"/>
          <w:bCs w:val="0"/>
          <w:color w:val="auto"/>
          <w:kern w:val="2"/>
          <w:highlight w:val="none"/>
          <w:lang w:val="en-US" w:eastAsia="zh-CN"/>
        </w:rPr>
        <w:t>经查询财务绩效管理信息系统，</w:t>
      </w:r>
      <w:r>
        <w:rPr>
          <w:rFonts w:hint="default" w:ascii="Times New Roman" w:hAnsi="Times New Roman" w:eastAsia="宋体" w:cs="Times New Roman"/>
          <w:bCs w:val="0"/>
          <w:color w:val="auto"/>
          <w:kern w:val="2"/>
          <w:highlight w:val="none"/>
        </w:rPr>
        <w:t>2024年中央粮油生产保障资金项目</w:t>
      </w:r>
      <w:r>
        <w:rPr>
          <w:rFonts w:hint="default" w:ascii="Times New Roman" w:hAnsi="Times New Roman" w:eastAsia="宋体" w:cs="Times New Roman"/>
          <w:bCs w:val="0"/>
          <w:color w:val="auto"/>
          <w:kern w:val="2"/>
          <w:highlight w:val="none"/>
          <w:lang w:val="en-US" w:eastAsia="zh-CN"/>
        </w:rPr>
        <w:t>预算执行率、总体完成率均达100.00%，绩效自评100.00分</w:t>
      </w:r>
      <w:r>
        <w:rPr>
          <w:rFonts w:hint="default" w:ascii="Times New Roman" w:hAnsi="Times New Roman" w:eastAsia="宋体" w:cs="Times New Roman"/>
          <w:bCs w:val="0"/>
          <w:color w:val="auto"/>
          <w:kern w:val="2"/>
          <w:highlight w:val="none"/>
          <w:lang w:eastAsia="zh-CN"/>
        </w:rPr>
        <w:t>；</w:t>
      </w:r>
      <w:r>
        <w:rPr>
          <w:rFonts w:hint="default" w:ascii="Times New Roman" w:hAnsi="Times New Roman" w:eastAsia="宋体" w:cs="Times New Roman"/>
          <w:bCs w:val="0"/>
          <w:color w:val="auto"/>
          <w:kern w:val="2"/>
          <w:highlight w:val="none"/>
        </w:rPr>
        <w:t>2024年中央农业经营主体能力提升项目</w:t>
      </w:r>
      <w:r>
        <w:rPr>
          <w:rFonts w:hint="default" w:ascii="Times New Roman" w:hAnsi="Times New Roman" w:eastAsia="宋体" w:cs="Times New Roman"/>
          <w:bCs w:val="0"/>
          <w:color w:val="auto"/>
          <w:kern w:val="2"/>
          <w:highlight w:val="none"/>
          <w:lang w:val="en-US" w:eastAsia="zh-CN"/>
        </w:rPr>
        <w:t>预算执行率、总体完成率均达100.00%</w:t>
      </w:r>
      <w:r>
        <w:rPr>
          <w:rFonts w:hint="default" w:ascii="Times New Roman" w:hAnsi="Times New Roman" w:eastAsia="宋体" w:cs="Times New Roman"/>
          <w:bCs w:val="0"/>
          <w:color w:val="auto"/>
          <w:kern w:val="2"/>
          <w:highlight w:val="none"/>
          <w:lang w:eastAsia="zh-CN"/>
        </w:rPr>
        <w:t>，</w:t>
      </w:r>
      <w:r>
        <w:rPr>
          <w:rFonts w:hint="default" w:ascii="Times New Roman" w:hAnsi="Times New Roman" w:eastAsia="宋体" w:cs="Times New Roman"/>
          <w:bCs w:val="0"/>
          <w:color w:val="auto"/>
          <w:kern w:val="2"/>
          <w:highlight w:val="none"/>
          <w:lang w:val="en-US" w:eastAsia="zh-CN"/>
        </w:rPr>
        <w:t>绩效自评100.00分，项目绩效达标率100.00%。</w:t>
      </w:r>
      <w:r>
        <w:rPr>
          <w:rFonts w:hint="default" w:ascii="Times New Roman" w:hAnsi="Times New Roman" w:eastAsia="宋体" w:cs="Times New Roman"/>
          <w:bCs w:val="0"/>
          <w:color w:val="auto"/>
          <w:kern w:val="2"/>
          <w:highlight w:val="none"/>
        </w:rPr>
        <w:t>经</w:t>
      </w:r>
      <w:r>
        <w:rPr>
          <w:rFonts w:hint="default" w:ascii="Times New Roman" w:hAnsi="Times New Roman" w:eastAsia="宋体" w:cs="Times New Roman"/>
          <w:bCs w:val="0"/>
          <w:color w:val="auto"/>
          <w:kern w:val="2"/>
          <w:highlight w:val="none"/>
          <w:lang w:val="en-US" w:eastAsia="zh-CN"/>
        </w:rPr>
        <w:t>抽</w:t>
      </w:r>
      <w:r>
        <w:rPr>
          <w:rFonts w:hint="default" w:ascii="Times New Roman" w:hAnsi="Times New Roman" w:eastAsia="宋体" w:cs="Times New Roman"/>
          <w:bCs w:val="0"/>
          <w:color w:val="auto"/>
          <w:kern w:val="2"/>
          <w:highlight w:val="none"/>
        </w:rPr>
        <w:t>查</w:t>
      </w:r>
      <w:r>
        <w:rPr>
          <w:rFonts w:hint="default" w:ascii="Times New Roman" w:hAnsi="Times New Roman" w:eastAsia="宋体" w:cs="Times New Roman"/>
          <w:bCs w:val="0"/>
          <w:color w:val="auto"/>
          <w:kern w:val="2"/>
          <w:highlight w:val="none"/>
          <w:lang w:val="en-US" w:eastAsia="zh-CN"/>
        </w:rPr>
        <w:t>预算绩效管理系统中绩效自评上传的国库集中制度回单、项目验收单、满意度调查问卷等附件资料</w:t>
      </w:r>
      <w:r>
        <w:rPr>
          <w:rFonts w:hint="default" w:ascii="Times New Roman" w:hAnsi="Times New Roman" w:eastAsia="宋体" w:cs="Times New Roman"/>
          <w:bCs w:val="0"/>
          <w:color w:val="auto"/>
          <w:kern w:val="2"/>
          <w:highlight w:val="none"/>
        </w:rPr>
        <w:t>，未发现</w:t>
      </w:r>
      <w:r>
        <w:rPr>
          <w:rFonts w:hint="default" w:ascii="Times New Roman" w:hAnsi="Times New Roman" w:eastAsia="宋体" w:cs="Times New Roman"/>
          <w:bCs w:val="0"/>
          <w:color w:val="auto"/>
          <w:kern w:val="2"/>
          <w:highlight w:val="none"/>
          <w:lang w:val="en-US" w:eastAsia="zh-CN"/>
        </w:rPr>
        <w:t>绩效自评</w:t>
      </w:r>
      <w:r>
        <w:rPr>
          <w:rFonts w:hint="default" w:ascii="Times New Roman" w:hAnsi="Times New Roman" w:eastAsia="宋体" w:cs="Times New Roman"/>
          <w:bCs w:val="0"/>
          <w:color w:val="auto"/>
          <w:kern w:val="2"/>
          <w:highlight w:val="none"/>
        </w:rPr>
        <w:t>不真实</w:t>
      </w:r>
      <w:r>
        <w:rPr>
          <w:rFonts w:hint="default" w:ascii="Times New Roman" w:hAnsi="Times New Roman" w:eastAsia="宋体" w:cs="Times New Roman"/>
          <w:bCs w:val="0"/>
          <w:color w:val="auto"/>
          <w:kern w:val="2"/>
          <w:highlight w:val="none"/>
          <w:lang w:eastAsia="zh-CN"/>
        </w:rPr>
        <w:t>、</w:t>
      </w:r>
      <w:r>
        <w:rPr>
          <w:rFonts w:hint="default" w:ascii="Times New Roman" w:hAnsi="Times New Roman" w:eastAsia="宋体" w:cs="Times New Roman"/>
          <w:bCs w:val="0"/>
          <w:color w:val="auto"/>
          <w:kern w:val="2"/>
          <w:highlight w:val="none"/>
        </w:rPr>
        <w:t>无法印证自评结果情况，根据评分标准，该指标得满分。</w:t>
      </w:r>
    </w:p>
    <w:p w14:paraId="2B1499C1">
      <w:pPr>
        <w:ind w:firstLine="640"/>
        <w:rPr>
          <w:rFonts w:hint="default" w:ascii="Times New Roman" w:hAnsi="Times New Roman" w:eastAsia="宋体" w:cs="Times New Roman"/>
          <w:color w:val="auto"/>
          <w:kern w:val="2"/>
          <w:highlight w:val="none"/>
          <w:lang w:eastAsia="zh-CN"/>
        </w:rPr>
      </w:pPr>
      <w:r>
        <w:rPr>
          <w:rFonts w:hint="default" w:ascii="Times New Roman" w:hAnsi="Times New Roman" w:eastAsia="宋体" w:cs="Times New Roman"/>
          <w:bCs w:val="0"/>
          <w:color w:val="auto"/>
          <w:kern w:val="2"/>
          <w:highlight w:val="none"/>
        </w:rPr>
        <w:t>该指标满分为2.00分，根据评分标准得2.00分。</w:t>
      </w:r>
    </w:p>
    <w:p w14:paraId="1A29AD20">
      <w:pPr>
        <w:ind w:firstLine="640"/>
        <w:rPr>
          <w:rFonts w:hint="default" w:ascii="Times New Roman" w:hAnsi="Times New Roman" w:eastAsia="宋体" w:cs="Times New Roman"/>
          <w:b/>
          <w:color w:val="auto"/>
          <w:highlight w:val="none"/>
        </w:rPr>
      </w:pPr>
      <w:r>
        <w:rPr>
          <w:rFonts w:hint="default" w:ascii="Times New Roman" w:hAnsi="Times New Roman" w:eastAsia="宋体" w:cs="Times New Roman"/>
          <w:b/>
          <w:color w:val="auto"/>
          <w:highlight w:val="none"/>
        </w:rPr>
        <w:t>（9）B52项目支出预算调整率指标：</w:t>
      </w:r>
    </w:p>
    <w:p w14:paraId="5C44BBA2">
      <w:pPr>
        <w:ind w:firstLine="640"/>
        <w:rPr>
          <w:rFonts w:hint="default" w:ascii="Times New Roman" w:hAnsi="Times New Roman" w:eastAsia="宋体" w:cs="Times New Roman"/>
          <w:bCs w:val="0"/>
          <w:color w:val="auto"/>
          <w:kern w:val="2"/>
          <w:highlight w:val="none"/>
        </w:rPr>
      </w:pPr>
      <w:r>
        <w:rPr>
          <w:rFonts w:hint="default" w:ascii="Times New Roman" w:hAnsi="Times New Roman" w:eastAsia="宋体" w:cs="Times New Roman"/>
          <w:bCs w:val="0"/>
          <w:color w:val="auto"/>
          <w:kern w:val="2"/>
          <w:highlight w:val="none"/>
        </w:rPr>
        <w:t>伊宁县农业技术推广中心202</w:t>
      </w:r>
      <w:r>
        <w:rPr>
          <w:rFonts w:hint="default" w:ascii="Times New Roman" w:hAnsi="Times New Roman" w:eastAsia="宋体" w:cs="Times New Roman"/>
          <w:bCs w:val="0"/>
          <w:color w:val="auto"/>
          <w:kern w:val="2"/>
          <w:highlight w:val="none"/>
          <w:lang w:val="en-US" w:eastAsia="zh-CN"/>
        </w:rPr>
        <w:t>4</w:t>
      </w:r>
      <w:r>
        <w:rPr>
          <w:rFonts w:hint="default" w:ascii="Times New Roman" w:hAnsi="Times New Roman" w:eastAsia="宋体" w:cs="Times New Roman"/>
          <w:bCs w:val="0"/>
          <w:color w:val="auto"/>
          <w:kern w:val="2"/>
          <w:highlight w:val="none"/>
        </w:rPr>
        <w:t>年年初项目预算数为0.80万元，全年项目预算数为673.25万元，项目预算调整数为672.45万元，项目支出预算调整率为84</w:t>
      </w:r>
      <w:r>
        <w:rPr>
          <w:rFonts w:hint="default" w:ascii="Times New Roman" w:hAnsi="Times New Roman" w:eastAsia="宋体" w:cs="Times New Roman"/>
          <w:bCs w:val="0"/>
          <w:color w:val="auto"/>
          <w:kern w:val="2"/>
          <w:highlight w:val="none"/>
          <w:lang w:val="en-US" w:eastAsia="zh-CN"/>
        </w:rPr>
        <w:t>,</w:t>
      </w:r>
      <w:r>
        <w:rPr>
          <w:rFonts w:hint="default" w:ascii="Times New Roman" w:hAnsi="Times New Roman" w:eastAsia="宋体" w:cs="Times New Roman"/>
          <w:bCs w:val="0"/>
          <w:color w:val="auto"/>
          <w:kern w:val="2"/>
          <w:highlight w:val="none"/>
        </w:rPr>
        <w:t>214.52%，按照该指标评分规则，不得分。</w:t>
      </w:r>
    </w:p>
    <w:p w14:paraId="168F631C">
      <w:pPr>
        <w:ind w:firstLine="640"/>
        <w:rPr>
          <w:rFonts w:hint="default" w:ascii="Times New Roman" w:hAnsi="Times New Roman" w:eastAsia="宋体" w:cs="Times New Roman"/>
          <w:color w:val="auto"/>
          <w:kern w:val="2"/>
          <w:highlight w:val="none"/>
          <w:lang w:eastAsia="zh-CN"/>
        </w:rPr>
      </w:pPr>
      <w:r>
        <w:rPr>
          <w:rFonts w:hint="default" w:ascii="Times New Roman" w:hAnsi="Times New Roman" w:eastAsia="宋体" w:cs="Times New Roman"/>
          <w:bCs w:val="0"/>
          <w:color w:val="auto"/>
          <w:kern w:val="2"/>
          <w:highlight w:val="none"/>
        </w:rPr>
        <w:t>该指标满分为3.00分，根据评分标准得0.00分。</w:t>
      </w:r>
    </w:p>
    <w:p w14:paraId="15A7632C">
      <w:pPr>
        <w:pStyle w:val="5"/>
        <w:ind w:firstLine="640"/>
        <w:rPr>
          <w:rFonts w:hint="default" w:ascii="Times New Roman" w:hAnsi="Times New Roman" w:eastAsia="宋体" w:cs="Times New Roman"/>
          <w:bCs w:val="0"/>
          <w:color w:val="auto"/>
          <w:highlight w:val="none"/>
        </w:rPr>
      </w:pPr>
      <w:bookmarkStart w:id="63" w:name="_Toc19266"/>
      <w:r>
        <w:rPr>
          <w:rFonts w:hint="default" w:ascii="Times New Roman" w:hAnsi="Times New Roman" w:eastAsia="宋体" w:cs="Times New Roman"/>
          <w:bCs w:val="0"/>
          <w:color w:val="auto"/>
          <w:highlight w:val="none"/>
        </w:rPr>
        <w:t>（三）部门</w:t>
      </w:r>
      <w:r>
        <w:rPr>
          <w:rFonts w:hint="eastAsia" w:ascii="Times New Roman" w:hAnsi="Times New Roman" w:eastAsia="宋体" w:cs="Times New Roman"/>
          <w:bCs w:val="0"/>
          <w:color w:val="auto"/>
          <w:highlight w:val="none"/>
          <w:lang w:val="en-US" w:eastAsia="zh-CN"/>
        </w:rPr>
        <w:t>绩效</w:t>
      </w:r>
      <w:r>
        <w:rPr>
          <w:rFonts w:hint="default" w:ascii="Times New Roman" w:hAnsi="Times New Roman" w:eastAsia="宋体" w:cs="Times New Roman"/>
          <w:bCs w:val="0"/>
          <w:color w:val="auto"/>
          <w:highlight w:val="none"/>
        </w:rPr>
        <w:t>情况</w:t>
      </w:r>
      <w:bookmarkEnd w:id="63"/>
    </w:p>
    <w:p w14:paraId="5997FEAE">
      <w:pPr>
        <w:ind w:firstLine="640"/>
        <w:jc w:val="left"/>
        <w:rPr>
          <w:rFonts w:hint="default" w:ascii="Times New Roman" w:hAnsi="Times New Roman" w:eastAsia="宋体" w:cs="Times New Roman"/>
          <w:bCs w:val="0"/>
          <w:color w:val="auto"/>
          <w:kern w:val="2"/>
          <w:highlight w:val="none"/>
        </w:rPr>
      </w:pPr>
      <w:r>
        <w:rPr>
          <w:rFonts w:hint="default" w:ascii="Times New Roman" w:hAnsi="Times New Roman" w:eastAsia="宋体" w:cs="Times New Roman"/>
          <w:bCs w:val="0"/>
          <w:color w:val="auto"/>
          <w:kern w:val="2"/>
          <w:highlight w:val="none"/>
        </w:rPr>
        <w:t>部门</w:t>
      </w:r>
      <w:r>
        <w:rPr>
          <w:rFonts w:hint="default" w:ascii="Times New Roman" w:hAnsi="Times New Roman" w:eastAsia="宋体" w:cs="Times New Roman"/>
          <w:bCs w:val="0"/>
          <w:color w:val="auto"/>
          <w:kern w:val="2"/>
          <w:highlight w:val="none"/>
          <w:lang w:val="en-US" w:eastAsia="zh-CN"/>
        </w:rPr>
        <w:t>绩效类</w:t>
      </w:r>
      <w:r>
        <w:rPr>
          <w:rFonts w:hint="default" w:ascii="Times New Roman" w:hAnsi="Times New Roman" w:eastAsia="宋体" w:cs="Times New Roman"/>
          <w:bCs w:val="0"/>
          <w:color w:val="auto"/>
          <w:kern w:val="2"/>
          <w:highlight w:val="none"/>
        </w:rPr>
        <w:t>指标由</w:t>
      </w:r>
      <w:r>
        <w:rPr>
          <w:rFonts w:hint="default" w:ascii="Times New Roman" w:hAnsi="Times New Roman" w:eastAsia="宋体" w:cs="Times New Roman"/>
          <w:bCs w:val="0"/>
          <w:color w:val="auto"/>
          <w:kern w:val="2"/>
          <w:highlight w:val="none"/>
          <w:lang w:val="en-US" w:eastAsia="zh-CN"/>
        </w:rPr>
        <w:t>4</w:t>
      </w:r>
      <w:r>
        <w:rPr>
          <w:rFonts w:hint="default" w:ascii="Times New Roman" w:hAnsi="Times New Roman" w:eastAsia="宋体" w:cs="Times New Roman"/>
          <w:bCs w:val="0"/>
          <w:color w:val="auto"/>
          <w:kern w:val="2"/>
          <w:highlight w:val="none"/>
        </w:rPr>
        <w:t>个二级指标和</w:t>
      </w:r>
      <w:r>
        <w:rPr>
          <w:rFonts w:hint="default" w:ascii="Times New Roman" w:hAnsi="Times New Roman" w:eastAsia="宋体" w:cs="Times New Roman"/>
          <w:bCs w:val="0"/>
          <w:color w:val="auto"/>
          <w:kern w:val="2"/>
          <w:highlight w:val="none"/>
          <w:lang w:val="en-US" w:eastAsia="zh-CN"/>
        </w:rPr>
        <w:t>10</w:t>
      </w:r>
      <w:r>
        <w:rPr>
          <w:rFonts w:hint="default" w:ascii="Times New Roman" w:hAnsi="Times New Roman" w:eastAsia="宋体" w:cs="Times New Roman"/>
          <w:bCs w:val="0"/>
          <w:color w:val="auto"/>
          <w:kern w:val="2"/>
          <w:highlight w:val="none"/>
        </w:rPr>
        <w:t>个三级指标构成，权重分</w:t>
      </w:r>
      <w:r>
        <w:rPr>
          <w:rFonts w:hint="default" w:ascii="Times New Roman" w:hAnsi="Times New Roman" w:eastAsia="宋体" w:cs="Times New Roman"/>
          <w:bCs w:val="0"/>
          <w:color w:val="auto"/>
          <w:kern w:val="2"/>
          <w:highlight w:val="none"/>
          <w:lang w:val="en-US" w:eastAsia="zh-CN"/>
        </w:rPr>
        <w:t>60.00</w:t>
      </w:r>
      <w:r>
        <w:rPr>
          <w:rFonts w:hint="default" w:ascii="Times New Roman" w:hAnsi="Times New Roman" w:eastAsia="宋体" w:cs="Times New Roman"/>
          <w:bCs w:val="0"/>
          <w:color w:val="auto"/>
          <w:kern w:val="2"/>
          <w:highlight w:val="none"/>
        </w:rPr>
        <w:t>分，实际得分</w:t>
      </w:r>
      <w:r>
        <w:rPr>
          <w:rFonts w:hint="default" w:ascii="Times New Roman" w:hAnsi="Times New Roman" w:eastAsia="宋体" w:cs="Times New Roman"/>
          <w:bCs w:val="0"/>
          <w:color w:val="auto"/>
          <w:kern w:val="2"/>
          <w:highlight w:val="none"/>
          <w:lang w:val="en-US" w:eastAsia="zh-CN"/>
        </w:rPr>
        <w:t>52.20</w:t>
      </w:r>
      <w:r>
        <w:rPr>
          <w:rFonts w:hint="default" w:ascii="Times New Roman" w:hAnsi="Times New Roman" w:eastAsia="宋体" w:cs="Times New Roman"/>
          <w:bCs w:val="0"/>
          <w:color w:val="auto"/>
          <w:kern w:val="2"/>
          <w:highlight w:val="none"/>
        </w:rPr>
        <w:t>分，</w:t>
      </w:r>
      <w:r>
        <w:rPr>
          <w:rFonts w:hint="default" w:ascii="Times New Roman" w:hAnsi="Times New Roman" w:eastAsia="宋体" w:cs="Times New Roman"/>
          <w:bCs w:val="0"/>
          <w:color w:val="auto"/>
          <w:kern w:val="2"/>
          <w:highlight w:val="none"/>
          <w:lang w:val="zh-TW" w:eastAsia="zh-TW"/>
        </w:rPr>
        <w:t>得分率</w:t>
      </w:r>
      <w:r>
        <w:rPr>
          <w:rFonts w:hint="default" w:ascii="Times New Roman" w:hAnsi="Times New Roman" w:eastAsia="宋体" w:cs="Times New Roman"/>
          <w:bCs w:val="0"/>
          <w:color w:val="auto"/>
          <w:kern w:val="2"/>
          <w:highlight w:val="none"/>
          <w:lang w:val="en-US" w:eastAsia="zh-CN"/>
        </w:rPr>
        <w:t>87.00%</w:t>
      </w:r>
      <w:r>
        <w:rPr>
          <w:rFonts w:hint="default" w:ascii="Times New Roman" w:hAnsi="Times New Roman" w:eastAsia="宋体" w:cs="Times New Roman"/>
          <w:bCs w:val="0"/>
          <w:color w:val="auto"/>
          <w:kern w:val="2"/>
          <w:highlight w:val="none"/>
        </w:rPr>
        <w:t>。各指标业绩值和绩效分值如下表所示：</w:t>
      </w:r>
    </w:p>
    <w:p w14:paraId="4E1CE1B2">
      <w:pPr>
        <w:spacing w:line="240" w:lineRule="auto"/>
        <w:ind w:firstLine="0" w:firstLineChars="0"/>
        <w:jc w:val="center"/>
        <w:rPr>
          <w:rFonts w:hint="default" w:ascii="Times New Roman" w:hAnsi="Times New Roman" w:eastAsia="宋体" w:cs="Times New Roman"/>
          <w:b/>
          <w:color w:val="auto"/>
          <w:spacing w:val="6"/>
          <w:sz w:val="21"/>
          <w:szCs w:val="21"/>
          <w:highlight w:val="none"/>
        </w:rPr>
      </w:pPr>
      <w:r>
        <w:rPr>
          <w:rFonts w:hint="default" w:ascii="Times New Roman" w:hAnsi="Times New Roman" w:eastAsia="宋体" w:cs="Times New Roman"/>
          <w:b/>
          <w:color w:val="auto"/>
          <w:spacing w:val="6"/>
          <w:sz w:val="21"/>
          <w:szCs w:val="21"/>
          <w:highlight w:val="none"/>
        </w:rPr>
        <w:t>表4-3：部门</w:t>
      </w:r>
      <w:r>
        <w:rPr>
          <w:rFonts w:hint="eastAsia" w:ascii="Times New Roman" w:hAnsi="Times New Roman" w:eastAsia="宋体" w:cs="Times New Roman"/>
          <w:b/>
          <w:color w:val="auto"/>
          <w:spacing w:val="6"/>
          <w:sz w:val="21"/>
          <w:szCs w:val="21"/>
          <w:highlight w:val="none"/>
          <w:lang w:val="en-US" w:eastAsia="zh-CN"/>
        </w:rPr>
        <w:t>绩效类</w:t>
      </w:r>
      <w:r>
        <w:rPr>
          <w:rFonts w:hint="default" w:ascii="Times New Roman" w:hAnsi="Times New Roman" w:eastAsia="宋体" w:cs="Times New Roman"/>
          <w:b/>
          <w:color w:val="auto"/>
          <w:spacing w:val="6"/>
          <w:sz w:val="21"/>
          <w:szCs w:val="21"/>
          <w:highlight w:val="none"/>
        </w:rPr>
        <w:t>指标及分值</w:t>
      </w:r>
    </w:p>
    <w:tbl>
      <w:tblPr>
        <w:tblStyle w:val="21"/>
        <w:tblW w:w="4997"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57" w:type="dxa"/>
          <w:bottom w:w="0" w:type="dxa"/>
          <w:right w:w="57" w:type="dxa"/>
        </w:tblCellMar>
      </w:tblPr>
      <w:tblGrid>
        <w:gridCol w:w="797"/>
        <w:gridCol w:w="1080"/>
        <w:gridCol w:w="2086"/>
        <w:gridCol w:w="936"/>
        <w:gridCol w:w="1115"/>
        <w:gridCol w:w="832"/>
        <w:gridCol w:w="702"/>
        <w:gridCol w:w="867"/>
      </w:tblGrid>
      <w:tr w14:paraId="047C56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cantSplit/>
          <w:trHeight w:val="23" w:hRule="atLeast"/>
          <w:tblHeader/>
        </w:trPr>
        <w:tc>
          <w:tcPr>
            <w:tcW w:w="473" w:type="pct"/>
            <w:tcBorders>
              <w:tl2br w:val="nil"/>
              <w:tr2bl w:val="nil"/>
            </w:tcBorders>
            <w:shd w:val="clear" w:color="auto" w:fill="auto"/>
            <w:vAlign w:val="center"/>
          </w:tcPr>
          <w:p w14:paraId="3DD14BEC">
            <w:pPr>
              <w:widowControl/>
              <w:spacing w:line="240" w:lineRule="auto"/>
              <w:ind w:firstLine="0" w:firstLineChars="0"/>
              <w:jc w:val="center"/>
              <w:textAlignment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bidi="ar"/>
              </w:rPr>
              <w:t>一级指标</w:t>
            </w:r>
          </w:p>
        </w:tc>
        <w:tc>
          <w:tcPr>
            <w:tcW w:w="642" w:type="pct"/>
            <w:tcBorders>
              <w:tl2br w:val="nil"/>
              <w:tr2bl w:val="nil"/>
            </w:tcBorders>
            <w:shd w:val="clear" w:color="auto" w:fill="auto"/>
            <w:vAlign w:val="center"/>
          </w:tcPr>
          <w:p w14:paraId="4FC47BFE">
            <w:pPr>
              <w:widowControl/>
              <w:spacing w:line="240" w:lineRule="auto"/>
              <w:ind w:firstLine="0" w:firstLineChars="0"/>
              <w:jc w:val="center"/>
              <w:textAlignment w:val="center"/>
              <w:rPr>
                <w:rFonts w:hint="default" w:ascii="Times New Roman" w:hAnsi="Times New Roman" w:eastAsia="宋体" w:cs="Times New Roman"/>
                <w:b/>
                <w:color w:val="auto"/>
                <w:sz w:val="21"/>
                <w:szCs w:val="21"/>
                <w:highlight w:val="none"/>
                <w:lang w:bidi="ar"/>
              </w:rPr>
            </w:pPr>
            <w:r>
              <w:rPr>
                <w:rFonts w:hint="default" w:ascii="Times New Roman" w:hAnsi="Times New Roman" w:eastAsia="宋体" w:cs="Times New Roman"/>
                <w:b/>
                <w:color w:val="auto"/>
                <w:sz w:val="21"/>
                <w:szCs w:val="21"/>
                <w:highlight w:val="none"/>
                <w:lang w:bidi="ar"/>
              </w:rPr>
              <w:t>二级</w:t>
            </w:r>
          </w:p>
          <w:p w14:paraId="37A9F483">
            <w:pPr>
              <w:widowControl/>
              <w:spacing w:line="240" w:lineRule="auto"/>
              <w:ind w:firstLine="0" w:firstLineChars="0"/>
              <w:jc w:val="center"/>
              <w:textAlignment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bidi="ar"/>
              </w:rPr>
              <w:t>指标</w:t>
            </w:r>
          </w:p>
        </w:tc>
        <w:tc>
          <w:tcPr>
            <w:tcW w:w="1238" w:type="pct"/>
            <w:tcBorders>
              <w:tl2br w:val="nil"/>
              <w:tr2bl w:val="nil"/>
            </w:tcBorders>
            <w:shd w:val="clear" w:color="auto" w:fill="auto"/>
            <w:vAlign w:val="center"/>
          </w:tcPr>
          <w:p w14:paraId="40CF5709">
            <w:pPr>
              <w:widowControl/>
              <w:spacing w:line="240" w:lineRule="auto"/>
              <w:ind w:firstLine="0" w:firstLineChars="0"/>
              <w:jc w:val="center"/>
              <w:textAlignment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bidi="ar"/>
              </w:rPr>
              <w:t>三级指标</w:t>
            </w:r>
          </w:p>
        </w:tc>
        <w:tc>
          <w:tcPr>
            <w:tcW w:w="556" w:type="pct"/>
            <w:tcBorders>
              <w:tl2br w:val="nil"/>
              <w:tr2bl w:val="nil"/>
            </w:tcBorders>
            <w:shd w:val="clear" w:color="auto" w:fill="auto"/>
            <w:vAlign w:val="center"/>
          </w:tcPr>
          <w:p w14:paraId="5DDBF6AA">
            <w:pPr>
              <w:widowControl/>
              <w:spacing w:line="240" w:lineRule="auto"/>
              <w:ind w:firstLine="0" w:firstLineChars="0"/>
              <w:jc w:val="center"/>
              <w:textAlignment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bidi="ar"/>
              </w:rPr>
              <w:t>业绩值</w:t>
            </w:r>
          </w:p>
        </w:tc>
        <w:tc>
          <w:tcPr>
            <w:tcW w:w="662" w:type="pct"/>
            <w:tcBorders>
              <w:tl2br w:val="nil"/>
              <w:tr2bl w:val="nil"/>
            </w:tcBorders>
            <w:shd w:val="clear" w:color="auto" w:fill="auto"/>
            <w:vAlign w:val="center"/>
          </w:tcPr>
          <w:p w14:paraId="32AA4A51">
            <w:pPr>
              <w:widowControl/>
              <w:spacing w:line="240" w:lineRule="auto"/>
              <w:ind w:firstLine="0" w:firstLineChars="0"/>
              <w:jc w:val="center"/>
              <w:textAlignment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bidi="ar"/>
              </w:rPr>
              <w:t>完成值</w:t>
            </w:r>
          </w:p>
        </w:tc>
        <w:tc>
          <w:tcPr>
            <w:tcW w:w="494" w:type="pct"/>
            <w:tcBorders>
              <w:tl2br w:val="nil"/>
              <w:tr2bl w:val="nil"/>
            </w:tcBorders>
            <w:shd w:val="clear" w:color="auto" w:fill="auto"/>
            <w:vAlign w:val="center"/>
          </w:tcPr>
          <w:p w14:paraId="6047539B">
            <w:pPr>
              <w:widowControl/>
              <w:spacing w:line="240" w:lineRule="auto"/>
              <w:ind w:firstLine="0" w:firstLineChars="0"/>
              <w:jc w:val="center"/>
              <w:textAlignment w:val="center"/>
              <w:rPr>
                <w:rFonts w:hint="eastAsia" w:ascii="Times New Roman" w:hAnsi="Times New Roman" w:eastAsia="宋体" w:cs="Times New Roman"/>
                <w:b/>
                <w:color w:val="auto"/>
                <w:sz w:val="21"/>
                <w:szCs w:val="21"/>
                <w:highlight w:val="none"/>
                <w:lang w:eastAsia="zh-CN"/>
              </w:rPr>
            </w:pPr>
            <w:r>
              <w:rPr>
                <w:rFonts w:hint="eastAsia" w:ascii="Times New Roman" w:hAnsi="Times New Roman" w:eastAsia="宋体" w:cs="Times New Roman"/>
                <w:b/>
                <w:color w:val="auto"/>
                <w:sz w:val="21"/>
                <w:szCs w:val="21"/>
                <w:highlight w:val="none"/>
                <w:lang w:val="en-US" w:eastAsia="zh-CN" w:bidi="ar"/>
              </w:rPr>
              <w:t>权重</w:t>
            </w:r>
          </w:p>
        </w:tc>
        <w:tc>
          <w:tcPr>
            <w:tcW w:w="417" w:type="pct"/>
            <w:tcBorders>
              <w:tl2br w:val="nil"/>
              <w:tr2bl w:val="nil"/>
            </w:tcBorders>
            <w:shd w:val="clear" w:color="auto" w:fill="auto"/>
            <w:vAlign w:val="center"/>
          </w:tcPr>
          <w:p w14:paraId="07C5B673">
            <w:pPr>
              <w:widowControl/>
              <w:spacing w:line="240" w:lineRule="auto"/>
              <w:ind w:firstLine="0" w:firstLineChars="0"/>
              <w:jc w:val="center"/>
              <w:textAlignment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bidi="ar"/>
              </w:rPr>
              <w:t>得分</w:t>
            </w:r>
          </w:p>
        </w:tc>
        <w:tc>
          <w:tcPr>
            <w:tcW w:w="515" w:type="pct"/>
            <w:tcBorders>
              <w:tl2br w:val="nil"/>
              <w:tr2bl w:val="nil"/>
            </w:tcBorders>
            <w:shd w:val="clear" w:color="auto" w:fill="auto"/>
            <w:vAlign w:val="center"/>
          </w:tcPr>
          <w:p w14:paraId="5AE8646B">
            <w:pPr>
              <w:widowControl/>
              <w:spacing w:line="240" w:lineRule="auto"/>
              <w:ind w:firstLine="0" w:firstLineChars="0"/>
              <w:jc w:val="center"/>
              <w:textAlignment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bidi="ar"/>
              </w:rPr>
              <w:t>得分率</w:t>
            </w:r>
          </w:p>
        </w:tc>
      </w:tr>
      <w:tr w14:paraId="246D0F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cantSplit/>
          <w:trHeight w:val="23" w:hRule="atLeast"/>
        </w:trPr>
        <w:tc>
          <w:tcPr>
            <w:tcW w:w="473" w:type="pct"/>
            <w:vMerge w:val="restart"/>
            <w:tcBorders>
              <w:tl2br w:val="nil"/>
              <w:tr2bl w:val="nil"/>
            </w:tcBorders>
            <w:shd w:val="clear" w:color="auto" w:fill="auto"/>
            <w:vAlign w:val="center"/>
          </w:tcPr>
          <w:p w14:paraId="6EB2E5A7">
            <w:pPr>
              <w:widowControl/>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C部门绩效（60.00分）</w:t>
            </w:r>
          </w:p>
        </w:tc>
        <w:tc>
          <w:tcPr>
            <w:tcW w:w="642" w:type="pct"/>
            <w:vMerge w:val="restart"/>
            <w:vAlign w:val="center"/>
          </w:tcPr>
          <w:p w14:paraId="6B287B7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C1履职效能—</w:t>
            </w:r>
            <w:r>
              <w:rPr>
                <w:rFonts w:hint="eastAsia" w:ascii="Times New Roman" w:hAnsi="Times New Roman" w:eastAsia="宋体" w:cs="Times New Roman"/>
                <w:color w:val="auto"/>
                <w:sz w:val="21"/>
                <w:szCs w:val="21"/>
                <w:highlight w:val="none"/>
                <w:lang w:val="en-US" w:eastAsia="zh-CN"/>
              </w:rPr>
              <w:t>农技推广宣传与预防</w:t>
            </w:r>
          </w:p>
        </w:tc>
        <w:tc>
          <w:tcPr>
            <w:tcW w:w="1238" w:type="pct"/>
            <w:tcBorders>
              <w:tl2br w:val="nil"/>
              <w:tr2bl w:val="nil"/>
            </w:tcBorders>
            <w:shd w:val="clear" w:color="auto" w:fill="auto"/>
            <w:vAlign w:val="center"/>
          </w:tcPr>
          <w:p w14:paraId="7AED658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C11开展各类农技培训次数</w:t>
            </w:r>
          </w:p>
        </w:tc>
        <w:tc>
          <w:tcPr>
            <w:tcW w:w="556" w:type="pct"/>
            <w:tcBorders>
              <w:tl2br w:val="nil"/>
              <w:tr2bl w:val="nil"/>
            </w:tcBorders>
            <w:shd w:val="clear" w:color="auto" w:fill="auto"/>
            <w:vAlign w:val="center"/>
          </w:tcPr>
          <w:p w14:paraId="06697E5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≥100场</w:t>
            </w:r>
          </w:p>
        </w:tc>
        <w:tc>
          <w:tcPr>
            <w:tcW w:w="662" w:type="pct"/>
            <w:tcBorders>
              <w:tl2br w:val="nil"/>
              <w:tr2bl w:val="nil"/>
            </w:tcBorders>
            <w:shd w:val="clear" w:color="auto" w:fill="auto"/>
            <w:vAlign w:val="center"/>
          </w:tcPr>
          <w:p w14:paraId="6F724DE6">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117场</w:t>
            </w:r>
          </w:p>
        </w:tc>
        <w:tc>
          <w:tcPr>
            <w:tcW w:w="494" w:type="pct"/>
            <w:tcBorders>
              <w:tl2br w:val="nil"/>
              <w:tr2bl w:val="nil"/>
            </w:tcBorders>
            <w:shd w:val="clear" w:color="auto" w:fill="auto"/>
            <w:vAlign w:val="center"/>
          </w:tcPr>
          <w:p w14:paraId="51B3644B">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7.00</w:t>
            </w:r>
          </w:p>
        </w:tc>
        <w:tc>
          <w:tcPr>
            <w:tcW w:w="417" w:type="pct"/>
            <w:tcBorders>
              <w:tl2br w:val="nil"/>
              <w:tr2bl w:val="nil"/>
            </w:tcBorders>
            <w:shd w:val="clear" w:color="auto" w:fill="auto"/>
            <w:vAlign w:val="center"/>
          </w:tcPr>
          <w:p w14:paraId="714CC860">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7.00</w:t>
            </w:r>
          </w:p>
        </w:tc>
        <w:tc>
          <w:tcPr>
            <w:tcW w:w="867" w:type="dxa"/>
            <w:tcBorders>
              <w:tl2br w:val="nil"/>
              <w:tr2bl w:val="nil"/>
            </w:tcBorders>
            <w:shd w:val="clear" w:color="auto" w:fill="auto"/>
            <w:vAlign w:val="center"/>
          </w:tcPr>
          <w:p w14:paraId="2CD6DD2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i w:val="0"/>
                <w:iCs w:val="0"/>
                <w:color w:val="auto"/>
                <w:kern w:val="0"/>
                <w:sz w:val="21"/>
                <w:szCs w:val="21"/>
                <w:highlight w:val="none"/>
                <w:u w:val="none"/>
                <w:lang w:val="en-US" w:eastAsia="zh-CN" w:bidi="ar"/>
              </w:rPr>
              <w:t>100.00%</w:t>
            </w:r>
          </w:p>
        </w:tc>
      </w:tr>
      <w:tr w14:paraId="65AC06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cantSplit/>
          <w:trHeight w:val="23" w:hRule="atLeast"/>
        </w:trPr>
        <w:tc>
          <w:tcPr>
            <w:tcW w:w="473" w:type="pct"/>
            <w:vMerge w:val="continue"/>
            <w:tcBorders>
              <w:tl2br w:val="nil"/>
              <w:tr2bl w:val="nil"/>
            </w:tcBorders>
            <w:shd w:val="clear" w:color="auto" w:fill="auto"/>
            <w:vAlign w:val="center"/>
          </w:tcPr>
          <w:p w14:paraId="093455F7">
            <w:pPr>
              <w:widowControl/>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rPr>
            </w:pPr>
          </w:p>
        </w:tc>
        <w:tc>
          <w:tcPr>
            <w:tcW w:w="642" w:type="pct"/>
            <w:vMerge w:val="continue"/>
            <w:vAlign w:val="center"/>
          </w:tcPr>
          <w:p w14:paraId="3239BFD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rPr>
            </w:pPr>
          </w:p>
        </w:tc>
        <w:tc>
          <w:tcPr>
            <w:tcW w:w="1238" w:type="pct"/>
            <w:tcBorders>
              <w:tl2br w:val="nil"/>
              <w:tr2bl w:val="nil"/>
            </w:tcBorders>
            <w:shd w:val="clear" w:color="auto" w:fill="auto"/>
            <w:vAlign w:val="center"/>
          </w:tcPr>
          <w:p w14:paraId="57A03EE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bidi="ar-SA"/>
              </w:rPr>
            </w:pPr>
            <w:r>
              <w:rPr>
                <w:rFonts w:hint="eastAsia" w:ascii="Times New Roman" w:hAnsi="Times New Roman" w:eastAsia="宋体" w:cs="Times New Roman"/>
                <w:bCs/>
                <w:color w:val="auto"/>
                <w:sz w:val="21"/>
                <w:szCs w:val="21"/>
                <w:highlight w:val="none"/>
                <w:lang w:val="en-US" w:eastAsia="zh-CN"/>
              </w:rPr>
              <w:t>C12中长期病虫害预测预报</w:t>
            </w:r>
          </w:p>
        </w:tc>
        <w:tc>
          <w:tcPr>
            <w:tcW w:w="556" w:type="pct"/>
            <w:tcBorders>
              <w:tl2br w:val="nil"/>
              <w:tr2bl w:val="nil"/>
            </w:tcBorders>
            <w:shd w:val="clear" w:color="auto" w:fill="auto"/>
            <w:vAlign w:val="center"/>
          </w:tcPr>
          <w:p w14:paraId="2D6A783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SA"/>
              </w:rPr>
            </w:pPr>
            <w:r>
              <w:rPr>
                <w:rFonts w:hint="eastAsia" w:ascii="Times New Roman" w:hAnsi="Times New Roman" w:eastAsia="宋体" w:cs="Times New Roman"/>
                <w:bCs/>
                <w:color w:val="auto"/>
                <w:sz w:val="21"/>
                <w:szCs w:val="21"/>
                <w:highlight w:val="none"/>
                <w:lang w:val="en-US" w:eastAsia="zh-CN"/>
              </w:rPr>
              <w:t>≥10期</w:t>
            </w:r>
          </w:p>
        </w:tc>
        <w:tc>
          <w:tcPr>
            <w:tcW w:w="662" w:type="pct"/>
            <w:tcBorders>
              <w:tl2br w:val="nil"/>
              <w:tr2bl w:val="nil"/>
            </w:tcBorders>
            <w:shd w:val="clear" w:color="auto" w:fill="auto"/>
            <w:vAlign w:val="center"/>
          </w:tcPr>
          <w:p w14:paraId="1E955711">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SA"/>
              </w:rPr>
            </w:pPr>
            <w:r>
              <w:rPr>
                <w:rFonts w:hint="eastAsia" w:ascii="Times New Roman" w:hAnsi="Times New Roman" w:eastAsia="宋体" w:cs="Times New Roman"/>
                <w:bCs/>
                <w:color w:val="auto"/>
                <w:sz w:val="21"/>
                <w:szCs w:val="21"/>
                <w:highlight w:val="none"/>
                <w:lang w:val="en-US" w:eastAsia="zh-CN"/>
              </w:rPr>
              <w:t>15期</w:t>
            </w:r>
          </w:p>
        </w:tc>
        <w:tc>
          <w:tcPr>
            <w:tcW w:w="494" w:type="pct"/>
            <w:tcBorders>
              <w:tl2br w:val="nil"/>
              <w:tr2bl w:val="nil"/>
            </w:tcBorders>
            <w:shd w:val="clear" w:color="auto" w:fill="auto"/>
            <w:vAlign w:val="center"/>
          </w:tcPr>
          <w:p w14:paraId="64CCD21F">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SA"/>
              </w:rPr>
            </w:pPr>
            <w:r>
              <w:rPr>
                <w:rFonts w:hint="eastAsia" w:ascii="Times New Roman" w:hAnsi="Times New Roman" w:eastAsia="宋体" w:cs="Times New Roman"/>
                <w:bCs/>
                <w:color w:val="auto"/>
                <w:sz w:val="21"/>
                <w:szCs w:val="21"/>
                <w:highlight w:val="none"/>
                <w:lang w:val="en-US" w:eastAsia="zh-CN"/>
              </w:rPr>
              <w:t>8.00</w:t>
            </w:r>
          </w:p>
        </w:tc>
        <w:tc>
          <w:tcPr>
            <w:tcW w:w="417" w:type="pct"/>
            <w:tcBorders>
              <w:tl2br w:val="nil"/>
              <w:tr2bl w:val="nil"/>
            </w:tcBorders>
            <w:shd w:val="clear" w:color="auto" w:fill="auto"/>
            <w:vAlign w:val="center"/>
          </w:tcPr>
          <w:p w14:paraId="7C06AD98">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SA"/>
              </w:rPr>
            </w:pPr>
            <w:r>
              <w:rPr>
                <w:rFonts w:hint="eastAsia" w:ascii="Times New Roman" w:hAnsi="Times New Roman" w:eastAsia="宋体" w:cs="Times New Roman"/>
                <w:bCs/>
                <w:color w:val="auto"/>
                <w:sz w:val="21"/>
                <w:szCs w:val="21"/>
                <w:highlight w:val="none"/>
                <w:lang w:val="en-US" w:eastAsia="zh-CN"/>
              </w:rPr>
              <w:t>8.00</w:t>
            </w:r>
          </w:p>
        </w:tc>
        <w:tc>
          <w:tcPr>
            <w:tcW w:w="867" w:type="dxa"/>
            <w:tcBorders>
              <w:tl2br w:val="nil"/>
              <w:tr2bl w:val="nil"/>
            </w:tcBorders>
            <w:shd w:val="clear" w:color="auto" w:fill="auto"/>
            <w:vAlign w:val="center"/>
          </w:tcPr>
          <w:p w14:paraId="3C16D4D5">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SA"/>
              </w:rPr>
            </w:pPr>
            <w:r>
              <w:rPr>
                <w:rFonts w:hint="eastAsia" w:ascii="Times New Roman" w:hAnsi="Times New Roman" w:eastAsia="宋体" w:cs="Times New Roman"/>
                <w:bCs/>
                <w:i w:val="0"/>
                <w:iCs w:val="0"/>
                <w:color w:val="auto"/>
                <w:kern w:val="0"/>
                <w:sz w:val="21"/>
                <w:szCs w:val="21"/>
                <w:highlight w:val="none"/>
                <w:u w:val="none"/>
                <w:lang w:val="en-US" w:eastAsia="zh-CN" w:bidi="ar"/>
              </w:rPr>
              <w:t>100.00%</w:t>
            </w:r>
          </w:p>
        </w:tc>
      </w:tr>
      <w:tr w14:paraId="1EE80D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cantSplit/>
          <w:trHeight w:val="23" w:hRule="atLeast"/>
        </w:trPr>
        <w:tc>
          <w:tcPr>
            <w:tcW w:w="473" w:type="pct"/>
            <w:vMerge w:val="continue"/>
            <w:tcBorders>
              <w:tl2br w:val="nil"/>
              <w:tr2bl w:val="nil"/>
            </w:tcBorders>
            <w:shd w:val="clear" w:color="auto" w:fill="auto"/>
            <w:vAlign w:val="center"/>
          </w:tcPr>
          <w:p w14:paraId="7BFE2B6B">
            <w:pPr>
              <w:widowControl/>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rPr>
            </w:pPr>
          </w:p>
        </w:tc>
        <w:tc>
          <w:tcPr>
            <w:tcW w:w="642" w:type="pct"/>
            <w:vMerge w:val="restart"/>
            <w:vAlign w:val="center"/>
          </w:tcPr>
          <w:p w14:paraId="323995E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C2履职效能—</w:t>
            </w:r>
            <w:r>
              <w:rPr>
                <w:rFonts w:hint="eastAsia" w:ascii="Times New Roman" w:hAnsi="Times New Roman" w:eastAsia="宋体" w:cs="Times New Roman"/>
                <w:color w:val="auto"/>
                <w:highlight w:val="none"/>
                <w:lang w:val="en-US" w:eastAsia="zh-CN"/>
              </w:rPr>
              <w:t>绿色防控技术推广</w:t>
            </w:r>
          </w:p>
        </w:tc>
        <w:tc>
          <w:tcPr>
            <w:tcW w:w="1238" w:type="pct"/>
            <w:tcBorders>
              <w:tl2br w:val="nil"/>
              <w:tr2bl w:val="nil"/>
            </w:tcBorders>
            <w:shd w:val="clear" w:color="auto" w:fill="auto"/>
            <w:vAlign w:val="center"/>
          </w:tcPr>
          <w:p w14:paraId="3D02AF2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bidi="ar-SA"/>
              </w:rPr>
            </w:pPr>
            <w:r>
              <w:rPr>
                <w:rFonts w:hint="eastAsia" w:ascii="Times New Roman" w:hAnsi="Times New Roman" w:eastAsia="宋体" w:cs="Times New Roman"/>
                <w:bCs/>
                <w:color w:val="auto"/>
                <w:sz w:val="21"/>
                <w:szCs w:val="21"/>
                <w:highlight w:val="none"/>
                <w:lang w:val="en-US" w:eastAsia="zh-CN"/>
              </w:rPr>
              <w:t>C21小麦粮食作物统防统治覆盖率</w:t>
            </w:r>
          </w:p>
        </w:tc>
        <w:tc>
          <w:tcPr>
            <w:tcW w:w="556" w:type="pct"/>
            <w:tcBorders>
              <w:tl2br w:val="nil"/>
              <w:tr2bl w:val="nil"/>
            </w:tcBorders>
            <w:shd w:val="clear" w:color="auto" w:fill="auto"/>
            <w:vAlign w:val="center"/>
          </w:tcPr>
          <w:p w14:paraId="5B6CD10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SA"/>
              </w:rPr>
            </w:pPr>
            <w:r>
              <w:rPr>
                <w:rFonts w:hint="eastAsia" w:ascii="Times New Roman" w:hAnsi="Times New Roman" w:eastAsia="宋体" w:cs="Times New Roman"/>
                <w:bCs/>
                <w:color w:val="auto"/>
                <w:sz w:val="21"/>
                <w:szCs w:val="21"/>
                <w:highlight w:val="none"/>
                <w:lang w:val="en-US" w:eastAsia="zh-CN"/>
              </w:rPr>
              <w:t>≥48.00%</w:t>
            </w:r>
          </w:p>
        </w:tc>
        <w:tc>
          <w:tcPr>
            <w:tcW w:w="662" w:type="pct"/>
            <w:tcBorders>
              <w:tl2br w:val="nil"/>
              <w:tr2bl w:val="nil"/>
            </w:tcBorders>
            <w:shd w:val="clear" w:color="auto" w:fill="auto"/>
            <w:vAlign w:val="center"/>
          </w:tcPr>
          <w:p w14:paraId="6A7DAF7D">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SA"/>
              </w:rPr>
            </w:pPr>
            <w:r>
              <w:rPr>
                <w:rFonts w:hint="eastAsia" w:ascii="Times New Roman" w:hAnsi="Times New Roman" w:eastAsia="宋体" w:cs="Times New Roman"/>
                <w:bCs/>
                <w:color w:val="auto"/>
                <w:sz w:val="21"/>
                <w:szCs w:val="21"/>
                <w:highlight w:val="none"/>
                <w:lang w:val="en-US" w:eastAsia="zh-CN"/>
              </w:rPr>
              <w:t>54.05%</w:t>
            </w:r>
          </w:p>
        </w:tc>
        <w:tc>
          <w:tcPr>
            <w:tcW w:w="494" w:type="pct"/>
            <w:tcBorders>
              <w:tl2br w:val="nil"/>
              <w:tr2bl w:val="nil"/>
            </w:tcBorders>
            <w:shd w:val="clear" w:color="auto" w:fill="auto"/>
            <w:vAlign w:val="center"/>
          </w:tcPr>
          <w:p w14:paraId="16DBAB17">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SA"/>
              </w:rPr>
            </w:pPr>
            <w:r>
              <w:rPr>
                <w:rFonts w:hint="eastAsia" w:ascii="Times New Roman" w:hAnsi="Times New Roman" w:eastAsia="宋体" w:cs="Times New Roman"/>
                <w:bCs/>
                <w:color w:val="auto"/>
                <w:sz w:val="21"/>
                <w:szCs w:val="21"/>
                <w:highlight w:val="none"/>
                <w:lang w:val="en-US" w:eastAsia="zh-CN"/>
              </w:rPr>
              <w:t>6.00</w:t>
            </w:r>
          </w:p>
        </w:tc>
        <w:tc>
          <w:tcPr>
            <w:tcW w:w="417" w:type="pct"/>
            <w:tcBorders>
              <w:tl2br w:val="nil"/>
              <w:tr2bl w:val="nil"/>
            </w:tcBorders>
            <w:shd w:val="clear" w:color="auto" w:fill="auto"/>
            <w:vAlign w:val="center"/>
          </w:tcPr>
          <w:p w14:paraId="42AE02FE">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SA"/>
              </w:rPr>
            </w:pPr>
            <w:r>
              <w:rPr>
                <w:rFonts w:hint="eastAsia" w:ascii="Times New Roman" w:hAnsi="Times New Roman" w:eastAsia="宋体" w:cs="Times New Roman"/>
                <w:bCs/>
                <w:color w:val="auto"/>
                <w:sz w:val="21"/>
                <w:szCs w:val="21"/>
                <w:highlight w:val="none"/>
                <w:lang w:val="en-US" w:eastAsia="zh-CN"/>
              </w:rPr>
              <w:t>6.00</w:t>
            </w:r>
          </w:p>
        </w:tc>
        <w:tc>
          <w:tcPr>
            <w:tcW w:w="867" w:type="dxa"/>
            <w:tcBorders>
              <w:tl2br w:val="nil"/>
              <w:tr2bl w:val="nil"/>
            </w:tcBorders>
            <w:shd w:val="clear" w:color="auto" w:fill="auto"/>
            <w:vAlign w:val="center"/>
          </w:tcPr>
          <w:p w14:paraId="42C8C5E7">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SA"/>
              </w:rPr>
            </w:pPr>
            <w:r>
              <w:rPr>
                <w:rFonts w:hint="eastAsia" w:ascii="Times New Roman" w:hAnsi="Times New Roman" w:eastAsia="宋体" w:cs="Times New Roman"/>
                <w:bCs/>
                <w:i w:val="0"/>
                <w:iCs w:val="0"/>
                <w:color w:val="auto"/>
                <w:kern w:val="0"/>
                <w:sz w:val="21"/>
                <w:szCs w:val="21"/>
                <w:highlight w:val="none"/>
                <w:u w:val="none"/>
                <w:lang w:val="en-US" w:eastAsia="zh-CN" w:bidi="ar"/>
              </w:rPr>
              <w:t>100.00%</w:t>
            </w:r>
          </w:p>
        </w:tc>
      </w:tr>
      <w:tr w14:paraId="1E4015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cantSplit/>
          <w:trHeight w:val="23" w:hRule="atLeast"/>
        </w:trPr>
        <w:tc>
          <w:tcPr>
            <w:tcW w:w="473" w:type="pct"/>
            <w:vMerge w:val="continue"/>
            <w:tcBorders>
              <w:tl2br w:val="nil"/>
              <w:tr2bl w:val="nil"/>
            </w:tcBorders>
            <w:shd w:val="clear" w:color="auto" w:fill="auto"/>
            <w:vAlign w:val="center"/>
          </w:tcPr>
          <w:p w14:paraId="40023D04">
            <w:pPr>
              <w:widowControl/>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rPr>
            </w:pPr>
          </w:p>
        </w:tc>
        <w:tc>
          <w:tcPr>
            <w:tcW w:w="642" w:type="pct"/>
            <w:vMerge w:val="continue"/>
            <w:vAlign w:val="center"/>
          </w:tcPr>
          <w:p w14:paraId="22F8385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rPr>
            </w:pPr>
          </w:p>
        </w:tc>
        <w:tc>
          <w:tcPr>
            <w:tcW w:w="1238" w:type="pct"/>
            <w:tcBorders>
              <w:tl2br w:val="nil"/>
              <w:tr2bl w:val="nil"/>
            </w:tcBorders>
            <w:shd w:val="clear" w:color="auto" w:fill="auto"/>
            <w:vAlign w:val="center"/>
          </w:tcPr>
          <w:p w14:paraId="5A4B747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C22玉米粮食作物统防统治覆盖率</w:t>
            </w:r>
          </w:p>
        </w:tc>
        <w:tc>
          <w:tcPr>
            <w:tcW w:w="556" w:type="pct"/>
            <w:tcBorders>
              <w:tl2br w:val="nil"/>
              <w:tr2bl w:val="nil"/>
            </w:tcBorders>
            <w:shd w:val="clear" w:color="auto" w:fill="auto"/>
            <w:vAlign w:val="center"/>
          </w:tcPr>
          <w:p w14:paraId="01A0E66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≥48.00%</w:t>
            </w:r>
          </w:p>
        </w:tc>
        <w:tc>
          <w:tcPr>
            <w:tcW w:w="662" w:type="pct"/>
            <w:tcBorders>
              <w:tl2br w:val="nil"/>
              <w:tr2bl w:val="nil"/>
            </w:tcBorders>
            <w:shd w:val="clear" w:color="auto" w:fill="auto"/>
            <w:vAlign w:val="center"/>
          </w:tcPr>
          <w:p w14:paraId="7121E2BE">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54.11%</w:t>
            </w:r>
          </w:p>
        </w:tc>
        <w:tc>
          <w:tcPr>
            <w:tcW w:w="494" w:type="pct"/>
            <w:tcBorders>
              <w:tl2br w:val="nil"/>
              <w:tr2bl w:val="nil"/>
            </w:tcBorders>
            <w:shd w:val="clear" w:color="auto" w:fill="auto"/>
            <w:vAlign w:val="center"/>
          </w:tcPr>
          <w:p w14:paraId="5ACF784F">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6.00</w:t>
            </w:r>
          </w:p>
        </w:tc>
        <w:tc>
          <w:tcPr>
            <w:tcW w:w="417" w:type="pct"/>
            <w:tcBorders>
              <w:tl2br w:val="nil"/>
              <w:tr2bl w:val="nil"/>
            </w:tcBorders>
            <w:shd w:val="clear" w:color="auto" w:fill="auto"/>
            <w:vAlign w:val="center"/>
          </w:tcPr>
          <w:p w14:paraId="43B2FA78">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6.00</w:t>
            </w:r>
          </w:p>
        </w:tc>
        <w:tc>
          <w:tcPr>
            <w:tcW w:w="867" w:type="dxa"/>
            <w:tcBorders>
              <w:tl2br w:val="nil"/>
              <w:tr2bl w:val="nil"/>
            </w:tcBorders>
            <w:shd w:val="clear" w:color="auto" w:fill="auto"/>
            <w:vAlign w:val="center"/>
          </w:tcPr>
          <w:p w14:paraId="2848583A">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i w:val="0"/>
                <w:iCs w:val="0"/>
                <w:color w:val="auto"/>
                <w:kern w:val="0"/>
                <w:sz w:val="21"/>
                <w:szCs w:val="21"/>
                <w:highlight w:val="none"/>
                <w:u w:val="none"/>
                <w:lang w:val="en-US" w:eastAsia="zh-CN" w:bidi="ar"/>
              </w:rPr>
              <w:t>100.00%</w:t>
            </w:r>
          </w:p>
        </w:tc>
      </w:tr>
      <w:tr w14:paraId="485F06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cantSplit/>
          <w:trHeight w:val="23" w:hRule="atLeast"/>
        </w:trPr>
        <w:tc>
          <w:tcPr>
            <w:tcW w:w="473" w:type="pct"/>
            <w:vMerge w:val="continue"/>
            <w:tcBorders>
              <w:tl2br w:val="nil"/>
              <w:tr2bl w:val="nil"/>
            </w:tcBorders>
            <w:shd w:val="clear" w:color="auto" w:fill="auto"/>
            <w:vAlign w:val="center"/>
          </w:tcPr>
          <w:p w14:paraId="4167747F">
            <w:pPr>
              <w:widowControl/>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rPr>
            </w:pPr>
          </w:p>
        </w:tc>
        <w:tc>
          <w:tcPr>
            <w:tcW w:w="642" w:type="pct"/>
            <w:vMerge w:val="continue"/>
            <w:vAlign w:val="center"/>
          </w:tcPr>
          <w:p w14:paraId="5644843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rPr>
            </w:pPr>
          </w:p>
        </w:tc>
        <w:tc>
          <w:tcPr>
            <w:tcW w:w="1238" w:type="pct"/>
            <w:tcBorders>
              <w:tl2br w:val="nil"/>
              <w:tr2bl w:val="nil"/>
            </w:tcBorders>
            <w:shd w:val="clear" w:color="auto" w:fill="auto"/>
            <w:vAlign w:val="center"/>
          </w:tcPr>
          <w:p w14:paraId="79AFAFD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bidi="ar-SA"/>
              </w:rPr>
            </w:pPr>
            <w:r>
              <w:rPr>
                <w:rFonts w:hint="eastAsia" w:ascii="Times New Roman" w:hAnsi="Times New Roman" w:eastAsia="宋体" w:cs="Times New Roman"/>
                <w:bCs/>
                <w:color w:val="auto"/>
                <w:sz w:val="21"/>
                <w:szCs w:val="21"/>
                <w:highlight w:val="none"/>
                <w:lang w:val="en-US" w:eastAsia="zh-CN"/>
              </w:rPr>
              <w:t>C23农作物病虫害绿色防控覆盖率</w:t>
            </w:r>
          </w:p>
        </w:tc>
        <w:tc>
          <w:tcPr>
            <w:tcW w:w="556" w:type="pct"/>
            <w:tcBorders>
              <w:tl2br w:val="nil"/>
              <w:tr2bl w:val="nil"/>
            </w:tcBorders>
            <w:shd w:val="clear" w:color="auto" w:fill="auto"/>
            <w:vAlign w:val="center"/>
          </w:tcPr>
          <w:p w14:paraId="3B9A9AB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SA"/>
              </w:rPr>
            </w:pPr>
            <w:r>
              <w:rPr>
                <w:rFonts w:hint="eastAsia" w:ascii="Times New Roman" w:hAnsi="Times New Roman" w:eastAsia="宋体" w:cs="Times New Roman"/>
                <w:bCs/>
                <w:color w:val="auto"/>
                <w:sz w:val="21"/>
                <w:szCs w:val="21"/>
                <w:highlight w:val="none"/>
                <w:lang w:val="en-US" w:eastAsia="zh-CN"/>
              </w:rPr>
              <w:t>≥52.00%</w:t>
            </w:r>
          </w:p>
        </w:tc>
        <w:tc>
          <w:tcPr>
            <w:tcW w:w="662" w:type="pct"/>
            <w:tcBorders>
              <w:tl2br w:val="nil"/>
              <w:tr2bl w:val="nil"/>
            </w:tcBorders>
            <w:shd w:val="clear" w:color="auto" w:fill="auto"/>
            <w:vAlign w:val="center"/>
          </w:tcPr>
          <w:p w14:paraId="4A68F984">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SA"/>
              </w:rPr>
            </w:pPr>
            <w:r>
              <w:rPr>
                <w:rFonts w:hint="eastAsia" w:ascii="Times New Roman" w:hAnsi="Times New Roman" w:eastAsia="宋体" w:cs="Times New Roman"/>
                <w:bCs/>
                <w:color w:val="auto"/>
                <w:sz w:val="21"/>
                <w:szCs w:val="21"/>
                <w:highlight w:val="none"/>
                <w:lang w:val="en-US" w:eastAsia="zh-CN"/>
              </w:rPr>
              <w:t>55.84%</w:t>
            </w:r>
          </w:p>
        </w:tc>
        <w:tc>
          <w:tcPr>
            <w:tcW w:w="494" w:type="pct"/>
            <w:tcBorders>
              <w:tl2br w:val="nil"/>
              <w:tr2bl w:val="nil"/>
            </w:tcBorders>
            <w:shd w:val="clear" w:color="auto" w:fill="auto"/>
            <w:vAlign w:val="center"/>
          </w:tcPr>
          <w:p w14:paraId="06E13D34">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SA"/>
              </w:rPr>
            </w:pPr>
            <w:r>
              <w:rPr>
                <w:rFonts w:hint="eastAsia" w:ascii="Times New Roman" w:hAnsi="Times New Roman" w:eastAsia="宋体" w:cs="Times New Roman"/>
                <w:bCs/>
                <w:color w:val="auto"/>
                <w:sz w:val="21"/>
                <w:szCs w:val="21"/>
                <w:highlight w:val="none"/>
                <w:lang w:val="en-US" w:eastAsia="zh-CN"/>
              </w:rPr>
              <w:t>7.00</w:t>
            </w:r>
          </w:p>
        </w:tc>
        <w:tc>
          <w:tcPr>
            <w:tcW w:w="417" w:type="pct"/>
            <w:tcBorders>
              <w:tl2br w:val="nil"/>
              <w:tr2bl w:val="nil"/>
            </w:tcBorders>
            <w:shd w:val="clear" w:color="auto" w:fill="auto"/>
            <w:vAlign w:val="center"/>
          </w:tcPr>
          <w:p w14:paraId="22C9B929">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SA"/>
              </w:rPr>
            </w:pPr>
            <w:r>
              <w:rPr>
                <w:rFonts w:hint="eastAsia" w:ascii="Times New Roman" w:hAnsi="Times New Roman" w:eastAsia="宋体" w:cs="Times New Roman"/>
                <w:bCs/>
                <w:color w:val="auto"/>
                <w:sz w:val="21"/>
                <w:szCs w:val="21"/>
                <w:highlight w:val="none"/>
                <w:lang w:val="en-US" w:eastAsia="zh-CN"/>
              </w:rPr>
              <w:t>7.00</w:t>
            </w:r>
          </w:p>
        </w:tc>
        <w:tc>
          <w:tcPr>
            <w:tcW w:w="867" w:type="dxa"/>
            <w:tcBorders>
              <w:tl2br w:val="nil"/>
              <w:tr2bl w:val="nil"/>
            </w:tcBorders>
            <w:shd w:val="clear" w:color="auto" w:fill="auto"/>
            <w:vAlign w:val="center"/>
          </w:tcPr>
          <w:p w14:paraId="5089A81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SA"/>
              </w:rPr>
            </w:pPr>
            <w:r>
              <w:rPr>
                <w:rFonts w:hint="eastAsia" w:ascii="Times New Roman" w:hAnsi="Times New Roman" w:eastAsia="宋体" w:cs="Times New Roman"/>
                <w:bCs/>
                <w:i w:val="0"/>
                <w:iCs w:val="0"/>
                <w:color w:val="auto"/>
                <w:kern w:val="0"/>
                <w:sz w:val="21"/>
                <w:szCs w:val="21"/>
                <w:highlight w:val="none"/>
                <w:u w:val="none"/>
                <w:lang w:val="en-US" w:eastAsia="zh-CN" w:bidi="ar"/>
              </w:rPr>
              <w:t>100.00%</w:t>
            </w:r>
          </w:p>
        </w:tc>
      </w:tr>
      <w:tr w14:paraId="1C6517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cantSplit/>
          <w:trHeight w:val="23" w:hRule="atLeast"/>
        </w:trPr>
        <w:tc>
          <w:tcPr>
            <w:tcW w:w="473" w:type="pct"/>
            <w:vMerge w:val="continue"/>
            <w:tcBorders>
              <w:tl2br w:val="nil"/>
              <w:tr2bl w:val="nil"/>
            </w:tcBorders>
            <w:shd w:val="clear" w:color="auto" w:fill="auto"/>
            <w:vAlign w:val="center"/>
          </w:tcPr>
          <w:p w14:paraId="31DFF75B">
            <w:pPr>
              <w:widowControl/>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rPr>
            </w:pPr>
          </w:p>
        </w:tc>
        <w:tc>
          <w:tcPr>
            <w:tcW w:w="642" w:type="pct"/>
            <w:vMerge w:val="restart"/>
            <w:vAlign w:val="center"/>
          </w:tcPr>
          <w:p w14:paraId="22E2A93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C3履职效能—粮食作物增产增收</w:t>
            </w:r>
          </w:p>
        </w:tc>
        <w:tc>
          <w:tcPr>
            <w:tcW w:w="1238" w:type="pct"/>
            <w:tcBorders>
              <w:tl2br w:val="nil"/>
              <w:tr2bl w:val="nil"/>
            </w:tcBorders>
            <w:shd w:val="clear" w:color="auto" w:fill="auto"/>
            <w:vAlign w:val="center"/>
          </w:tcPr>
          <w:p w14:paraId="1FC01E7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C31每个乡镇建立百亩以上的小麦攻关田数量</w:t>
            </w:r>
          </w:p>
        </w:tc>
        <w:tc>
          <w:tcPr>
            <w:tcW w:w="556" w:type="pct"/>
            <w:tcBorders>
              <w:tl2br w:val="nil"/>
              <w:tr2bl w:val="nil"/>
            </w:tcBorders>
            <w:shd w:val="clear" w:color="auto" w:fill="auto"/>
            <w:vAlign w:val="center"/>
          </w:tcPr>
          <w:p w14:paraId="53B8873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≥2块</w:t>
            </w:r>
          </w:p>
        </w:tc>
        <w:tc>
          <w:tcPr>
            <w:tcW w:w="662" w:type="pct"/>
            <w:tcBorders>
              <w:tl2br w:val="nil"/>
              <w:tr2bl w:val="nil"/>
            </w:tcBorders>
            <w:shd w:val="clear" w:color="auto" w:fill="auto"/>
            <w:vAlign w:val="center"/>
          </w:tcPr>
          <w:p w14:paraId="23F6CB7F">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SA"/>
              </w:rPr>
            </w:pPr>
            <w:r>
              <w:rPr>
                <w:rFonts w:hint="eastAsia" w:ascii="Times New Roman" w:hAnsi="Times New Roman" w:eastAsia="宋体" w:cs="Times New Roman"/>
                <w:bCs/>
                <w:color w:val="auto"/>
                <w:sz w:val="21"/>
                <w:szCs w:val="21"/>
                <w:highlight w:val="none"/>
              </w:rPr>
              <w:t>建立2个及以上百亩以上的小麦攻关田数量的有17个乡镇</w:t>
            </w:r>
          </w:p>
        </w:tc>
        <w:tc>
          <w:tcPr>
            <w:tcW w:w="494" w:type="pct"/>
            <w:tcBorders>
              <w:tl2br w:val="nil"/>
              <w:tr2bl w:val="nil"/>
            </w:tcBorders>
            <w:shd w:val="clear" w:color="auto" w:fill="auto"/>
            <w:vAlign w:val="center"/>
          </w:tcPr>
          <w:p w14:paraId="1B81407F">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4.00</w:t>
            </w:r>
          </w:p>
        </w:tc>
        <w:tc>
          <w:tcPr>
            <w:tcW w:w="417" w:type="pct"/>
            <w:tcBorders>
              <w:tl2br w:val="nil"/>
              <w:tr2bl w:val="nil"/>
            </w:tcBorders>
            <w:shd w:val="clear" w:color="auto" w:fill="auto"/>
            <w:vAlign w:val="center"/>
          </w:tcPr>
          <w:p w14:paraId="19F60600">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3.40</w:t>
            </w:r>
          </w:p>
        </w:tc>
        <w:tc>
          <w:tcPr>
            <w:tcW w:w="867" w:type="dxa"/>
            <w:tcBorders>
              <w:tl2br w:val="nil"/>
              <w:tr2bl w:val="nil"/>
            </w:tcBorders>
            <w:shd w:val="clear" w:color="auto" w:fill="auto"/>
            <w:vAlign w:val="center"/>
          </w:tcPr>
          <w:p w14:paraId="0092709A">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i w:val="0"/>
                <w:iCs w:val="0"/>
                <w:color w:val="auto"/>
                <w:kern w:val="0"/>
                <w:sz w:val="21"/>
                <w:szCs w:val="21"/>
                <w:highlight w:val="none"/>
                <w:u w:val="none"/>
                <w:lang w:val="en-US" w:eastAsia="zh-CN" w:bidi="ar"/>
              </w:rPr>
              <w:t>85.00%</w:t>
            </w:r>
          </w:p>
        </w:tc>
      </w:tr>
      <w:tr w14:paraId="74D536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cantSplit/>
          <w:trHeight w:val="23" w:hRule="atLeast"/>
        </w:trPr>
        <w:tc>
          <w:tcPr>
            <w:tcW w:w="473" w:type="pct"/>
            <w:vMerge w:val="continue"/>
            <w:tcBorders>
              <w:tl2br w:val="nil"/>
              <w:tr2bl w:val="nil"/>
            </w:tcBorders>
            <w:shd w:val="clear" w:color="auto" w:fill="auto"/>
            <w:vAlign w:val="center"/>
          </w:tcPr>
          <w:p w14:paraId="26B25B06">
            <w:pPr>
              <w:widowControl/>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rPr>
            </w:pPr>
          </w:p>
        </w:tc>
        <w:tc>
          <w:tcPr>
            <w:tcW w:w="642" w:type="pct"/>
            <w:vMerge w:val="continue"/>
            <w:vAlign w:val="center"/>
          </w:tcPr>
          <w:p w14:paraId="1E880A3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rPr>
            </w:pPr>
          </w:p>
        </w:tc>
        <w:tc>
          <w:tcPr>
            <w:tcW w:w="1238" w:type="pct"/>
            <w:tcBorders>
              <w:tl2br w:val="nil"/>
              <w:tr2bl w:val="nil"/>
            </w:tcBorders>
            <w:shd w:val="clear" w:color="auto" w:fill="auto"/>
            <w:vAlign w:val="center"/>
          </w:tcPr>
          <w:p w14:paraId="0196851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C32每个乡镇要建立千亩示范田块数量</w:t>
            </w:r>
          </w:p>
        </w:tc>
        <w:tc>
          <w:tcPr>
            <w:tcW w:w="556" w:type="pct"/>
            <w:tcBorders>
              <w:tl2br w:val="nil"/>
              <w:tr2bl w:val="nil"/>
            </w:tcBorders>
            <w:shd w:val="clear" w:color="auto" w:fill="auto"/>
            <w:vAlign w:val="center"/>
          </w:tcPr>
          <w:p w14:paraId="59A25E0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≥2块</w:t>
            </w:r>
          </w:p>
        </w:tc>
        <w:tc>
          <w:tcPr>
            <w:tcW w:w="662" w:type="pct"/>
            <w:tcBorders>
              <w:tl2br w:val="nil"/>
              <w:tr2bl w:val="nil"/>
            </w:tcBorders>
            <w:shd w:val="clear" w:color="auto" w:fill="auto"/>
            <w:vAlign w:val="center"/>
          </w:tcPr>
          <w:p w14:paraId="32BCFF2F">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rPr>
              <w:t>建立2个及以上千亩以上的示范田数量共14个乡镇</w:t>
            </w:r>
          </w:p>
        </w:tc>
        <w:tc>
          <w:tcPr>
            <w:tcW w:w="494" w:type="pct"/>
            <w:tcBorders>
              <w:tl2br w:val="nil"/>
              <w:tr2bl w:val="nil"/>
            </w:tcBorders>
            <w:shd w:val="clear" w:color="auto" w:fill="auto"/>
            <w:vAlign w:val="center"/>
          </w:tcPr>
          <w:p w14:paraId="4ED60D68">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4.00</w:t>
            </w:r>
          </w:p>
        </w:tc>
        <w:tc>
          <w:tcPr>
            <w:tcW w:w="417" w:type="pct"/>
            <w:tcBorders>
              <w:tl2br w:val="nil"/>
              <w:tr2bl w:val="nil"/>
            </w:tcBorders>
            <w:shd w:val="clear" w:color="auto" w:fill="auto"/>
            <w:vAlign w:val="center"/>
          </w:tcPr>
          <w:p w14:paraId="6640FB4F">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2.80</w:t>
            </w:r>
          </w:p>
        </w:tc>
        <w:tc>
          <w:tcPr>
            <w:tcW w:w="867" w:type="dxa"/>
            <w:tcBorders>
              <w:tl2br w:val="nil"/>
              <w:tr2bl w:val="nil"/>
            </w:tcBorders>
            <w:shd w:val="clear" w:color="auto" w:fill="auto"/>
            <w:vAlign w:val="center"/>
          </w:tcPr>
          <w:p w14:paraId="17D82E76">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i w:val="0"/>
                <w:iCs w:val="0"/>
                <w:color w:val="auto"/>
                <w:kern w:val="0"/>
                <w:sz w:val="21"/>
                <w:szCs w:val="21"/>
                <w:highlight w:val="none"/>
                <w:u w:val="none"/>
                <w:lang w:val="en-US" w:eastAsia="zh-CN" w:bidi="ar"/>
              </w:rPr>
              <w:t>70.00%</w:t>
            </w:r>
          </w:p>
        </w:tc>
      </w:tr>
      <w:tr w14:paraId="3F6CAC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cantSplit/>
          <w:trHeight w:val="307" w:hRule="atLeast"/>
        </w:trPr>
        <w:tc>
          <w:tcPr>
            <w:tcW w:w="473" w:type="pct"/>
            <w:vMerge w:val="continue"/>
            <w:tcBorders>
              <w:tl2br w:val="nil"/>
              <w:tr2bl w:val="nil"/>
            </w:tcBorders>
            <w:shd w:val="clear" w:color="auto" w:fill="auto"/>
            <w:vAlign w:val="center"/>
          </w:tcPr>
          <w:p w14:paraId="26739DFC">
            <w:pPr>
              <w:widowControl/>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rPr>
            </w:pPr>
          </w:p>
        </w:tc>
        <w:tc>
          <w:tcPr>
            <w:tcW w:w="642" w:type="pct"/>
            <w:vMerge w:val="continue"/>
            <w:vAlign w:val="center"/>
          </w:tcPr>
          <w:p w14:paraId="23834E4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rPr>
            </w:pPr>
          </w:p>
        </w:tc>
        <w:tc>
          <w:tcPr>
            <w:tcW w:w="1238" w:type="pct"/>
            <w:tcBorders>
              <w:tl2br w:val="nil"/>
              <w:tr2bl w:val="nil"/>
            </w:tcBorders>
            <w:shd w:val="clear" w:color="auto" w:fill="auto"/>
            <w:vAlign w:val="center"/>
          </w:tcPr>
          <w:p w14:paraId="1E83C65A">
            <w:pPr>
              <w:widowControl/>
              <w:spacing w:line="240" w:lineRule="auto"/>
              <w:ind w:firstLine="0" w:firstLineChars="0"/>
              <w:jc w:val="left"/>
              <w:textAlignment w:val="center"/>
              <w:rPr>
                <w:rFonts w:hint="eastAsia" w:ascii="Times New Roman" w:hAnsi="Times New Roman" w:eastAsia="宋体" w:cs="Times New Roman"/>
                <w:color w:val="auto"/>
                <w:sz w:val="21"/>
                <w:szCs w:val="21"/>
                <w:highlight w:val="none"/>
                <w:lang w:val="en-US" w:eastAsia="zh-CN" w:bidi="ar-SA"/>
              </w:rPr>
            </w:pPr>
            <w:r>
              <w:rPr>
                <w:rFonts w:hint="eastAsia" w:ascii="Times New Roman" w:hAnsi="Times New Roman" w:eastAsia="宋体" w:cs="Times New Roman"/>
                <w:color w:val="auto"/>
                <w:sz w:val="21"/>
                <w:szCs w:val="21"/>
                <w:highlight w:val="none"/>
                <w:lang w:val="en-US" w:eastAsia="zh-CN"/>
              </w:rPr>
              <w:t>C33小麦单产提高率</w:t>
            </w:r>
          </w:p>
        </w:tc>
        <w:tc>
          <w:tcPr>
            <w:tcW w:w="556" w:type="pct"/>
            <w:tcBorders>
              <w:tl2br w:val="nil"/>
              <w:tr2bl w:val="nil"/>
            </w:tcBorders>
            <w:shd w:val="clear" w:color="auto" w:fill="auto"/>
            <w:vAlign w:val="center"/>
          </w:tcPr>
          <w:p w14:paraId="5DCA0685">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≥6.00%</w:t>
            </w:r>
          </w:p>
        </w:tc>
        <w:tc>
          <w:tcPr>
            <w:tcW w:w="662" w:type="pct"/>
            <w:tcBorders>
              <w:tl2br w:val="nil"/>
              <w:tr2bl w:val="nil"/>
            </w:tcBorders>
            <w:shd w:val="clear" w:color="auto" w:fill="auto"/>
            <w:vAlign w:val="center"/>
          </w:tcPr>
          <w:p w14:paraId="5A4FA2D9">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-5.70%</w:t>
            </w:r>
          </w:p>
        </w:tc>
        <w:tc>
          <w:tcPr>
            <w:tcW w:w="494" w:type="pct"/>
            <w:tcBorders>
              <w:tl2br w:val="nil"/>
              <w:tr2bl w:val="nil"/>
            </w:tcBorders>
            <w:shd w:val="clear" w:color="auto" w:fill="auto"/>
            <w:vAlign w:val="center"/>
          </w:tcPr>
          <w:p w14:paraId="6D37A1A4">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3.00</w:t>
            </w:r>
          </w:p>
        </w:tc>
        <w:tc>
          <w:tcPr>
            <w:tcW w:w="417" w:type="pct"/>
            <w:tcBorders>
              <w:tl2br w:val="nil"/>
              <w:tr2bl w:val="nil"/>
            </w:tcBorders>
            <w:shd w:val="clear" w:color="auto" w:fill="auto"/>
            <w:vAlign w:val="center"/>
          </w:tcPr>
          <w:p w14:paraId="7A712534">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0.00</w:t>
            </w:r>
          </w:p>
        </w:tc>
        <w:tc>
          <w:tcPr>
            <w:tcW w:w="867" w:type="dxa"/>
            <w:tcBorders>
              <w:tl2br w:val="nil"/>
              <w:tr2bl w:val="nil"/>
            </w:tcBorders>
            <w:shd w:val="clear" w:color="auto" w:fill="auto"/>
            <w:vAlign w:val="center"/>
          </w:tcPr>
          <w:p w14:paraId="06752E43">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i w:val="0"/>
                <w:iCs w:val="0"/>
                <w:color w:val="auto"/>
                <w:kern w:val="0"/>
                <w:sz w:val="21"/>
                <w:szCs w:val="21"/>
                <w:highlight w:val="none"/>
                <w:u w:val="none"/>
                <w:lang w:val="en-US" w:eastAsia="zh-CN" w:bidi="ar"/>
              </w:rPr>
              <w:t>0.00%</w:t>
            </w:r>
          </w:p>
        </w:tc>
      </w:tr>
      <w:tr w14:paraId="7F482E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cantSplit/>
          <w:trHeight w:val="23" w:hRule="atLeast"/>
        </w:trPr>
        <w:tc>
          <w:tcPr>
            <w:tcW w:w="473" w:type="pct"/>
            <w:vMerge w:val="continue"/>
            <w:tcBorders>
              <w:tl2br w:val="nil"/>
              <w:tr2bl w:val="nil"/>
            </w:tcBorders>
            <w:shd w:val="clear" w:color="auto" w:fill="auto"/>
            <w:vAlign w:val="center"/>
          </w:tcPr>
          <w:p w14:paraId="012C6FD0">
            <w:pPr>
              <w:widowControl/>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rPr>
            </w:pPr>
          </w:p>
        </w:tc>
        <w:tc>
          <w:tcPr>
            <w:tcW w:w="642" w:type="pct"/>
            <w:vMerge w:val="continue"/>
            <w:vAlign w:val="center"/>
          </w:tcPr>
          <w:p w14:paraId="6C4816D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rPr>
            </w:pPr>
          </w:p>
        </w:tc>
        <w:tc>
          <w:tcPr>
            <w:tcW w:w="1238" w:type="pct"/>
            <w:tcBorders>
              <w:tl2br w:val="nil"/>
              <w:tr2bl w:val="nil"/>
            </w:tcBorders>
            <w:shd w:val="clear" w:color="auto" w:fill="auto"/>
            <w:vAlign w:val="center"/>
          </w:tcPr>
          <w:p w14:paraId="0BC6AACE">
            <w:pPr>
              <w:widowControl/>
              <w:spacing w:line="240" w:lineRule="auto"/>
              <w:ind w:firstLine="0" w:firstLineChars="0"/>
              <w:jc w:val="left"/>
              <w:textAlignment w:val="center"/>
              <w:rPr>
                <w:rFonts w:hint="eastAsia" w:ascii="Times New Roman" w:hAnsi="Times New Roman" w:eastAsia="宋体" w:cs="Times New Roman"/>
                <w:color w:val="auto"/>
                <w:sz w:val="21"/>
                <w:szCs w:val="21"/>
                <w:highlight w:val="none"/>
                <w:lang w:val="en-US" w:eastAsia="zh-CN" w:bidi="ar-SA"/>
              </w:rPr>
            </w:pPr>
            <w:r>
              <w:rPr>
                <w:rFonts w:hint="eastAsia" w:ascii="Times New Roman" w:hAnsi="Times New Roman" w:eastAsia="宋体" w:cs="Times New Roman"/>
                <w:color w:val="auto"/>
                <w:sz w:val="21"/>
                <w:szCs w:val="21"/>
                <w:highlight w:val="none"/>
                <w:lang w:val="en-US" w:eastAsia="zh-CN"/>
              </w:rPr>
              <w:t>C34玉米每亩单产提升率</w:t>
            </w:r>
          </w:p>
        </w:tc>
        <w:tc>
          <w:tcPr>
            <w:tcW w:w="556" w:type="pct"/>
            <w:tcBorders>
              <w:tl2br w:val="nil"/>
              <w:tr2bl w:val="nil"/>
            </w:tcBorders>
            <w:shd w:val="clear" w:color="auto" w:fill="auto"/>
            <w:vAlign w:val="center"/>
          </w:tcPr>
          <w:p w14:paraId="09CCD182">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≥4.00%</w:t>
            </w:r>
          </w:p>
        </w:tc>
        <w:tc>
          <w:tcPr>
            <w:tcW w:w="662" w:type="pct"/>
            <w:tcBorders>
              <w:tl2br w:val="nil"/>
              <w:tr2bl w:val="nil"/>
            </w:tcBorders>
            <w:shd w:val="clear" w:color="auto" w:fill="auto"/>
            <w:vAlign w:val="center"/>
          </w:tcPr>
          <w:p w14:paraId="121A12B9">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-2.89%</w:t>
            </w:r>
          </w:p>
        </w:tc>
        <w:tc>
          <w:tcPr>
            <w:tcW w:w="494" w:type="pct"/>
            <w:tcBorders>
              <w:tl2br w:val="nil"/>
              <w:tr2bl w:val="nil"/>
            </w:tcBorders>
            <w:shd w:val="clear" w:color="auto" w:fill="auto"/>
            <w:vAlign w:val="center"/>
          </w:tcPr>
          <w:p w14:paraId="095C0BBD">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3.00</w:t>
            </w:r>
          </w:p>
        </w:tc>
        <w:tc>
          <w:tcPr>
            <w:tcW w:w="417" w:type="pct"/>
            <w:tcBorders>
              <w:tl2br w:val="nil"/>
              <w:tr2bl w:val="nil"/>
            </w:tcBorders>
            <w:shd w:val="clear" w:color="auto" w:fill="auto"/>
            <w:vAlign w:val="center"/>
          </w:tcPr>
          <w:p w14:paraId="47C42863">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0.00</w:t>
            </w:r>
          </w:p>
        </w:tc>
        <w:tc>
          <w:tcPr>
            <w:tcW w:w="867" w:type="dxa"/>
            <w:tcBorders>
              <w:tl2br w:val="nil"/>
              <w:tr2bl w:val="nil"/>
            </w:tcBorders>
            <w:shd w:val="clear" w:color="auto" w:fill="auto"/>
            <w:vAlign w:val="center"/>
          </w:tcPr>
          <w:p w14:paraId="029A4594">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i w:val="0"/>
                <w:iCs w:val="0"/>
                <w:color w:val="auto"/>
                <w:kern w:val="0"/>
                <w:sz w:val="21"/>
                <w:szCs w:val="21"/>
                <w:highlight w:val="none"/>
                <w:u w:val="none"/>
                <w:lang w:val="en-US" w:eastAsia="zh-CN" w:bidi="ar"/>
              </w:rPr>
              <w:t>0.00%</w:t>
            </w:r>
          </w:p>
        </w:tc>
      </w:tr>
      <w:tr w14:paraId="622830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cantSplit/>
          <w:trHeight w:val="23" w:hRule="atLeast"/>
        </w:trPr>
        <w:tc>
          <w:tcPr>
            <w:tcW w:w="473" w:type="pct"/>
            <w:vMerge w:val="continue"/>
            <w:tcBorders>
              <w:tl2br w:val="nil"/>
              <w:tr2bl w:val="nil"/>
            </w:tcBorders>
            <w:shd w:val="clear" w:color="auto" w:fill="auto"/>
            <w:vAlign w:val="center"/>
          </w:tcPr>
          <w:p w14:paraId="76277D3F">
            <w:pPr>
              <w:widowControl/>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rPr>
            </w:pPr>
          </w:p>
        </w:tc>
        <w:tc>
          <w:tcPr>
            <w:tcW w:w="642" w:type="pct"/>
            <w:vAlign w:val="center"/>
          </w:tcPr>
          <w:p w14:paraId="02F4578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C4服务对象满意度</w:t>
            </w:r>
          </w:p>
        </w:tc>
        <w:tc>
          <w:tcPr>
            <w:tcW w:w="1238" w:type="pct"/>
            <w:tcBorders>
              <w:tl2br w:val="nil"/>
              <w:tr2bl w:val="nil"/>
            </w:tcBorders>
            <w:shd w:val="clear" w:color="auto" w:fill="auto"/>
            <w:vAlign w:val="center"/>
          </w:tcPr>
          <w:p w14:paraId="5C2233E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C41受益农户满意度</w:t>
            </w:r>
          </w:p>
        </w:tc>
        <w:tc>
          <w:tcPr>
            <w:tcW w:w="556" w:type="pct"/>
            <w:tcBorders>
              <w:tl2br w:val="nil"/>
              <w:tr2bl w:val="nil"/>
            </w:tcBorders>
            <w:shd w:val="clear" w:color="auto" w:fill="auto"/>
            <w:vAlign w:val="center"/>
          </w:tcPr>
          <w:p w14:paraId="2D9C346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≥90.00%</w:t>
            </w:r>
          </w:p>
        </w:tc>
        <w:tc>
          <w:tcPr>
            <w:tcW w:w="662" w:type="pct"/>
            <w:tcBorders>
              <w:tl2br w:val="nil"/>
              <w:tr2bl w:val="nil"/>
            </w:tcBorders>
            <w:shd w:val="clear" w:color="auto" w:fill="auto"/>
            <w:vAlign w:val="center"/>
          </w:tcPr>
          <w:p w14:paraId="37980637">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96.52%</w:t>
            </w:r>
          </w:p>
        </w:tc>
        <w:tc>
          <w:tcPr>
            <w:tcW w:w="494" w:type="pct"/>
            <w:tcBorders>
              <w:tl2br w:val="nil"/>
              <w:tr2bl w:val="nil"/>
            </w:tcBorders>
            <w:shd w:val="clear" w:color="auto" w:fill="auto"/>
            <w:vAlign w:val="center"/>
          </w:tcPr>
          <w:p w14:paraId="2A0F5AFC">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12.00</w:t>
            </w:r>
          </w:p>
        </w:tc>
        <w:tc>
          <w:tcPr>
            <w:tcW w:w="417" w:type="pct"/>
            <w:tcBorders>
              <w:tl2br w:val="nil"/>
              <w:tr2bl w:val="nil"/>
            </w:tcBorders>
            <w:shd w:val="clear" w:color="auto" w:fill="auto"/>
            <w:vAlign w:val="center"/>
          </w:tcPr>
          <w:p w14:paraId="778FE17F">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color w:val="auto"/>
                <w:sz w:val="21"/>
                <w:szCs w:val="21"/>
                <w:highlight w:val="none"/>
                <w:lang w:val="en-US" w:eastAsia="zh-CN"/>
              </w:rPr>
              <w:t>12.00</w:t>
            </w:r>
          </w:p>
        </w:tc>
        <w:tc>
          <w:tcPr>
            <w:tcW w:w="867" w:type="dxa"/>
            <w:tcBorders>
              <w:tl2br w:val="nil"/>
              <w:tr2bl w:val="nil"/>
            </w:tcBorders>
            <w:shd w:val="clear" w:color="auto" w:fill="auto"/>
            <w:vAlign w:val="center"/>
          </w:tcPr>
          <w:p w14:paraId="6E26BE1E">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Cs/>
                <w:i w:val="0"/>
                <w:iCs w:val="0"/>
                <w:color w:val="auto"/>
                <w:kern w:val="0"/>
                <w:sz w:val="21"/>
                <w:szCs w:val="21"/>
                <w:highlight w:val="none"/>
                <w:u w:val="none"/>
                <w:lang w:val="en-US" w:eastAsia="zh-CN" w:bidi="ar"/>
              </w:rPr>
              <w:t>100.00%</w:t>
            </w:r>
          </w:p>
        </w:tc>
      </w:tr>
      <w:tr w14:paraId="279C71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cantSplit/>
          <w:trHeight w:val="23" w:hRule="atLeast"/>
        </w:trPr>
        <w:tc>
          <w:tcPr>
            <w:tcW w:w="2354" w:type="pct"/>
            <w:gridSpan w:val="3"/>
            <w:tcBorders>
              <w:tl2br w:val="nil"/>
              <w:tr2bl w:val="nil"/>
            </w:tcBorders>
            <w:shd w:val="clear" w:color="auto" w:fill="auto"/>
            <w:vAlign w:val="center"/>
          </w:tcPr>
          <w:p w14:paraId="7518F5E1">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rPr>
            </w:pPr>
            <w:r>
              <w:rPr>
                <w:rFonts w:hint="eastAsia" w:ascii="Times New Roman" w:hAnsi="Times New Roman" w:eastAsia="宋体" w:cs="Times New Roman"/>
                <w:b/>
                <w:color w:val="auto"/>
                <w:sz w:val="21"/>
                <w:szCs w:val="21"/>
                <w:highlight w:val="none"/>
                <w:lang w:val="en-US" w:eastAsia="zh-CN"/>
              </w:rPr>
              <w:t>合计</w:t>
            </w:r>
          </w:p>
        </w:tc>
        <w:tc>
          <w:tcPr>
            <w:tcW w:w="556" w:type="pct"/>
            <w:tcBorders>
              <w:tl2br w:val="nil"/>
              <w:tr2bl w:val="nil"/>
            </w:tcBorders>
            <w:shd w:val="clear" w:color="auto" w:fill="auto"/>
            <w:vAlign w:val="center"/>
          </w:tcPr>
          <w:p w14:paraId="6076ADA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rPr>
            </w:pPr>
          </w:p>
        </w:tc>
        <w:tc>
          <w:tcPr>
            <w:tcW w:w="662" w:type="pct"/>
            <w:tcBorders>
              <w:tl2br w:val="nil"/>
              <w:tr2bl w:val="nil"/>
            </w:tcBorders>
            <w:shd w:val="clear" w:color="auto" w:fill="auto"/>
            <w:vAlign w:val="center"/>
          </w:tcPr>
          <w:p w14:paraId="6FEB590C">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rPr>
            </w:pPr>
          </w:p>
        </w:tc>
        <w:tc>
          <w:tcPr>
            <w:tcW w:w="494" w:type="pct"/>
            <w:tcBorders>
              <w:tl2br w:val="nil"/>
              <w:tr2bl w:val="nil"/>
            </w:tcBorders>
            <w:shd w:val="clear" w:color="auto" w:fill="auto"/>
            <w:vAlign w:val="center"/>
          </w:tcPr>
          <w:p w14:paraId="390ABB2B">
            <w:pPr>
              <w:widowControl/>
              <w:spacing w:line="240" w:lineRule="auto"/>
              <w:ind w:firstLine="0" w:firstLineChars="0"/>
              <w:jc w:val="center"/>
              <w:textAlignment w:val="center"/>
              <w:rPr>
                <w:rFonts w:hint="eastAsia" w:ascii="Times New Roman" w:hAnsi="Times New Roman" w:eastAsia="宋体" w:cs="Times New Roman"/>
                <w:b/>
                <w:bCs w:val="0"/>
                <w:color w:val="auto"/>
                <w:sz w:val="21"/>
                <w:szCs w:val="21"/>
                <w:highlight w:val="none"/>
                <w:lang w:val="en-US" w:eastAsia="zh-CN"/>
              </w:rPr>
            </w:pPr>
            <w:r>
              <w:rPr>
                <w:rFonts w:hint="eastAsia" w:ascii="Times New Roman" w:hAnsi="Times New Roman" w:eastAsia="宋体" w:cs="Times New Roman"/>
                <w:b/>
                <w:bCs w:val="0"/>
                <w:color w:val="auto"/>
                <w:sz w:val="21"/>
                <w:szCs w:val="21"/>
                <w:highlight w:val="none"/>
                <w:lang w:val="en-US" w:eastAsia="zh-CN"/>
              </w:rPr>
              <w:t>60.00</w:t>
            </w:r>
          </w:p>
        </w:tc>
        <w:tc>
          <w:tcPr>
            <w:tcW w:w="417" w:type="pct"/>
            <w:tcBorders>
              <w:tl2br w:val="nil"/>
              <w:tr2bl w:val="nil"/>
            </w:tcBorders>
            <w:shd w:val="clear" w:color="auto" w:fill="auto"/>
            <w:vAlign w:val="center"/>
          </w:tcPr>
          <w:p w14:paraId="2AB12A3C">
            <w:pPr>
              <w:widowControl/>
              <w:spacing w:line="240" w:lineRule="auto"/>
              <w:ind w:firstLine="0" w:firstLineChars="0"/>
              <w:jc w:val="center"/>
              <w:textAlignment w:val="center"/>
              <w:rPr>
                <w:rFonts w:hint="default" w:ascii="Times New Roman" w:hAnsi="Times New Roman" w:eastAsia="宋体" w:cs="Times New Roman"/>
                <w:b/>
                <w:bCs w:val="0"/>
                <w:color w:val="auto"/>
                <w:sz w:val="21"/>
                <w:szCs w:val="21"/>
                <w:highlight w:val="none"/>
                <w:lang w:val="en-US" w:eastAsia="zh-CN"/>
              </w:rPr>
            </w:pPr>
            <w:r>
              <w:rPr>
                <w:rFonts w:hint="eastAsia" w:ascii="Times New Roman" w:hAnsi="Times New Roman" w:eastAsia="宋体" w:cs="Times New Roman"/>
                <w:b/>
                <w:bCs w:val="0"/>
                <w:color w:val="auto"/>
                <w:sz w:val="21"/>
                <w:szCs w:val="21"/>
                <w:highlight w:val="none"/>
                <w:lang w:val="en-US" w:eastAsia="zh-CN"/>
              </w:rPr>
              <w:t>52.20</w:t>
            </w:r>
          </w:p>
        </w:tc>
        <w:tc>
          <w:tcPr>
            <w:tcW w:w="867" w:type="dxa"/>
            <w:tcBorders>
              <w:tl2br w:val="nil"/>
              <w:tr2bl w:val="nil"/>
            </w:tcBorders>
            <w:shd w:val="clear" w:color="auto" w:fill="auto"/>
            <w:vAlign w:val="center"/>
          </w:tcPr>
          <w:p w14:paraId="5BB3FB3A">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bCs w:val="0"/>
                <w:color w:val="auto"/>
                <w:sz w:val="21"/>
                <w:szCs w:val="21"/>
                <w:highlight w:val="none"/>
                <w:lang w:val="en-US" w:eastAsia="zh-CN"/>
              </w:rPr>
            </w:pPr>
            <w:r>
              <w:rPr>
                <w:rFonts w:hint="eastAsia" w:ascii="Times New Roman" w:hAnsi="Times New Roman" w:eastAsia="宋体" w:cs="Times New Roman"/>
                <w:b/>
                <w:bCs w:val="0"/>
                <w:i w:val="0"/>
                <w:iCs w:val="0"/>
                <w:color w:val="auto"/>
                <w:kern w:val="0"/>
                <w:sz w:val="21"/>
                <w:szCs w:val="21"/>
                <w:highlight w:val="none"/>
                <w:u w:val="none"/>
                <w:lang w:val="en-US" w:eastAsia="zh-CN" w:bidi="ar"/>
              </w:rPr>
              <w:t>87.00%</w:t>
            </w:r>
          </w:p>
        </w:tc>
      </w:tr>
    </w:tbl>
    <w:p w14:paraId="1D6F91CB">
      <w:pPr>
        <w:ind w:firstLine="643"/>
        <w:rPr>
          <w:rFonts w:hint="default" w:ascii="Times New Roman" w:hAnsi="Times New Roman" w:eastAsia="宋体" w:cs="Times New Roman"/>
          <w:b/>
          <w:color w:val="auto"/>
          <w:highlight w:val="none"/>
        </w:rPr>
      </w:pPr>
    </w:p>
    <w:p w14:paraId="72CA48C6">
      <w:pPr>
        <w:ind w:firstLine="643"/>
        <w:rPr>
          <w:rFonts w:hint="default" w:ascii="Times New Roman" w:hAnsi="Times New Roman" w:eastAsia="宋体" w:cs="Times New Roman"/>
          <w:b/>
          <w:color w:val="auto"/>
          <w:highlight w:val="none"/>
        </w:rPr>
      </w:pPr>
      <w:r>
        <w:rPr>
          <w:rFonts w:hint="default" w:ascii="Times New Roman" w:hAnsi="Times New Roman" w:eastAsia="宋体" w:cs="Times New Roman"/>
          <w:b/>
          <w:color w:val="auto"/>
          <w:highlight w:val="none"/>
        </w:rPr>
        <w:t>指标得分分析：</w:t>
      </w:r>
    </w:p>
    <w:p w14:paraId="2E1A0505">
      <w:pPr>
        <w:ind w:firstLine="640"/>
        <w:rPr>
          <w:rFonts w:hint="eastAsia" w:ascii="Times New Roman" w:hAnsi="Times New Roman" w:eastAsia="宋体" w:cs="Times New Roman"/>
          <w:b/>
          <w:color w:val="auto"/>
          <w:highlight w:val="none"/>
        </w:rPr>
      </w:pPr>
      <w:r>
        <w:rPr>
          <w:rFonts w:hint="eastAsia" w:ascii="Times New Roman" w:hAnsi="Times New Roman" w:eastAsia="宋体" w:cs="Times New Roman"/>
          <w:b/>
          <w:color w:val="auto"/>
          <w:highlight w:val="none"/>
        </w:rPr>
        <w:t>（1）C11</w:t>
      </w:r>
      <w:r>
        <w:rPr>
          <w:rFonts w:hint="eastAsia" w:ascii="Times New Roman" w:hAnsi="Times New Roman" w:eastAsia="宋体" w:cs="Times New Roman"/>
          <w:b/>
          <w:color w:val="auto"/>
          <w:highlight w:val="none"/>
          <w:lang w:eastAsia="zh-CN"/>
        </w:rPr>
        <w:t>开展各类农技培训次数</w:t>
      </w:r>
      <w:r>
        <w:rPr>
          <w:rFonts w:hint="eastAsia" w:ascii="Times New Roman" w:hAnsi="Times New Roman" w:eastAsia="宋体" w:cs="Times New Roman"/>
          <w:b/>
          <w:color w:val="auto"/>
          <w:highlight w:val="none"/>
        </w:rPr>
        <w:t>指标：</w:t>
      </w:r>
    </w:p>
    <w:p w14:paraId="590F1523">
      <w:pPr>
        <w:ind w:firstLine="640"/>
        <w:jc w:val="left"/>
        <w:rPr>
          <w:rFonts w:hint="default" w:ascii="Times New Roman" w:hAnsi="Times New Roman" w:eastAsia="宋体" w:cs="Times New Roman"/>
          <w:bCs w:val="0"/>
          <w:color w:val="auto"/>
          <w:kern w:val="2"/>
          <w:highlight w:val="none"/>
        </w:rPr>
      </w:pPr>
      <w:r>
        <w:rPr>
          <w:rFonts w:hint="default" w:ascii="Times New Roman" w:hAnsi="Times New Roman" w:eastAsia="宋体" w:cs="Times New Roman"/>
          <w:bCs w:val="0"/>
          <w:color w:val="auto"/>
          <w:kern w:val="2"/>
          <w:highlight w:val="none"/>
        </w:rPr>
        <w:t>根据伊宁县农技推广中心提供的</w:t>
      </w:r>
      <w:r>
        <w:rPr>
          <w:rFonts w:hint="default" w:ascii="Times New Roman" w:hAnsi="Times New Roman" w:eastAsia="宋体" w:cs="Times New Roman"/>
          <w:bCs w:val="0"/>
          <w:color w:val="auto"/>
          <w:kern w:val="2"/>
          <w:highlight w:val="none"/>
          <w:lang w:val="en-US" w:eastAsia="zh-CN"/>
        </w:rPr>
        <w:t>2024年度</w:t>
      </w:r>
      <w:r>
        <w:rPr>
          <w:rFonts w:hint="default" w:ascii="Times New Roman" w:hAnsi="Times New Roman" w:eastAsia="宋体" w:cs="Times New Roman"/>
          <w:bCs w:val="0"/>
          <w:color w:val="auto"/>
          <w:kern w:val="2"/>
          <w:highlight w:val="none"/>
        </w:rPr>
        <w:t>各类培训工作的统计表可知，2024年伊宁县农技推广中心组织开展117场培训工作，培训时间安排在2023年12月—2024年3</w:t>
      </w:r>
      <w:r>
        <w:rPr>
          <w:rFonts w:hint="default" w:ascii="Times New Roman" w:hAnsi="Times New Roman" w:eastAsia="宋体" w:cs="Times New Roman"/>
          <w:bCs w:val="0"/>
          <w:color w:val="auto"/>
          <w:kern w:val="2"/>
          <w:highlight w:val="none"/>
          <w:lang w:eastAsia="zh-CN"/>
        </w:rPr>
        <w:t>月间</w:t>
      </w:r>
      <w:r>
        <w:rPr>
          <w:rFonts w:hint="default" w:ascii="Times New Roman" w:hAnsi="Times New Roman" w:eastAsia="宋体" w:cs="Times New Roman"/>
          <w:bCs w:val="0"/>
          <w:color w:val="auto"/>
          <w:kern w:val="2"/>
          <w:highlight w:val="none"/>
        </w:rPr>
        <w:t>，培训内容主要包括玉米密植高产精准调控技术、冬小麦春季，中后期田间管理、农业种植培训三个方面，保障2024年种植户的种植工作顺利开展</w:t>
      </w:r>
      <w:r>
        <w:rPr>
          <w:rFonts w:hint="default" w:ascii="Times New Roman" w:hAnsi="Times New Roman" w:eastAsia="宋体" w:cs="Times New Roman"/>
          <w:bCs w:val="0"/>
          <w:color w:val="auto"/>
          <w:kern w:val="2"/>
          <w:highlight w:val="none"/>
          <w:lang w:eastAsia="zh-CN"/>
        </w:rPr>
        <w:t>，</w:t>
      </w:r>
      <w:r>
        <w:rPr>
          <w:rFonts w:hint="default" w:ascii="Times New Roman" w:hAnsi="Times New Roman" w:eastAsia="宋体" w:cs="Times New Roman"/>
          <w:bCs w:val="0"/>
          <w:color w:val="auto"/>
          <w:kern w:val="2"/>
          <w:highlight w:val="none"/>
          <w:lang w:val="en-US" w:eastAsia="zh-CN"/>
        </w:rPr>
        <w:t>达成预期绩效目标</w:t>
      </w:r>
      <w:r>
        <w:rPr>
          <w:rFonts w:hint="default" w:ascii="Times New Roman" w:hAnsi="Times New Roman" w:eastAsia="宋体" w:cs="Times New Roman"/>
          <w:bCs w:val="0"/>
          <w:color w:val="auto"/>
          <w:kern w:val="2"/>
          <w:highlight w:val="none"/>
        </w:rPr>
        <w:t>。</w:t>
      </w:r>
    </w:p>
    <w:p w14:paraId="1A50545D">
      <w:pPr>
        <w:ind w:firstLine="640"/>
        <w:jc w:val="left"/>
        <w:rPr>
          <w:rFonts w:hint="default" w:ascii="Times New Roman" w:hAnsi="Times New Roman" w:eastAsia="宋体" w:cs="Times New Roman"/>
          <w:color w:val="auto"/>
          <w:kern w:val="2"/>
          <w:highlight w:val="none"/>
          <w:lang w:eastAsia="zh-CN"/>
        </w:rPr>
      </w:pPr>
      <w:r>
        <w:rPr>
          <w:rFonts w:hint="default" w:ascii="Times New Roman" w:hAnsi="Times New Roman" w:eastAsia="宋体" w:cs="Times New Roman"/>
          <w:bCs w:val="0"/>
          <w:color w:val="auto"/>
          <w:kern w:val="2"/>
          <w:highlight w:val="none"/>
        </w:rPr>
        <w:t>该指标满分为7.00分，根据评分标准得7.00分。</w:t>
      </w:r>
    </w:p>
    <w:p w14:paraId="6410ED25">
      <w:pPr>
        <w:ind w:firstLine="640"/>
        <w:rPr>
          <w:rFonts w:hint="eastAsia" w:ascii="Times New Roman" w:hAnsi="Times New Roman" w:eastAsia="宋体" w:cs="Times New Roman"/>
          <w:b/>
          <w:color w:val="auto"/>
          <w:highlight w:val="none"/>
        </w:rPr>
      </w:pPr>
      <w:r>
        <w:rPr>
          <w:rFonts w:hint="eastAsia" w:ascii="Times New Roman" w:hAnsi="Times New Roman" w:eastAsia="宋体" w:cs="Times New Roman"/>
          <w:b/>
          <w:color w:val="auto"/>
          <w:highlight w:val="none"/>
        </w:rPr>
        <w:t>（2）C12中长期病虫害预测预报指标：</w:t>
      </w:r>
    </w:p>
    <w:p w14:paraId="119EC30F">
      <w:pPr>
        <w:ind w:firstLine="640"/>
        <w:jc w:val="left"/>
        <w:rPr>
          <w:rFonts w:hint="default" w:ascii="Times New Roman" w:hAnsi="Times New Roman" w:eastAsia="宋体" w:cs="Times New Roman"/>
          <w:bCs w:val="0"/>
          <w:color w:val="auto"/>
          <w:kern w:val="2"/>
          <w:highlight w:val="none"/>
          <w:lang w:eastAsia="zh-CN"/>
        </w:rPr>
      </w:pPr>
      <w:r>
        <w:rPr>
          <w:rFonts w:hint="default" w:ascii="Times New Roman" w:hAnsi="Times New Roman" w:eastAsia="宋体" w:cs="Times New Roman"/>
          <w:bCs w:val="0"/>
          <w:color w:val="auto"/>
          <w:kern w:val="2"/>
          <w:highlight w:val="none"/>
        </w:rPr>
        <w:t>根据伊宁县农技推广中心提供的</w:t>
      </w:r>
      <w:r>
        <w:rPr>
          <w:rFonts w:hint="default" w:ascii="Times New Roman" w:hAnsi="Times New Roman" w:eastAsia="宋体" w:cs="Times New Roman"/>
          <w:bCs w:val="0"/>
          <w:color w:val="auto"/>
          <w:kern w:val="2"/>
          <w:highlight w:val="none"/>
          <w:lang w:val="en-US" w:eastAsia="zh-CN"/>
        </w:rPr>
        <w:t>2024年度</w:t>
      </w:r>
      <w:r>
        <w:rPr>
          <w:rFonts w:hint="default" w:ascii="Times New Roman" w:hAnsi="Times New Roman" w:eastAsia="宋体" w:cs="Times New Roman"/>
          <w:bCs w:val="0"/>
          <w:color w:val="auto"/>
          <w:kern w:val="2"/>
          <w:highlight w:val="none"/>
        </w:rPr>
        <w:t>《农作物病虫害发生情报》可知，伊宁县农技推广中心</w:t>
      </w:r>
      <w:r>
        <w:rPr>
          <w:rFonts w:hint="default" w:ascii="Times New Roman" w:hAnsi="Times New Roman" w:eastAsia="宋体" w:cs="Times New Roman"/>
          <w:bCs w:val="0"/>
          <w:color w:val="auto"/>
          <w:kern w:val="2"/>
          <w:highlight w:val="none"/>
          <w:lang w:val="en-US" w:eastAsia="zh-CN"/>
        </w:rPr>
        <w:t>2024年度共完成</w:t>
      </w:r>
      <w:r>
        <w:rPr>
          <w:rFonts w:hint="default" w:ascii="Times New Roman" w:hAnsi="Times New Roman" w:eastAsia="宋体" w:cs="Times New Roman"/>
          <w:bCs w:val="0"/>
          <w:color w:val="auto"/>
          <w:kern w:val="2"/>
          <w:highlight w:val="none"/>
        </w:rPr>
        <w:t>病虫害预测报告15期，包括：农作物主要病虫草鼠害发生趋势长期预报、冬小麦雪腐雪霉病发生预测预报、玉米螟发生防治预报、虫害发生防治预测预报等方面的病虫害预测预报</w:t>
      </w:r>
      <w:r>
        <w:rPr>
          <w:rFonts w:hint="default" w:ascii="Times New Roman" w:hAnsi="Times New Roman" w:eastAsia="宋体" w:cs="Times New Roman"/>
          <w:bCs w:val="0"/>
          <w:color w:val="auto"/>
          <w:kern w:val="2"/>
          <w:highlight w:val="none"/>
          <w:lang w:eastAsia="zh-CN"/>
        </w:rPr>
        <w:t>，</w:t>
      </w:r>
      <w:r>
        <w:rPr>
          <w:rFonts w:hint="default" w:ascii="Times New Roman" w:hAnsi="Times New Roman" w:eastAsia="宋体" w:cs="Times New Roman"/>
          <w:bCs w:val="0"/>
          <w:color w:val="auto"/>
          <w:kern w:val="2"/>
          <w:highlight w:val="none"/>
          <w:lang w:val="en-US" w:eastAsia="zh-CN"/>
        </w:rPr>
        <w:t>达成预期绩效目标</w:t>
      </w:r>
      <w:r>
        <w:rPr>
          <w:rFonts w:hint="default" w:ascii="Times New Roman" w:hAnsi="Times New Roman" w:eastAsia="宋体" w:cs="Times New Roman"/>
          <w:bCs w:val="0"/>
          <w:color w:val="auto"/>
          <w:kern w:val="2"/>
          <w:highlight w:val="none"/>
        </w:rPr>
        <w:t>。</w:t>
      </w:r>
    </w:p>
    <w:p w14:paraId="1A692BE4">
      <w:pPr>
        <w:ind w:firstLine="640"/>
        <w:jc w:val="left"/>
        <w:rPr>
          <w:rFonts w:hint="default" w:ascii="Times New Roman" w:hAnsi="Times New Roman" w:eastAsia="宋体" w:cs="Times New Roman"/>
          <w:color w:val="auto"/>
          <w:kern w:val="2"/>
          <w:highlight w:val="none"/>
          <w:lang w:eastAsia="zh-CN"/>
        </w:rPr>
      </w:pPr>
      <w:r>
        <w:rPr>
          <w:rFonts w:hint="default" w:ascii="Times New Roman" w:hAnsi="Times New Roman" w:eastAsia="宋体" w:cs="Times New Roman"/>
          <w:bCs w:val="0"/>
          <w:color w:val="auto"/>
          <w:kern w:val="2"/>
          <w:highlight w:val="none"/>
        </w:rPr>
        <w:t>该指标满分为8.00分，根据评分标准得8.00分。</w:t>
      </w:r>
    </w:p>
    <w:p w14:paraId="7AC3D6EC">
      <w:pPr>
        <w:ind w:firstLine="640"/>
        <w:rPr>
          <w:rFonts w:hint="eastAsia" w:ascii="Times New Roman" w:hAnsi="Times New Roman" w:eastAsia="宋体" w:cs="Times New Roman"/>
          <w:b/>
          <w:color w:val="auto"/>
          <w:highlight w:val="none"/>
        </w:rPr>
      </w:pPr>
      <w:r>
        <w:rPr>
          <w:rFonts w:hint="eastAsia" w:ascii="Times New Roman" w:hAnsi="Times New Roman" w:eastAsia="宋体" w:cs="Times New Roman"/>
          <w:b/>
          <w:color w:val="auto"/>
          <w:highlight w:val="none"/>
        </w:rPr>
        <w:t>（3）C21小麦粮食作物统防统治覆盖率指标：</w:t>
      </w:r>
    </w:p>
    <w:p w14:paraId="166DB405">
      <w:pPr>
        <w:ind w:firstLine="640"/>
        <w:jc w:val="left"/>
        <w:rPr>
          <w:rFonts w:hint="default" w:ascii="Times New Roman" w:hAnsi="Times New Roman" w:eastAsia="宋体" w:cs="Times New Roman"/>
          <w:bCs w:val="0"/>
          <w:color w:val="auto"/>
          <w:kern w:val="2"/>
          <w:highlight w:val="none"/>
        </w:rPr>
      </w:pPr>
      <w:r>
        <w:rPr>
          <w:rFonts w:hint="default" w:ascii="Times New Roman" w:hAnsi="Times New Roman" w:eastAsia="宋体" w:cs="Times New Roman"/>
          <w:bCs w:val="0"/>
          <w:color w:val="auto"/>
          <w:kern w:val="2"/>
          <w:highlight w:val="none"/>
        </w:rPr>
        <w:t>根据伊宁县农技推广中心提供的《2024农作物绿色防控，统防统治覆盖率面积统计表》可知，2024年伊宁县</w:t>
      </w:r>
      <w:r>
        <w:rPr>
          <w:rFonts w:hint="default" w:ascii="Times New Roman" w:hAnsi="Times New Roman" w:eastAsia="宋体" w:cs="Times New Roman"/>
          <w:bCs w:val="0"/>
          <w:color w:val="auto"/>
          <w:kern w:val="2"/>
          <w:highlight w:val="none"/>
          <w:lang w:eastAsia="zh-CN"/>
        </w:rPr>
        <w:t>小麦</w:t>
      </w:r>
      <w:r>
        <w:rPr>
          <w:rFonts w:hint="default" w:ascii="Times New Roman" w:hAnsi="Times New Roman" w:eastAsia="宋体" w:cs="Times New Roman"/>
          <w:bCs w:val="0"/>
          <w:color w:val="auto"/>
          <w:kern w:val="2"/>
          <w:highlight w:val="none"/>
        </w:rPr>
        <w:t>粮食作物</w:t>
      </w:r>
      <w:r>
        <w:rPr>
          <w:rFonts w:hint="default" w:ascii="Times New Roman" w:hAnsi="Times New Roman" w:eastAsia="宋体" w:cs="Times New Roman"/>
          <w:bCs w:val="0"/>
          <w:color w:val="auto"/>
          <w:kern w:val="2"/>
          <w:highlight w:val="none"/>
          <w:lang w:val="en-US" w:eastAsia="zh-CN"/>
        </w:rPr>
        <w:t>种植面积22.43万亩，</w:t>
      </w:r>
      <w:r>
        <w:rPr>
          <w:rFonts w:hint="default" w:ascii="Times New Roman" w:hAnsi="Times New Roman" w:eastAsia="宋体" w:cs="Times New Roman"/>
          <w:bCs w:val="0"/>
          <w:color w:val="auto"/>
          <w:kern w:val="2"/>
          <w:highlight w:val="none"/>
        </w:rPr>
        <w:t>统防统治覆盖面积为12.60万亩，</w:t>
      </w:r>
      <w:r>
        <w:rPr>
          <w:rFonts w:hint="default" w:ascii="Times New Roman" w:hAnsi="Times New Roman" w:eastAsia="宋体" w:cs="Times New Roman"/>
          <w:bCs w:val="0"/>
          <w:color w:val="auto"/>
          <w:kern w:val="2"/>
          <w:highlight w:val="none"/>
          <w:lang w:eastAsia="zh-CN"/>
        </w:rPr>
        <w:t>小麦</w:t>
      </w:r>
      <w:r>
        <w:rPr>
          <w:rFonts w:hint="default" w:ascii="Times New Roman" w:hAnsi="Times New Roman" w:eastAsia="宋体" w:cs="Times New Roman"/>
          <w:bCs w:val="0"/>
          <w:color w:val="auto"/>
          <w:kern w:val="2"/>
          <w:highlight w:val="none"/>
        </w:rPr>
        <w:t>粮食作物统防统治覆盖率54.05%</w:t>
      </w:r>
      <w:r>
        <w:rPr>
          <w:rFonts w:hint="default" w:ascii="Times New Roman" w:hAnsi="Times New Roman" w:eastAsia="宋体" w:cs="Times New Roman"/>
          <w:bCs w:val="0"/>
          <w:color w:val="auto"/>
          <w:kern w:val="2"/>
          <w:highlight w:val="none"/>
          <w:lang w:eastAsia="zh-CN"/>
        </w:rPr>
        <w:t>，</w:t>
      </w:r>
      <w:r>
        <w:rPr>
          <w:rFonts w:hint="default" w:ascii="Times New Roman" w:hAnsi="Times New Roman" w:eastAsia="宋体" w:cs="Times New Roman"/>
          <w:bCs w:val="0"/>
          <w:color w:val="auto"/>
          <w:kern w:val="2"/>
          <w:highlight w:val="none"/>
          <w:lang w:val="en-US" w:eastAsia="zh-CN"/>
        </w:rPr>
        <w:t>达成预期绩效目标</w:t>
      </w:r>
      <w:r>
        <w:rPr>
          <w:rFonts w:hint="default" w:ascii="Times New Roman" w:hAnsi="Times New Roman" w:eastAsia="宋体" w:cs="Times New Roman"/>
          <w:bCs w:val="0"/>
          <w:color w:val="auto"/>
          <w:kern w:val="2"/>
          <w:highlight w:val="none"/>
        </w:rPr>
        <w:t>。</w:t>
      </w:r>
    </w:p>
    <w:p w14:paraId="5713C4FF">
      <w:pPr>
        <w:ind w:firstLine="640"/>
        <w:jc w:val="left"/>
        <w:rPr>
          <w:rFonts w:hint="default" w:ascii="Times New Roman" w:hAnsi="Times New Roman" w:eastAsia="宋体" w:cs="Times New Roman"/>
          <w:color w:val="auto"/>
          <w:kern w:val="2"/>
          <w:highlight w:val="none"/>
          <w:lang w:eastAsia="zh-CN"/>
        </w:rPr>
      </w:pPr>
      <w:r>
        <w:rPr>
          <w:rFonts w:hint="default" w:ascii="Times New Roman" w:hAnsi="Times New Roman" w:eastAsia="宋体" w:cs="Times New Roman"/>
          <w:bCs w:val="0"/>
          <w:color w:val="auto"/>
          <w:kern w:val="2"/>
          <w:highlight w:val="none"/>
        </w:rPr>
        <w:t>该指标满分为6.00分，根据评分标准得6.00分。</w:t>
      </w:r>
    </w:p>
    <w:p w14:paraId="0C32660F">
      <w:pPr>
        <w:ind w:firstLine="640"/>
        <w:rPr>
          <w:rFonts w:hint="eastAsia" w:ascii="Times New Roman" w:hAnsi="Times New Roman" w:eastAsia="宋体" w:cs="Times New Roman"/>
          <w:b/>
          <w:color w:val="auto"/>
          <w:highlight w:val="none"/>
        </w:rPr>
      </w:pPr>
      <w:r>
        <w:rPr>
          <w:rFonts w:hint="eastAsia" w:ascii="Times New Roman" w:hAnsi="Times New Roman" w:eastAsia="宋体" w:cs="Times New Roman"/>
          <w:b/>
          <w:color w:val="auto"/>
          <w:highlight w:val="none"/>
        </w:rPr>
        <w:t>（4）C22玉米粮食作物统防统治覆盖率指标：</w:t>
      </w:r>
    </w:p>
    <w:p w14:paraId="33FFFFB4">
      <w:pPr>
        <w:ind w:firstLine="640"/>
        <w:jc w:val="left"/>
        <w:rPr>
          <w:rFonts w:hint="default" w:ascii="Times New Roman" w:hAnsi="Times New Roman" w:eastAsia="宋体" w:cs="Times New Roman"/>
          <w:bCs w:val="0"/>
          <w:color w:val="auto"/>
          <w:kern w:val="2"/>
          <w:highlight w:val="none"/>
        </w:rPr>
      </w:pPr>
      <w:r>
        <w:rPr>
          <w:rFonts w:hint="default" w:ascii="Times New Roman" w:hAnsi="Times New Roman" w:eastAsia="宋体" w:cs="Times New Roman"/>
          <w:bCs w:val="0"/>
          <w:color w:val="auto"/>
          <w:kern w:val="2"/>
          <w:highlight w:val="none"/>
        </w:rPr>
        <w:t>根据伊宁县农技推广中心提供的《2024农作物绿色防控，统防统治覆盖率面积统计表》可知，2024年伊宁县玉米粮食作物</w:t>
      </w:r>
      <w:r>
        <w:rPr>
          <w:rFonts w:hint="default" w:ascii="Times New Roman" w:hAnsi="Times New Roman" w:eastAsia="宋体" w:cs="Times New Roman"/>
          <w:bCs w:val="0"/>
          <w:color w:val="auto"/>
          <w:kern w:val="2"/>
          <w:highlight w:val="none"/>
          <w:lang w:val="en-US" w:eastAsia="zh-CN"/>
        </w:rPr>
        <w:t>种植面积87.40万亩，</w:t>
      </w:r>
      <w:r>
        <w:rPr>
          <w:rFonts w:hint="default" w:ascii="Times New Roman" w:hAnsi="Times New Roman" w:eastAsia="宋体" w:cs="Times New Roman"/>
          <w:bCs w:val="0"/>
          <w:color w:val="auto"/>
          <w:kern w:val="2"/>
          <w:highlight w:val="none"/>
        </w:rPr>
        <w:t>统防统治覆盖面积为65.50万亩，玉米粮食作物统防统治覆盖率54.11%</w:t>
      </w:r>
      <w:r>
        <w:rPr>
          <w:rFonts w:hint="default" w:ascii="Times New Roman" w:hAnsi="Times New Roman" w:eastAsia="宋体" w:cs="Times New Roman"/>
          <w:bCs w:val="0"/>
          <w:color w:val="auto"/>
          <w:kern w:val="2"/>
          <w:highlight w:val="none"/>
          <w:lang w:eastAsia="zh-CN"/>
        </w:rPr>
        <w:t>，</w:t>
      </w:r>
      <w:r>
        <w:rPr>
          <w:rFonts w:hint="default" w:ascii="Times New Roman" w:hAnsi="Times New Roman" w:eastAsia="宋体" w:cs="Times New Roman"/>
          <w:bCs w:val="0"/>
          <w:color w:val="auto"/>
          <w:kern w:val="2"/>
          <w:highlight w:val="none"/>
          <w:lang w:val="en-US" w:eastAsia="zh-CN"/>
        </w:rPr>
        <w:t>达成预期绩效目标</w:t>
      </w:r>
      <w:r>
        <w:rPr>
          <w:rFonts w:hint="default" w:ascii="Times New Roman" w:hAnsi="Times New Roman" w:eastAsia="宋体" w:cs="Times New Roman"/>
          <w:bCs w:val="0"/>
          <w:color w:val="auto"/>
          <w:kern w:val="2"/>
          <w:highlight w:val="none"/>
        </w:rPr>
        <w:t>。</w:t>
      </w:r>
    </w:p>
    <w:p w14:paraId="7EA49E3E">
      <w:pPr>
        <w:ind w:firstLine="640"/>
        <w:jc w:val="left"/>
        <w:rPr>
          <w:rFonts w:hint="default" w:ascii="Times New Roman" w:hAnsi="Times New Roman" w:eastAsia="宋体" w:cs="Times New Roman"/>
          <w:color w:val="auto"/>
          <w:kern w:val="2"/>
          <w:highlight w:val="none"/>
          <w:lang w:eastAsia="zh-CN"/>
        </w:rPr>
      </w:pPr>
      <w:r>
        <w:rPr>
          <w:rFonts w:hint="default" w:ascii="Times New Roman" w:hAnsi="Times New Roman" w:eastAsia="宋体" w:cs="Times New Roman"/>
          <w:bCs w:val="0"/>
          <w:color w:val="auto"/>
          <w:kern w:val="2"/>
          <w:highlight w:val="none"/>
        </w:rPr>
        <w:t>该指标满分为6.00分，根据评分标准得6.00分。</w:t>
      </w:r>
    </w:p>
    <w:p w14:paraId="395E1D46">
      <w:pPr>
        <w:ind w:firstLine="640"/>
        <w:rPr>
          <w:rFonts w:hint="eastAsia" w:ascii="Times New Roman" w:hAnsi="Times New Roman" w:eastAsia="宋体" w:cs="Times New Roman"/>
          <w:b/>
          <w:color w:val="auto"/>
          <w:highlight w:val="none"/>
        </w:rPr>
      </w:pPr>
      <w:r>
        <w:rPr>
          <w:rFonts w:hint="eastAsia" w:ascii="Times New Roman" w:hAnsi="Times New Roman" w:eastAsia="宋体" w:cs="Times New Roman"/>
          <w:b/>
          <w:color w:val="auto"/>
          <w:highlight w:val="none"/>
        </w:rPr>
        <w:t>（5）C23农作物病虫害绿色防控覆盖率指标：</w:t>
      </w:r>
    </w:p>
    <w:p w14:paraId="7B34E809">
      <w:pPr>
        <w:ind w:firstLine="640"/>
        <w:jc w:val="left"/>
        <w:rPr>
          <w:rFonts w:hint="default" w:ascii="Times New Roman" w:hAnsi="Times New Roman" w:eastAsia="宋体" w:cs="Times New Roman"/>
          <w:bCs w:val="0"/>
          <w:color w:val="auto"/>
          <w:kern w:val="2"/>
          <w:highlight w:val="none"/>
        </w:rPr>
      </w:pPr>
      <w:r>
        <w:rPr>
          <w:rFonts w:hint="default" w:ascii="Times New Roman" w:hAnsi="Times New Roman" w:eastAsia="宋体" w:cs="Times New Roman"/>
          <w:bCs w:val="0"/>
          <w:color w:val="auto"/>
          <w:kern w:val="2"/>
          <w:highlight w:val="none"/>
        </w:rPr>
        <w:t>根据伊宁县农技推广中心</w:t>
      </w:r>
      <w:r>
        <w:rPr>
          <w:rFonts w:hint="default" w:ascii="Times New Roman" w:hAnsi="Times New Roman" w:eastAsia="宋体" w:cs="Times New Roman"/>
          <w:bCs w:val="0"/>
          <w:color w:val="auto"/>
          <w:kern w:val="2"/>
          <w:highlight w:val="none"/>
          <w:lang w:eastAsia="zh-CN"/>
        </w:rPr>
        <w:t>提供的</w:t>
      </w:r>
      <w:r>
        <w:rPr>
          <w:rFonts w:hint="default" w:ascii="Times New Roman" w:hAnsi="Times New Roman" w:eastAsia="宋体" w:cs="Times New Roman"/>
          <w:bCs w:val="0"/>
          <w:color w:val="auto"/>
          <w:kern w:val="2"/>
          <w:highlight w:val="none"/>
        </w:rPr>
        <w:t>《分作物绿色防控面积统计表》</w:t>
      </w:r>
      <w:r>
        <w:rPr>
          <w:rFonts w:hint="default" w:ascii="Times New Roman" w:hAnsi="Times New Roman" w:eastAsia="宋体" w:cs="Times New Roman"/>
          <w:bCs w:val="0"/>
          <w:color w:val="auto"/>
          <w:kern w:val="2"/>
          <w:highlight w:val="none"/>
          <w:lang w:eastAsia="zh-CN"/>
        </w:rPr>
        <w:t>（</w:t>
      </w:r>
      <w:r>
        <w:rPr>
          <w:rFonts w:hint="default" w:ascii="Times New Roman" w:hAnsi="Times New Roman" w:eastAsia="宋体" w:cs="Times New Roman"/>
          <w:bCs w:val="0"/>
          <w:color w:val="auto"/>
          <w:kern w:val="2"/>
          <w:highlight w:val="none"/>
        </w:rPr>
        <w:t>调查时间为2024年3月15日—2024年12月1日</w:t>
      </w:r>
      <w:r>
        <w:rPr>
          <w:rFonts w:hint="default" w:ascii="Times New Roman" w:hAnsi="Times New Roman" w:eastAsia="宋体" w:cs="Times New Roman"/>
          <w:bCs w:val="0"/>
          <w:color w:val="auto"/>
          <w:kern w:val="2"/>
          <w:highlight w:val="none"/>
          <w:lang w:eastAsia="zh-CN"/>
        </w:rPr>
        <w:t>）</w:t>
      </w:r>
      <w:r>
        <w:rPr>
          <w:rFonts w:hint="default" w:ascii="Times New Roman" w:hAnsi="Times New Roman" w:eastAsia="宋体" w:cs="Times New Roman"/>
          <w:bCs w:val="0"/>
          <w:color w:val="auto"/>
          <w:kern w:val="2"/>
          <w:highlight w:val="none"/>
          <w:lang w:val="en-US" w:eastAsia="zh-CN"/>
        </w:rPr>
        <w:t>显示</w:t>
      </w:r>
      <w:r>
        <w:rPr>
          <w:rFonts w:hint="default" w:ascii="Times New Roman" w:hAnsi="Times New Roman" w:eastAsia="宋体" w:cs="Times New Roman"/>
          <w:bCs w:val="0"/>
          <w:color w:val="auto"/>
          <w:kern w:val="2"/>
          <w:highlight w:val="none"/>
        </w:rPr>
        <w:t>，伊宁县</w:t>
      </w:r>
      <w:r>
        <w:rPr>
          <w:rFonts w:hint="default" w:ascii="Times New Roman" w:hAnsi="Times New Roman" w:eastAsia="宋体" w:cs="Times New Roman"/>
          <w:bCs w:val="0"/>
          <w:color w:val="auto"/>
          <w:kern w:val="2"/>
          <w:highlight w:val="none"/>
          <w:lang w:val="en-US" w:eastAsia="zh-CN"/>
        </w:rPr>
        <w:t>2024年度</w:t>
      </w:r>
      <w:r>
        <w:rPr>
          <w:rFonts w:hint="default" w:ascii="Times New Roman" w:hAnsi="Times New Roman" w:eastAsia="宋体" w:cs="Times New Roman"/>
          <w:bCs w:val="0"/>
          <w:color w:val="auto"/>
          <w:kern w:val="2"/>
          <w:highlight w:val="none"/>
        </w:rPr>
        <w:t>农作物</w:t>
      </w:r>
      <w:r>
        <w:rPr>
          <w:rFonts w:hint="default" w:ascii="Times New Roman" w:hAnsi="Times New Roman" w:eastAsia="宋体" w:cs="Times New Roman"/>
          <w:bCs w:val="0"/>
          <w:color w:val="auto"/>
          <w:kern w:val="2"/>
          <w:highlight w:val="none"/>
          <w:lang w:val="en-US" w:eastAsia="zh-CN"/>
        </w:rPr>
        <w:t>种植面积141.46万亩，病虫防治面积75.10万亩次，绿色防控面积78.99万亩，</w:t>
      </w:r>
      <w:r>
        <w:rPr>
          <w:rFonts w:hint="default" w:ascii="Times New Roman" w:hAnsi="Times New Roman" w:eastAsia="宋体" w:cs="Times New Roman"/>
          <w:bCs w:val="0"/>
          <w:color w:val="auto"/>
          <w:kern w:val="2"/>
          <w:highlight w:val="none"/>
        </w:rPr>
        <w:t>病虫害绿色防控覆盖率达55.84%</w:t>
      </w:r>
      <w:r>
        <w:rPr>
          <w:rFonts w:hint="default" w:ascii="Times New Roman" w:hAnsi="Times New Roman" w:eastAsia="宋体" w:cs="Times New Roman"/>
          <w:bCs w:val="0"/>
          <w:color w:val="auto"/>
          <w:kern w:val="2"/>
          <w:highlight w:val="none"/>
          <w:lang w:eastAsia="zh-CN"/>
        </w:rPr>
        <w:t>，</w:t>
      </w:r>
      <w:r>
        <w:rPr>
          <w:rFonts w:hint="default" w:ascii="Times New Roman" w:hAnsi="Times New Roman" w:eastAsia="宋体" w:cs="Times New Roman"/>
          <w:bCs w:val="0"/>
          <w:color w:val="auto"/>
          <w:kern w:val="2"/>
          <w:highlight w:val="none"/>
          <w:lang w:val="en-US" w:eastAsia="zh-CN"/>
        </w:rPr>
        <w:t>达成预期绩效目标</w:t>
      </w:r>
      <w:r>
        <w:rPr>
          <w:rFonts w:hint="default" w:ascii="Times New Roman" w:hAnsi="Times New Roman" w:eastAsia="宋体" w:cs="Times New Roman"/>
          <w:bCs w:val="0"/>
          <w:color w:val="auto"/>
          <w:kern w:val="2"/>
          <w:highlight w:val="none"/>
        </w:rPr>
        <w:t>。</w:t>
      </w:r>
    </w:p>
    <w:p w14:paraId="1CC912C8">
      <w:pPr>
        <w:ind w:firstLine="640"/>
        <w:jc w:val="left"/>
        <w:rPr>
          <w:rFonts w:hint="default" w:ascii="Times New Roman" w:hAnsi="Times New Roman" w:eastAsia="宋体" w:cs="Times New Roman"/>
          <w:color w:val="auto"/>
          <w:kern w:val="2"/>
          <w:highlight w:val="none"/>
          <w:lang w:eastAsia="zh-CN"/>
        </w:rPr>
      </w:pPr>
      <w:r>
        <w:rPr>
          <w:rFonts w:hint="default" w:ascii="Times New Roman" w:hAnsi="Times New Roman" w:eastAsia="宋体" w:cs="Times New Roman"/>
          <w:bCs w:val="0"/>
          <w:color w:val="auto"/>
          <w:kern w:val="2"/>
          <w:highlight w:val="none"/>
        </w:rPr>
        <w:t>该指标满分为7.00分，根据评分标准得7.00分。</w:t>
      </w:r>
    </w:p>
    <w:p w14:paraId="41942FD5">
      <w:pPr>
        <w:ind w:firstLine="640"/>
        <w:rPr>
          <w:rFonts w:hint="eastAsia" w:ascii="Times New Roman" w:hAnsi="Times New Roman" w:eastAsia="宋体" w:cs="Times New Roman"/>
          <w:b/>
          <w:color w:val="auto"/>
          <w:highlight w:val="none"/>
        </w:rPr>
      </w:pPr>
      <w:r>
        <w:rPr>
          <w:rFonts w:hint="eastAsia" w:ascii="Times New Roman" w:hAnsi="Times New Roman" w:eastAsia="宋体" w:cs="Times New Roman"/>
          <w:b/>
          <w:color w:val="auto"/>
          <w:highlight w:val="none"/>
        </w:rPr>
        <w:t>（6）C31每个乡镇建立百亩以上的小麦攻关田数量指标：</w:t>
      </w:r>
    </w:p>
    <w:p w14:paraId="08EFF31E">
      <w:pPr>
        <w:ind w:firstLine="640"/>
        <w:jc w:val="left"/>
        <w:rPr>
          <w:rFonts w:hint="default" w:ascii="Times New Roman" w:hAnsi="Times New Roman" w:eastAsia="宋体" w:cs="Times New Roman"/>
          <w:bCs w:val="0"/>
          <w:color w:val="auto"/>
          <w:kern w:val="2"/>
          <w:sz w:val="21"/>
          <w:szCs w:val="21"/>
          <w:highlight w:val="none"/>
        </w:rPr>
      </w:pPr>
      <w:r>
        <w:rPr>
          <w:rFonts w:hint="default" w:ascii="Times New Roman" w:hAnsi="Times New Roman" w:eastAsia="宋体" w:cs="Times New Roman"/>
          <w:bCs w:val="0"/>
          <w:color w:val="auto"/>
          <w:kern w:val="2"/>
          <w:highlight w:val="none"/>
        </w:rPr>
        <w:t>根据伊宁县农技推广中心</w:t>
      </w:r>
      <w:r>
        <w:rPr>
          <w:rFonts w:hint="default" w:ascii="Times New Roman" w:hAnsi="Times New Roman" w:eastAsia="宋体" w:cs="Times New Roman"/>
          <w:bCs w:val="0"/>
          <w:color w:val="auto"/>
          <w:kern w:val="2"/>
          <w:highlight w:val="none"/>
          <w:lang w:eastAsia="zh-CN"/>
        </w:rPr>
        <w:t>提供的</w:t>
      </w:r>
      <w:r>
        <w:rPr>
          <w:rFonts w:hint="eastAsia" w:ascii="Times New Roman" w:hAnsi="Times New Roman" w:eastAsia="宋体" w:cs="Times New Roman"/>
          <w:bCs/>
          <w:color w:val="auto"/>
          <w:highlight w:val="none"/>
        </w:rPr>
        <w:t>《2024年小麦高产创建测产统计表》</w:t>
      </w:r>
      <w:r>
        <w:rPr>
          <w:rFonts w:hint="default" w:ascii="Times New Roman" w:hAnsi="Times New Roman" w:eastAsia="宋体" w:cs="Times New Roman"/>
          <w:bCs w:val="0"/>
          <w:color w:val="auto"/>
          <w:kern w:val="2"/>
          <w:highlight w:val="none"/>
          <w:lang w:val="en-US" w:eastAsia="zh-CN"/>
        </w:rPr>
        <w:t>显示</w:t>
      </w:r>
      <w:r>
        <w:rPr>
          <w:rFonts w:hint="default" w:ascii="Times New Roman" w:hAnsi="Times New Roman" w:eastAsia="宋体" w:cs="Times New Roman"/>
          <w:bCs w:val="0"/>
          <w:color w:val="auto"/>
          <w:kern w:val="2"/>
          <w:highlight w:val="none"/>
        </w:rPr>
        <w:t>，</w:t>
      </w:r>
      <w:r>
        <w:rPr>
          <w:rFonts w:hint="default" w:ascii="Times New Roman" w:hAnsi="Times New Roman" w:eastAsia="宋体" w:cs="Times New Roman"/>
          <w:bCs w:val="0"/>
          <w:color w:val="auto"/>
          <w:kern w:val="2"/>
          <w:sz w:val="21"/>
          <w:szCs w:val="21"/>
          <w:highlight w:val="none"/>
        </w:rPr>
        <w:t>建立2个及以上百亩以上的小麦攻关田数量的有吉里于孜镇、墩麻扎镇、吐鲁番于孜乡、胡地亚于孜镇、萨地克于孜乡、武功乡、曲鲁海乡、愉群翁回族乡、温亚尔镇、喀什镇、萨木于孜镇、维吾尔玉其温镇、巴依托海镇、英塔木镇、阿热吾斯塘镇、青年农场、多浪农场共17个乡镇；只建立1个百亩以上的小麦攻关田的有阿乌利亚乡1个乡镇；尚未建立百亩以上的小麦攻关田的有麻扎乡、喀拉亚尕奇乡2个乡镇。</w:t>
      </w:r>
    </w:p>
    <w:p w14:paraId="0C3CF0A8">
      <w:pPr>
        <w:ind w:firstLine="640"/>
        <w:jc w:val="left"/>
        <w:rPr>
          <w:rFonts w:hint="eastAsia" w:ascii="Times New Roman" w:hAnsi="Times New Roman" w:eastAsia="宋体" w:cs="Times New Roman"/>
          <w:bCs w:val="0"/>
          <w:color w:val="auto"/>
          <w:kern w:val="2"/>
          <w:sz w:val="21"/>
          <w:szCs w:val="21"/>
          <w:highlight w:val="none"/>
          <w:lang w:eastAsia="zh-CN"/>
        </w:rPr>
      </w:pPr>
      <w:r>
        <w:rPr>
          <w:rFonts w:hint="default" w:ascii="Times New Roman" w:hAnsi="Times New Roman" w:eastAsia="宋体" w:cs="Times New Roman"/>
          <w:bCs w:val="0"/>
          <w:color w:val="auto"/>
          <w:kern w:val="2"/>
          <w:sz w:val="21"/>
          <w:szCs w:val="21"/>
          <w:highlight w:val="none"/>
        </w:rPr>
        <w:t>得分=实际完成值/计划完成值×权重=17/20×4.00=3.40分</w:t>
      </w:r>
    </w:p>
    <w:p w14:paraId="6890413C">
      <w:pPr>
        <w:ind w:firstLine="640"/>
        <w:jc w:val="left"/>
        <w:rPr>
          <w:rFonts w:hint="default" w:ascii="Times New Roman" w:hAnsi="Times New Roman" w:eastAsia="宋体" w:cs="Times New Roman"/>
          <w:bCs w:val="0"/>
          <w:color w:val="auto"/>
          <w:kern w:val="2"/>
          <w:sz w:val="21"/>
          <w:szCs w:val="21"/>
          <w:highlight w:val="none"/>
        </w:rPr>
      </w:pPr>
      <w:r>
        <w:rPr>
          <w:rFonts w:hint="default" w:ascii="Times New Roman" w:hAnsi="Times New Roman" w:eastAsia="宋体" w:cs="Times New Roman"/>
          <w:bCs w:val="0"/>
          <w:color w:val="auto"/>
          <w:kern w:val="2"/>
          <w:sz w:val="21"/>
          <w:szCs w:val="21"/>
          <w:highlight w:val="none"/>
        </w:rPr>
        <w:t>该指标满分为4.00分，根据评分标准得3.40分。</w:t>
      </w:r>
    </w:p>
    <w:p w14:paraId="3E695E5D">
      <w:pPr>
        <w:ind w:firstLine="640"/>
        <w:rPr>
          <w:rFonts w:hint="eastAsia" w:ascii="Times New Roman" w:hAnsi="Times New Roman" w:eastAsia="宋体" w:cs="Times New Roman"/>
          <w:b/>
          <w:color w:val="auto"/>
          <w:highlight w:val="none"/>
        </w:rPr>
      </w:pPr>
      <w:r>
        <w:rPr>
          <w:rFonts w:hint="eastAsia" w:ascii="Times New Roman" w:hAnsi="Times New Roman" w:eastAsia="宋体" w:cs="Times New Roman"/>
          <w:b/>
          <w:color w:val="auto"/>
          <w:highlight w:val="none"/>
        </w:rPr>
        <w:t>（7）C32每个乡镇要建立千亩示范田块数量指标：</w:t>
      </w:r>
    </w:p>
    <w:p w14:paraId="5847D805">
      <w:pPr>
        <w:ind w:firstLine="640"/>
        <w:jc w:val="left"/>
        <w:rPr>
          <w:rFonts w:hint="default" w:ascii="Times New Roman" w:hAnsi="Times New Roman" w:eastAsia="宋体" w:cs="Times New Roman"/>
          <w:bCs w:val="0"/>
          <w:color w:val="auto"/>
          <w:kern w:val="2"/>
          <w:sz w:val="21"/>
          <w:szCs w:val="21"/>
          <w:highlight w:val="none"/>
        </w:rPr>
      </w:pPr>
      <w:r>
        <w:rPr>
          <w:rFonts w:hint="default" w:ascii="Times New Roman" w:hAnsi="Times New Roman" w:eastAsia="宋体" w:cs="Times New Roman"/>
          <w:bCs w:val="0"/>
          <w:color w:val="auto"/>
          <w:kern w:val="2"/>
          <w:highlight w:val="none"/>
        </w:rPr>
        <w:t>根据伊宁县农技推广中心</w:t>
      </w:r>
      <w:r>
        <w:rPr>
          <w:rFonts w:hint="default" w:ascii="Times New Roman" w:hAnsi="Times New Roman" w:eastAsia="宋体" w:cs="Times New Roman"/>
          <w:bCs w:val="0"/>
          <w:color w:val="auto"/>
          <w:kern w:val="2"/>
          <w:highlight w:val="none"/>
          <w:lang w:eastAsia="zh-CN"/>
        </w:rPr>
        <w:t>提供的</w:t>
      </w:r>
      <w:r>
        <w:rPr>
          <w:rFonts w:hint="eastAsia" w:ascii="Times New Roman" w:hAnsi="Times New Roman" w:eastAsia="宋体" w:cs="Times New Roman"/>
          <w:bCs/>
          <w:color w:val="auto"/>
          <w:highlight w:val="none"/>
        </w:rPr>
        <w:t>《2024年小麦高产创建测产统计表》</w:t>
      </w:r>
      <w:r>
        <w:rPr>
          <w:rFonts w:hint="default" w:ascii="Times New Roman" w:hAnsi="Times New Roman" w:eastAsia="宋体" w:cs="Times New Roman"/>
          <w:bCs w:val="0"/>
          <w:color w:val="auto"/>
          <w:kern w:val="2"/>
          <w:highlight w:val="none"/>
          <w:lang w:val="en-US" w:eastAsia="zh-CN"/>
        </w:rPr>
        <w:t>显示</w:t>
      </w:r>
      <w:r>
        <w:rPr>
          <w:rFonts w:hint="default" w:ascii="Times New Roman" w:hAnsi="Times New Roman" w:eastAsia="宋体" w:cs="Times New Roman"/>
          <w:bCs w:val="0"/>
          <w:color w:val="auto"/>
          <w:kern w:val="2"/>
          <w:highlight w:val="none"/>
        </w:rPr>
        <w:t>，</w:t>
      </w:r>
      <w:r>
        <w:rPr>
          <w:rFonts w:hint="default" w:ascii="Times New Roman" w:hAnsi="Times New Roman" w:eastAsia="宋体" w:cs="Times New Roman"/>
          <w:bCs w:val="0"/>
          <w:color w:val="auto"/>
          <w:kern w:val="2"/>
          <w:sz w:val="21"/>
          <w:szCs w:val="21"/>
          <w:highlight w:val="none"/>
        </w:rPr>
        <w:t>建立2个及以上千亩以上的示范田数量的有墩麻扎镇、吐鲁番于孜乡、胡地亚于孜镇、曲鲁海乡、愉群翁回族乡、喀什镇、萨木于孜镇、维吾尔玉其温镇、阿乌利亚乡、巴依托海镇、英塔木镇、阿热吾斯塘镇、麻扎乡、多浪农场共14个乡镇；只建立1个千亩以上的示范田的有武功乡、温亚尔镇、青年农场共3个乡镇；尚未建立千亩以上的示范田的有吉里于孜镇、萨地克于孜乡、喀拉亚尕奇乡共3个乡镇。</w:t>
      </w:r>
    </w:p>
    <w:p w14:paraId="31D00764">
      <w:pPr>
        <w:ind w:firstLine="640"/>
        <w:jc w:val="left"/>
        <w:rPr>
          <w:rFonts w:hint="default" w:ascii="Times New Roman" w:hAnsi="Times New Roman" w:eastAsia="宋体" w:cs="Times New Roman"/>
          <w:bCs w:val="0"/>
          <w:color w:val="auto"/>
          <w:kern w:val="2"/>
          <w:sz w:val="21"/>
          <w:szCs w:val="21"/>
          <w:highlight w:val="none"/>
        </w:rPr>
      </w:pPr>
      <w:r>
        <w:rPr>
          <w:rFonts w:hint="default" w:ascii="Times New Roman" w:hAnsi="Times New Roman" w:eastAsia="宋体" w:cs="Times New Roman"/>
          <w:bCs w:val="0"/>
          <w:color w:val="auto"/>
          <w:kern w:val="2"/>
          <w:sz w:val="21"/>
          <w:szCs w:val="21"/>
          <w:highlight w:val="none"/>
        </w:rPr>
        <w:t>得分=实际完成值/计划完成值×权重=14/20×4.00=2.80分</w:t>
      </w:r>
    </w:p>
    <w:p w14:paraId="334AFC58">
      <w:pPr>
        <w:ind w:firstLine="640"/>
        <w:jc w:val="left"/>
        <w:rPr>
          <w:rFonts w:hint="default" w:ascii="Times New Roman" w:hAnsi="Times New Roman" w:eastAsia="宋体" w:cs="Times New Roman"/>
          <w:bCs w:val="0"/>
          <w:color w:val="auto"/>
          <w:kern w:val="2"/>
          <w:highlight w:val="none"/>
          <w:lang w:eastAsia="zh-CN"/>
        </w:rPr>
      </w:pPr>
      <w:r>
        <w:rPr>
          <w:rFonts w:hint="default" w:ascii="Times New Roman" w:hAnsi="Times New Roman" w:eastAsia="宋体" w:cs="Times New Roman"/>
          <w:bCs w:val="0"/>
          <w:color w:val="auto"/>
          <w:kern w:val="2"/>
          <w:sz w:val="21"/>
          <w:szCs w:val="21"/>
          <w:highlight w:val="none"/>
        </w:rPr>
        <w:t>该指标满分为4.00分，根据评分标准得2.80分。</w:t>
      </w:r>
    </w:p>
    <w:p w14:paraId="3C93B9AD">
      <w:pPr>
        <w:ind w:firstLine="640"/>
        <w:rPr>
          <w:rFonts w:hint="eastAsia" w:ascii="Times New Roman" w:hAnsi="Times New Roman" w:eastAsia="宋体" w:cs="Times New Roman"/>
          <w:b/>
          <w:color w:val="auto"/>
          <w:highlight w:val="none"/>
        </w:rPr>
      </w:pPr>
      <w:r>
        <w:rPr>
          <w:rFonts w:hint="eastAsia" w:ascii="Times New Roman" w:hAnsi="Times New Roman" w:eastAsia="宋体" w:cs="Times New Roman"/>
          <w:b/>
          <w:color w:val="auto"/>
          <w:highlight w:val="none"/>
        </w:rPr>
        <w:t>（8）C</w:t>
      </w:r>
      <w:r>
        <w:rPr>
          <w:rFonts w:hint="eastAsia" w:ascii="Times New Roman" w:hAnsi="Times New Roman" w:eastAsia="宋体" w:cs="Times New Roman"/>
          <w:b/>
          <w:color w:val="auto"/>
          <w:highlight w:val="none"/>
          <w:lang w:val="en-US" w:eastAsia="zh-CN"/>
        </w:rPr>
        <w:t>33小麦单产提高率</w:t>
      </w:r>
      <w:r>
        <w:rPr>
          <w:rFonts w:hint="eastAsia" w:ascii="Times New Roman" w:hAnsi="Times New Roman" w:eastAsia="宋体" w:cs="Times New Roman"/>
          <w:b/>
          <w:color w:val="auto"/>
          <w:highlight w:val="none"/>
        </w:rPr>
        <w:t>指标：</w:t>
      </w:r>
    </w:p>
    <w:p w14:paraId="4DEC32D6">
      <w:pPr>
        <w:ind w:firstLine="640"/>
        <w:jc w:val="left"/>
        <w:rPr>
          <w:rFonts w:hint="default" w:ascii="Times New Roman" w:hAnsi="Times New Roman" w:eastAsia="宋体" w:cs="Times New Roman"/>
          <w:color w:val="auto"/>
          <w:kern w:val="2"/>
          <w:highlight w:val="none"/>
          <w:lang w:eastAsia="zh-CN"/>
        </w:rPr>
      </w:pPr>
      <w:r>
        <w:rPr>
          <w:rFonts w:hint="default" w:ascii="Times New Roman" w:hAnsi="Times New Roman" w:eastAsia="宋体" w:cs="Times New Roman"/>
          <w:color w:val="auto"/>
          <w:kern w:val="2"/>
          <w:highlight w:val="none"/>
        </w:rPr>
        <w:t>根据</w:t>
      </w:r>
      <w:r>
        <w:rPr>
          <w:rFonts w:hint="default" w:ascii="Times New Roman" w:hAnsi="Times New Roman" w:eastAsia="宋体" w:cs="Times New Roman"/>
          <w:bCs w:val="0"/>
          <w:color w:val="auto"/>
          <w:kern w:val="2"/>
          <w:highlight w:val="none"/>
        </w:rPr>
        <w:t>伊宁县农技推广中心</w:t>
      </w:r>
      <w:r>
        <w:rPr>
          <w:rFonts w:hint="default" w:ascii="Times New Roman" w:hAnsi="Times New Roman" w:eastAsia="宋体" w:cs="Times New Roman"/>
          <w:color w:val="auto"/>
          <w:kern w:val="2"/>
          <w:highlight w:val="none"/>
        </w:rPr>
        <w:t>提供</w:t>
      </w:r>
      <w:r>
        <w:rPr>
          <w:rFonts w:hint="default" w:ascii="Times New Roman" w:hAnsi="Times New Roman" w:eastAsia="宋体" w:cs="Times New Roman"/>
          <w:color w:val="auto"/>
          <w:kern w:val="2"/>
          <w:highlight w:val="none"/>
          <w:lang w:eastAsia="zh-CN"/>
        </w:rPr>
        <w:t>的</w:t>
      </w:r>
      <w:r>
        <w:rPr>
          <w:rFonts w:hint="default" w:ascii="Times New Roman" w:hAnsi="Times New Roman" w:eastAsia="宋体" w:cs="Times New Roman"/>
          <w:color w:val="auto"/>
          <w:kern w:val="2"/>
          <w:highlight w:val="none"/>
        </w:rPr>
        <w:t>《</w:t>
      </w:r>
      <w:r>
        <w:rPr>
          <w:rFonts w:hint="default" w:ascii="Times New Roman" w:hAnsi="Times New Roman" w:eastAsia="宋体" w:cs="Times New Roman"/>
          <w:color w:val="auto"/>
          <w:kern w:val="2"/>
          <w:highlight w:val="none"/>
          <w:lang w:val="en-US" w:eastAsia="zh-CN"/>
        </w:rPr>
        <w:t>伊宁县2024年冬小麦测产数据统计表</w:t>
      </w:r>
      <w:r>
        <w:rPr>
          <w:rFonts w:hint="default" w:ascii="Times New Roman" w:hAnsi="Times New Roman" w:eastAsia="宋体" w:cs="Times New Roman"/>
          <w:color w:val="auto"/>
          <w:kern w:val="2"/>
          <w:highlight w:val="none"/>
        </w:rPr>
        <w:t>》《</w:t>
      </w:r>
      <w:r>
        <w:rPr>
          <w:rFonts w:hint="default" w:ascii="Times New Roman" w:hAnsi="Times New Roman" w:eastAsia="宋体" w:cs="Times New Roman"/>
          <w:color w:val="auto"/>
          <w:kern w:val="2"/>
          <w:highlight w:val="none"/>
          <w:lang w:val="en-US" w:eastAsia="zh-CN"/>
        </w:rPr>
        <w:t>伊宁县2023年冬小麦测产数据统计表</w:t>
      </w:r>
      <w:r>
        <w:rPr>
          <w:rFonts w:hint="default" w:ascii="Times New Roman" w:hAnsi="Times New Roman" w:eastAsia="宋体" w:cs="Times New Roman"/>
          <w:color w:val="auto"/>
          <w:kern w:val="2"/>
          <w:highlight w:val="none"/>
        </w:rPr>
        <w:t>》可知</w:t>
      </w:r>
      <w:r>
        <w:rPr>
          <w:rFonts w:hint="default" w:ascii="Times New Roman" w:hAnsi="Times New Roman" w:eastAsia="宋体" w:cs="Times New Roman"/>
          <w:color w:val="auto"/>
          <w:kern w:val="2"/>
          <w:highlight w:val="none"/>
          <w:lang w:eastAsia="zh-CN"/>
        </w:rPr>
        <w:t>：</w:t>
      </w:r>
    </w:p>
    <w:p w14:paraId="72FE6143">
      <w:pPr>
        <w:ind w:firstLine="640"/>
        <w:jc w:val="left"/>
        <w:rPr>
          <w:rFonts w:hint="default" w:ascii="Times New Roman" w:hAnsi="Times New Roman" w:eastAsia="宋体" w:cs="Times New Roman"/>
          <w:color w:val="auto"/>
          <w:kern w:val="2"/>
          <w:highlight w:val="none"/>
          <w:lang w:val="en-US" w:eastAsia="zh-CN"/>
        </w:rPr>
      </w:pPr>
      <w:r>
        <w:rPr>
          <w:rFonts w:hint="default" w:ascii="Times New Roman" w:hAnsi="Times New Roman" w:eastAsia="宋体" w:cs="Times New Roman"/>
          <w:color w:val="auto"/>
          <w:kern w:val="2"/>
          <w:highlight w:val="none"/>
        </w:rPr>
        <w:t>202</w:t>
      </w:r>
      <w:r>
        <w:rPr>
          <w:rFonts w:hint="default" w:ascii="Times New Roman" w:hAnsi="Times New Roman" w:eastAsia="宋体" w:cs="Times New Roman"/>
          <w:color w:val="auto"/>
          <w:kern w:val="2"/>
          <w:highlight w:val="none"/>
          <w:lang w:val="en-US" w:eastAsia="zh-CN"/>
        </w:rPr>
        <w:t>4</w:t>
      </w:r>
      <w:r>
        <w:rPr>
          <w:rFonts w:hint="default" w:ascii="Times New Roman" w:hAnsi="Times New Roman" w:eastAsia="宋体" w:cs="Times New Roman"/>
          <w:color w:val="auto"/>
          <w:kern w:val="2"/>
          <w:highlight w:val="none"/>
        </w:rPr>
        <w:t>年</w:t>
      </w:r>
      <w:r>
        <w:rPr>
          <w:rFonts w:hint="default" w:ascii="Times New Roman" w:hAnsi="Times New Roman" w:eastAsia="宋体" w:cs="Times New Roman"/>
          <w:bCs w:val="0"/>
          <w:color w:val="auto"/>
          <w:kern w:val="2"/>
          <w:highlight w:val="none"/>
        </w:rPr>
        <w:t>伊宁</w:t>
      </w:r>
      <w:r>
        <w:rPr>
          <w:rFonts w:hint="default" w:ascii="Times New Roman" w:hAnsi="Times New Roman" w:eastAsia="宋体" w:cs="Times New Roman"/>
          <w:color w:val="auto"/>
          <w:kern w:val="2"/>
          <w:highlight w:val="none"/>
          <w:lang w:val="en-US" w:eastAsia="zh-CN"/>
        </w:rPr>
        <w:t>县农技推广中心对18个乡镇场的73块冬小麦田进行抽测，取样点面积58,474.30亩，对抽测的73块冬小麦田的理论产量进行加强平均计算，2024年伊宁县小麦每亩单产理论产量623.98公斤/亩。</w:t>
      </w:r>
    </w:p>
    <w:p w14:paraId="254F1D8C">
      <w:pPr>
        <w:ind w:firstLine="640"/>
        <w:jc w:val="left"/>
        <w:rPr>
          <w:rFonts w:hint="default" w:ascii="Times New Roman" w:hAnsi="Times New Roman" w:eastAsia="宋体" w:cs="Times New Roman"/>
          <w:color w:val="auto"/>
          <w:kern w:val="2"/>
          <w:highlight w:val="none"/>
          <w:lang w:val="en-US" w:eastAsia="zh-CN"/>
        </w:rPr>
      </w:pPr>
      <w:r>
        <w:rPr>
          <w:rFonts w:hint="default" w:ascii="Times New Roman" w:hAnsi="Times New Roman" w:eastAsia="宋体" w:cs="Times New Roman"/>
          <w:color w:val="auto"/>
          <w:kern w:val="2"/>
          <w:highlight w:val="none"/>
        </w:rPr>
        <w:t>202</w:t>
      </w:r>
      <w:r>
        <w:rPr>
          <w:rFonts w:hint="default" w:ascii="Times New Roman" w:hAnsi="Times New Roman" w:eastAsia="宋体" w:cs="Times New Roman"/>
          <w:color w:val="auto"/>
          <w:kern w:val="2"/>
          <w:highlight w:val="none"/>
          <w:lang w:val="en-US" w:eastAsia="zh-CN"/>
        </w:rPr>
        <w:t>3</w:t>
      </w:r>
      <w:r>
        <w:rPr>
          <w:rFonts w:hint="default" w:ascii="Times New Roman" w:hAnsi="Times New Roman" w:eastAsia="宋体" w:cs="Times New Roman"/>
          <w:color w:val="auto"/>
          <w:kern w:val="2"/>
          <w:highlight w:val="none"/>
        </w:rPr>
        <w:t>年</w:t>
      </w:r>
      <w:r>
        <w:rPr>
          <w:rFonts w:hint="default" w:ascii="Times New Roman" w:hAnsi="Times New Roman" w:eastAsia="宋体" w:cs="Times New Roman"/>
          <w:bCs w:val="0"/>
          <w:color w:val="auto"/>
          <w:kern w:val="2"/>
          <w:highlight w:val="none"/>
        </w:rPr>
        <w:t>伊宁</w:t>
      </w:r>
      <w:r>
        <w:rPr>
          <w:rFonts w:hint="default" w:ascii="Times New Roman" w:hAnsi="Times New Roman" w:eastAsia="宋体" w:cs="Times New Roman"/>
          <w:color w:val="auto"/>
          <w:kern w:val="2"/>
          <w:highlight w:val="none"/>
          <w:lang w:val="en-US" w:eastAsia="zh-CN"/>
        </w:rPr>
        <w:t>县农技推广中心对17</w:t>
      </w:r>
      <w:r>
        <w:rPr>
          <w:rFonts w:hint="default" w:ascii="Times New Roman" w:hAnsi="Times New Roman" w:eastAsia="宋体" w:cs="Times New Roman"/>
          <w:color w:val="auto"/>
          <w:kern w:val="2"/>
          <w:highlight w:val="none"/>
        </w:rPr>
        <w:t>个乡镇</w:t>
      </w:r>
      <w:r>
        <w:rPr>
          <w:rFonts w:hint="default" w:ascii="Times New Roman" w:hAnsi="Times New Roman" w:eastAsia="宋体" w:cs="Times New Roman"/>
          <w:color w:val="auto"/>
          <w:kern w:val="2"/>
          <w:highlight w:val="none"/>
          <w:lang w:val="en-US" w:eastAsia="zh-CN"/>
        </w:rPr>
        <w:t>场</w:t>
      </w:r>
      <w:r>
        <w:rPr>
          <w:rFonts w:hint="default" w:ascii="Times New Roman" w:hAnsi="Times New Roman" w:eastAsia="宋体" w:cs="Times New Roman"/>
          <w:color w:val="auto"/>
          <w:kern w:val="2"/>
          <w:highlight w:val="none"/>
        </w:rPr>
        <w:t>的</w:t>
      </w:r>
      <w:r>
        <w:rPr>
          <w:rFonts w:hint="default" w:ascii="Times New Roman" w:hAnsi="Times New Roman" w:eastAsia="宋体" w:cs="Times New Roman"/>
          <w:color w:val="auto"/>
          <w:kern w:val="2"/>
          <w:highlight w:val="none"/>
          <w:lang w:val="en-US" w:eastAsia="zh-CN"/>
        </w:rPr>
        <w:t>17</w:t>
      </w:r>
      <w:r>
        <w:rPr>
          <w:rFonts w:hint="default" w:ascii="Times New Roman" w:hAnsi="Times New Roman" w:eastAsia="宋体" w:cs="Times New Roman"/>
          <w:color w:val="auto"/>
          <w:kern w:val="2"/>
          <w:highlight w:val="none"/>
        </w:rPr>
        <w:t>块</w:t>
      </w:r>
      <w:r>
        <w:rPr>
          <w:rFonts w:hint="default" w:ascii="Times New Roman" w:hAnsi="Times New Roman" w:eastAsia="宋体" w:cs="Times New Roman"/>
          <w:color w:val="auto"/>
          <w:kern w:val="2"/>
          <w:highlight w:val="none"/>
          <w:lang w:val="en-US" w:eastAsia="zh-CN"/>
        </w:rPr>
        <w:t>冬小麦</w:t>
      </w:r>
      <w:r>
        <w:rPr>
          <w:rFonts w:hint="default" w:ascii="Times New Roman" w:hAnsi="Times New Roman" w:eastAsia="宋体" w:cs="Times New Roman"/>
          <w:color w:val="auto"/>
          <w:kern w:val="2"/>
          <w:highlight w:val="none"/>
        </w:rPr>
        <w:t>田进行抽测，取样点面积</w:t>
      </w:r>
      <w:r>
        <w:rPr>
          <w:rFonts w:hint="default" w:ascii="Times New Roman" w:hAnsi="Times New Roman" w:eastAsia="宋体" w:cs="Times New Roman"/>
          <w:color w:val="auto"/>
          <w:kern w:val="2"/>
          <w:highlight w:val="none"/>
          <w:lang w:val="en-US" w:eastAsia="zh-CN"/>
        </w:rPr>
        <w:t>22,150</w:t>
      </w:r>
      <w:r>
        <w:rPr>
          <w:rFonts w:hint="default" w:ascii="Times New Roman" w:hAnsi="Times New Roman" w:eastAsia="宋体" w:cs="Times New Roman"/>
          <w:color w:val="auto"/>
          <w:kern w:val="2"/>
          <w:highlight w:val="none"/>
        </w:rPr>
        <w:t>.00亩，</w:t>
      </w:r>
      <w:r>
        <w:rPr>
          <w:rFonts w:hint="default" w:ascii="Times New Roman" w:hAnsi="Times New Roman" w:eastAsia="宋体" w:cs="Times New Roman"/>
          <w:color w:val="auto"/>
          <w:kern w:val="2"/>
          <w:highlight w:val="none"/>
          <w:lang w:val="en-US" w:eastAsia="zh-CN"/>
        </w:rPr>
        <w:t>对抽测的17块冬小麦田的理论产量进行加强平均计算，2023年伊宁县小麦每亩单产理论产量661.68公斤/亩。</w:t>
      </w:r>
    </w:p>
    <w:p w14:paraId="4B936E1A">
      <w:pPr>
        <w:ind w:firstLine="640"/>
        <w:jc w:val="left"/>
        <w:rPr>
          <w:rFonts w:hint="default" w:ascii="Times New Roman" w:hAnsi="Times New Roman" w:eastAsia="宋体" w:cs="Times New Roman"/>
          <w:bCs w:val="0"/>
          <w:color w:val="auto"/>
          <w:kern w:val="2"/>
          <w:highlight w:val="none"/>
        </w:rPr>
      </w:pPr>
      <w:r>
        <w:rPr>
          <w:rFonts w:hint="default" w:ascii="Times New Roman" w:hAnsi="Times New Roman" w:eastAsia="宋体" w:cs="Times New Roman"/>
          <w:color w:val="auto"/>
          <w:kern w:val="2"/>
          <w:highlight w:val="none"/>
          <w:lang w:val="en-US" w:eastAsia="zh-CN"/>
        </w:rPr>
        <w:t>小麦</w:t>
      </w:r>
      <w:r>
        <w:rPr>
          <w:rFonts w:hint="default" w:ascii="Times New Roman" w:hAnsi="Times New Roman" w:eastAsia="宋体" w:cs="Times New Roman"/>
          <w:color w:val="auto"/>
          <w:kern w:val="2"/>
          <w:highlight w:val="none"/>
        </w:rPr>
        <w:t>每亩单产提升率</w:t>
      </w:r>
      <w:r>
        <w:rPr>
          <w:rFonts w:hint="default" w:ascii="Times New Roman" w:hAnsi="Times New Roman" w:eastAsia="宋体" w:cs="Times New Roman"/>
          <w:color w:val="auto"/>
          <w:kern w:val="2"/>
          <w:highlight w:val="none"/>
          <w:lang w:val="en-US" w:eastAsia="zh-CN"/>
        </w:rPr>
        <w:t>=（2024年</w:t>
      </w:r>
      <w:r>
        <w:rPr>
          <w:rFonts w:hint="default" w:ascii="Times New Roman" w:hAnsi="Times New Roman" w:eastAsia="宋体" w:cs="Times New Roman"/>
          <w:color w:val="auto"/>
          <w:kern w:val="2"/>
          <w:highlight w:val="none"/>
        </w:rPr>
        <w:t>平均每亩单产</w:t>
      </w:r>
      <w:r>
        <w:rPr>
          <w:rFonts w:hint="default" w:ascii="Times New Roman" w:hAnsi="Times New Roman" w:eastAsia="宋体" w:cs="Times New Roman"/>
          <w:color w:val="auto"/>
          <w:kern w:val="2"/>
          <w:highlight w:val="none"/>
          <w:lang w:val="en-US" w:eastAsia="zh-CN"/>
        </w:rPr>
        <w:t>-2023年</w:t>
      </w:r>
      <w:r>
        <w:rPr>
          <w:rFonts w:hint="default" w:ascii="Times New Roman" w:hAnsi="Times New Roman" w:eastAsia="宋体" w:cs="Times New Roman"/>
          <w:color w:val="auto"/>
          <w:kern w:val="2"/>
          <w:highlight w:val="none"/>
        </w:rPr>
        <w:t>平均每亩单产</w:t>
      </w:r>
      <w:r>
        <w:rPr>
          <w:rFonts w:hint="default" w:ascii="Times New Roman" w:hAnsi="Times New Roman" w:eastAsia="宋体" w:cs="Times New Roman"/>
          <w:color w:val="auto"/>
          <w:kern w:val="2"/>
          <w:highlight w:val="none"/>
          <w:lang w:eastAsia="zh-CN"/>
        </w:rPr>
        <w:t>）</w:t>
      </w:r>
      <w:r>
        <w:rPr>
          <w:rFonts w:hint="default" w:ascii="Times New Roman" w:hAnsi="Times New Roman" w:eastAsia="宋体" w:cs="Times New Roman"/>
          <w:color w:val="auto"/>
          <w:kern w:val="2"/>
          <w:highlight w:val="none"/>
          <w:lang w:val="en-US" w:eastAsia="zh-CN"/>
        </w:rPr>
        <w:t>/2023年</w:t>
      </w:r>
      <w:r>
        <w:rPr>
          <w:rFonts w:hint="default" w:ascii="Times New Roman" w:hAnsi="Times New Roman" w:eastAsia="宋体" w:cs="Times New Roman"/>
          <w:color w:val="auto"/>
          <w:kern w:val="2"/>
          <w:highlight w:val="none"/>
        </w:rPr>
        <w:t>平均每亩单产</w:t>
      </w:r>
      <w:r>
        <w:rPr>
          <w:rFonts w:hint="default" w:ascii="Times New Roman" w:hAnsi="Times New Roman" w:eastAsia="宋体" w:cs="Times New Roman"/>
          <w:color w:val="auto"/>
          <w:kern w:val="2"/>
          <w:highlight w:val="none"/>
          <w:lang w:val="en-US" w:eastAsia="zh-CN"/>
        </w:rPr>
        <w:t>=（623.98-661.68）/661.68=-5.70%，</w:t>
      </w:r>
      <w:r>
        <w:rPr>
          <w:rFonts w:hint="default" w:ascii="Times New Roman" w:hAnsi="Times New Roman" w:eastAsia="宋体" w:cs="Times New Roman"/>
          <w:bCs w:val="0"/>
          <w:color w:val="auto"/>
          <w:kern w:val="2"/>
          <w:highlight w:val="none"/>
          <w:lang w:val="en-US" w:eastAsia="zh-CN"/>
        </w:rPr>
        <w:t>2024年伊宁县玉米每亩单产提升率-</w:t>
      </w:r>
      <w:r>
        <w:rPr>
          <w:rFonts w:hint="default" w:ascii="Times New Roman" w:hAnsi="Times New Roman" w:eastAsia="宋体" w:cs="Times New Roman"/>
          <w:color w:val="auto"/>
          <w:kern w:val="2"/>
          <w:highlight w:val="none"/>
          <w:lang w:val="en-US" w:eastAsia="zh-CN"/>
        </w:rPr>
        <w:t>5.70</w:t>
      </w:r>
      <w:r>
        <w:rPr>
          <w:rFonts w:hint="default" w:ascii="Times New Roman" w:hAnsi="Times New Roman" w:eastAsia="宋体" w:cs="Times New Roman"/>
          <w:bCs w:val="0"/>
          <w:color w:val="auto"/>
          <w:kern w:val="2"/>
          <w:highlight w:val="none"/>
        </w:rPr>
        <w:t>%。</w:t>
      </w:r>
    </w:p>
    <w:p w14:paraId="49DB08AD">
      <w:pPr>
        <w:ind w:firstLine="640"/>
        <w:jc w:val="left"/>
        <w:rPr>
          <w:rFonts w:hint="default" w:ascii="Times New Roman" w:hAnsi="Times New Roman" w:eastAsia="宋体" w:cs="Times New Roman"/>
          <w:bCs w:val="0"/>
          <w:color w:val="auto"/>
          <w:kern w:val="2"/>
          <w:highlight w:val="none"/>
          <w:lang w:val="en-US" w:eastAsia="zh-CN"/>
        </w:rPr>
      </w:pPr>
      <w:r>
        <w:rPr>
          <w:rFonts w:hint="default" w:ascii="Times New Roman" w:hAnsi="Times New Roman" w:eastAsia="宋体" w:cs="Times New Roman"/>
          <w:bCs w:val="0"/>
          <w:color w:val="auto"/>
          <w:kern w:val="2"/>
          <w:highlight w:val="none"/>
          <w:lang w:val="en-US" w:eastAsia="zh-CN"/>
        </w:rPr>
        <w:t>根据项目实施单位提供的《情况说明》显示，2024年</w:t>
      </w:r>
      <w:r>
        <w:rPr>
          <w:rFonts w:hint="default" w:ascii="Times New Roman" w:hAnsi="Times New Roman" w:eastAsia="宋体" w:cs="Times New Roman"/>
          <w:b w:val="0"/>
          <w:color w:val="auto"/>
          <w:kern w:val="2"/>
          <w:highlight w:val="none"/>
          <w:lang w:val="en-US" w:eastAsia="zh-CN"/>
        </w:rPr>
        <w:t>小麦单产减产的原因为：</w:t>
      </w:r>
      <w:r>
        <w:rPr>
          <w:rFonts w:hint="default" w:ascii="Times New Roman" w:hAnsi="Times New Roman" w:eastAsia="宋体" w:cs="Times New Roman"/>
          <w:bCs w:val="0"/>
          <w:color w:val="auto"/>
          <w:kern w:val="2"/>
          <w:highlight w:val="none"/>
          <w:lang w:val="en-US" w:eastAsia="zh-CN"/>
        </w:rPr>
        <w:t>①高产田地块数量2024年比2023年增加、2024年取样面积比2023年增多，冬小麦高产田地块数量2024年比2023年增加56块，增加面积36,324.00亩；②天气因素是导致农作物减产，2024年1月份冬小麦积雪没有覆盖裸露出现冻害、4月份回寒天气低温影响冬小麦产量和玉米播种时间；③病虫害也是导致农作物减产的原因，2024年主要农作物病虫害发生面积比2023年增加3.01万亩。</w:t>
      </w:r>
    </w:p>
    <w:p w14:paraId="6BAB97BB">
      <w:pPr>
        <w:ind w:firstLine="640"/>
        <w:jc w:val="left"/>
        <w:rPr>
          <w:rFonts w:hint="default" w:ascii="Times New Roman" w:hAnsi="Times New Roman" w:eastAsia="宋体" w:cs="Times New Roman"/>
          <w:color w:val="auto"/>
          <w:kern w:val="2"/>
          <w:highlight w:val="none"/>
          <w:lang w:eastAsia="zh-CN"/>
        </w:rPr>
      </w:pPr>
      <w:r>
        <w:rPr>
          <w:rFonts w:hint="default" w:ascii="Times New Roman" w:hAnsi="Times New Roman" w:eastAsia="宋体" w:cs="Times New Roman"/>
          <w:bCs w:val="0"/>
          <w:color w:val="auto"/>
          <w:kern w:val="2"/>
          <w:highlight w:val="none"/>
        </w:rPr>
        <w:t>该指标满分为</w:t>
      </w:r>
      <w:r>
        <w:rPr>
          <w:rFonts w:hint="default" w:ascii="Times New Roman" w:hAnsi="Times New Roman" w:eastAsia="宋体" w:cs="Times New Roman"/>
          <w:bCs w:val="0"/>
          <w:color w:val="auto"/>
          <w:kern w:val="2"/>
          <w:highlight w:val="none"/>
          <w:lang w:val="en-US" w:eastAsia="zh-CN"/>
        </w:rPr>
        <w:t>3</w:t>
      </w:r>
      <w:r>
        <w:rPr>
          <w:rFonts w:hint="default" w:ascii="Times New Roman" w:hAnsi="Times New Roman" w:eastAsia="宋体" w:cs="Times New Roman"/>
          <w:bCs w:val="0"/>
          <w:color w:val="auto"/>
          <w:kern w:val="2"/>
          <w:highlight w:val="none"/>
        </w:rPr>
        <w:t>.00分，根据评分标准得</w:t>
      </w:r>
      <w:r>
        <w:rPr>
          <w:rFonts w:hint="default" w:ascii="Times New Roman" w:hAnsi="Times New Roman" w:eastAsia="宋体" w:cs="Times New Roman"/>
          <w:bCs w:val="0"/>
          <w:color w:val="auto"/>
          <w:kern w:val="2"/>
          <w:highlight w:val="none"/>
          <w:lang w:val="en-US" w:eastAsia="zh-CN"/>
        </w:rPr>
        <w:t>0</w:t>
      </w:r>
      <w:r>
        <w:rPr>
          <w:rFonts w:hint="default" w:ascii="Times New Roman" w:hAnsi="Times New Roman" w:eastAsia="宋体" w:cs="Times New Roman"/>
          <w:bCs w:val="0"/>
          <w:color w:val="auto"/>
          <w:kern w:val="2"/>
          <w:highlight w:val="none"/>
        </w:rPr>
        <w:t>.00分。</w:t>
      </w:r>
    </w:p>
    <w:p w14:paraId="1FEB8DFA">
      <w:pPr>
        <w:ind w:firstLine="640"/>
        <w:rPr>
          <w:rFonts w:hint="eastAsia" w:ascii="Times New Roman" w:hAnsi="Times New Roman" w:eastAsia="宋体" w:cs="Times New Roman"/>
          <w:b/>
          <w:color w:val="auto"/>
          <w:highlight w:val="none"/>
        </w:rPr>
      </w:pPr>
      <w:r>
        <w:rPr>
          <w:rFonts w:hint="eastAsia" w:ascii="Times New Roman" w:hAnsi="Times New Roman" w:eastAsia="宋体" w:cs="Times New Roman"/>
          <w:b/>
          <w:color w:val="auto"/>
          <w:highlight w:val="none"/>
        </w:rPr>
        <w:t>（</w:t>
      </w:r>
      <w:r>
        <w:rPr>
          <w:rFonts w:hint="eastAsia" w:ascii="Times New Roman" w:hAnsi="Times New Roman" w:eastAsia="宋体" w:cs="Times New Roman"/>
          <w:b/>
          <w:color w:val="auto"/>
          <w:highlight w:val="none"/>
          <w:lang w:eastAsia="zh-CN"/>
        </w:rPr>
        <w:t>9</w:t>
      </w:r>
      <w:r>
        <w:rPr>
          <w:rFonts w:hint="eastAsia" w:ascii="Times New Roman" w:hAnsi="Times New Roman" w:eastAsia="宋体" w:cs="Times New Roman"/>
          <w:b/>
          <w:color w:val="auto"/>
          <w:highlight w:val="none"/>
        </w:rPr>
        <w:t>）C</w:t>
      </w:r>
      <w:r>
        <w:rPr>
          <w:rFonts w:hint="eastAsia" w:ascii="Times New Roman" w:hAnsi="Times New Roman" w:eastAsia="宋体" w:cs="Times New Roman"/>
          <w:b/>
          <w:color w:val="auto"/>
          <w:highlight w:val="none"/>
          <w:lang w:eastAsia="zh-CN"/>
        </w:rPr>
        <w:t>34</w:t>
      </w:r>
      <w:r>
        <w:rPr>
          <w:rFonts w:hint="eastAsia" w:ascii="Times New Roman" w:hAnsi="Times New Roman" w:eastAsia="宋体" w:cs="Times New Roman"/>
          <w:b/>
          <w:color w:val="auto"/>
          <w:highlight w:val="none"/>
          <w:lang w:val="en-US" w:eastAsia="zh-CN"/>
        </w:rPr>
        <w:t>玉米每亩单产提升率</w:t>
      </w:r>
      <w:r>
        <w:rPr>
          <w:rFonts w:hint="eastAsia" w:ascii="Times New Roman" w:hAnsi="Times New Roman" w:eastAsia="宋体" w:cs="Times New Roman"/>
          <w:b/>
          <w:color w:val="auto"/>
          <w:highlight w:val="none"/>
        </w:rPr>
        <w:t>指标：</w:t>
      </w:r>
    </w:p>
    <w:p w14:paraId="0E549F12">
      <w:pPr>
        <w:ind w:firstLine="640"/>
        <w:jc w:val="left"/>
        <w:rPr>
          <w:rFonts w:hint="default" w:ascii="Times New Roman" w:hAnsi="Times New Roman" w:eastAsia="宋体" w:cs="Times New Roman"/>
          <w:color w:val="auto"/>
          <w:kern w:val="2"/>
          <w:highlight w:val="none"/>
        </w:rPr>
      </w:pPr>
      <w:r>
        <w:rPr>
          <w:rFonts w:hint="default" w:ascii="Times New Roman" w:hAnsi="Times New Roman" w:eastAsia="宋体" w:cs="Times New Roman"/>
          <w:color w:val="auto"/>
          <w:kern w:val="2"/>
          <w:highlight w:val="none"/>
        </w:rPr>
        <w:t>根据</w:t>
      </w:r>
      <w:r>
        <w:rPr>
          <w:rFonts w:hint="default" w:ascii="Times New Roman" w:hAnsi="Times New Roman" w:eastAsia="宋体" w:cs="Times New Roman"/>
          <w:bCs w:val="0"/>
          <w:color w:val="auto"/>
          <w:kern w:val="2"/>
          <w:highlight w:val="none"/>
        </w:rPr>
        <w:t>伊宁县农技推广中心</w:t>
      </w:r>
      <w:r>
        <w:rPr>
          <w:rFonts w:hint="default" w:ascii="Times New Roman" w:hAnsi="Times New Roman" w:eastAsia="宋体" w:cs="Times New Roman"/>
          <w:color w:val="auto"/>
          <w:kern w:val="2"/>
          <w:highlight w:val="none"/>
        </w:rPr>
        <w:t>提</w:t>
      </w:r>
      <w:r>
        <w:rPr>
          <w:rFonts w:hint="default" w:ascii="Times New Roman" w:hAnsi="Times New Roman" w:eastAsia="宋体" w:cs="Times New Roman"/>
          <w:color w:val="auto"/>
          <w:kern w:val="2"/>
          <w:highlight w:val="none"/>
          <w:lang w:eastAsia="zh-CN"/>
        </w:rPr>
        <w:t>供的</w:t>
      </w:r>
      <w:r>
        <w:rPr>
          <w:rFonts w:hint="default" w:ascii="Times New Roman" w:hAnsi="Times New Roman" w:eastAsia="宋体" w:cs="Times New Roman"/>
          <w:color w:val="auto"/>
          <w:kern w:val="2"/>
          <w:highlight w:val="none"/>
        </w:rPr>
        <w:t>《</w:t>
      </w:r>
      <w:r>
        <w:rPr>
          <w:rFonts w:hint="default" w:ascii="Times New Roman" w:hAnsi="Times New Roman" w:eastAsia="宋体" w:cs="Times New Roman"/>
          <w:color w:val="auto"/>
          <w:kern w:val="2"/>
          <w:highlight w:val="none"/>
          <w:lang w:val="en-US" w:eastAsia="zh-CN"/>
        </w:rPr>
        <w:t>伊宁县2024年玉米高建产创示范田统计表</w:t>
      </w:r>
      <w:r>
        <w:rPr>
          <w:rFonts w:hint="default" w:ascii="Times New Roman" w:hAnsi="Times New Roman" w:eastAsia="宋体" w:cs="Times New Roman"/>
          <w:color w:val="auto"/>
          <w:kern w:val="2"/>
          <w:highlight w:val="none"/>
        </w:rPr>
        <w:t>》《</w:t>
      </w:r>
      <w:r>
        <w:rPr>
          <w:rFonts w:hint="default" w:ascii="Times New Roman" w:hAnsi="Times New Roman" w:eastAsia="宋体" w:cs="Times New Roman"/>
          <w:color w:val="auto"/>
          <w:kern w:val="2"/>
          <w:highlight w:val="none"/>
          <w:lang w:val="en-US" w:eastAsia="zh-CN"/>
        </w:rPr>
        <w:t>伊宁县2023年玉米高建产创示范田统计表</w:t>
      </w:r>
      <w:r>
        <w:rPr>
          <w:rFonts w:hint="default" w:ascii="Times New Roman" w:hAnsi="Times New Roman" w:eastAsia="宋体" w:cs="Times New Roman"/>
          <w:color w:val="auto"/>
          <w:kern w:val="2"/>
          <w:highlight w:val="none"/>
        </w:rPr>
        <w:t>》可知，</w:t>
      </w:r>
    </w:p>
    <w:p w14:paraId="367B70C1">
      <w:pPr>
        <w:ind w:firstLine="640"/>
        <w:jc w:val="left"/>
        <w:rPr>
          <w:rFonts w:hint="default" w:ascii="Times New Roman" w:hAnsi="Times New Roman" w:eastAsia="宋体" w:cs="Times New Roman"/>
          <w:color w:val="auto"/>
          <w:kern w:val="2"/>
          <w:highlight w:val="none"/>
          <w:lang w:eastAsia="zh-CN"/>
        </w:rPr>
      </w:pPr>
      <w:r>
        <w:rPr>
          <w:rFonts w:hint="default" w:ascii="Times New Roman" w:hAnsi="Times New Roman" w:eastAsia="宋体" w:cs="Times New Roman"/>
          <w:color w:val="auto"/>
          <w:kern w:val="2"/>
          <w:highlight w:val="none"/>
        </w:rPr>
        <w:t>202</w:t>
      </w:r>
      <w:r>
        <w:rPr>
          <w:rFonts w:hint="default" w:ascii="Times New Roman" w:hAnsi="Times New Roman" w:eastAsia="宋体" w:cs="Times New Roman"/>
          <w:color w:val="auto"/>
          <w:kern w:val="2"/>
          <w:highlight w:val="none"/>
          <w:lang w:val="en-US" w:eastAsia="zh-CN"/>
        </w:rPr>
        <w:t>4</w:t>
      </w:r>
      <w:r>
        <w:rPr>
          <w:rFonts w:hint="default" w:ascii="Times New Roman" w:hAnsi="Times New Roman" w:eastAsia="宋体" w:cs="Times New Roman"/>
          <w:color w:val="auto"/>
          <w:kern w:val="2"/>
          <w:highlight w:val="none"/>
        </w:rPr>
        <w:t>年</w:t>
      </w:r>
      <w:r>
        <w:rPr>
          <w:rFonts w:hint="default" w:ascii="Times New Roman" w:hAnsi="Times New Roman" w:eastAsia="宋体" w:cs="Times New Roman"/>
          <w:bCs w:val="0"/>
          <w:color w:val="auto"/>
          <w:kern w:val="2"/>
          <w:highlight w:val="none"/>
        </w:rPr>
        <w:t>伊宁县农技推广中心</w:t>
      </w:r>
      <w:r>
        <w:rPr>
          <w:rFonts w:hint="default" w:ascii="Times New Roman" w:hAnsi="Times New Roman" w:eastAsia="宋体" w:cs="Times New Roman"/>
          <w:color w:val="auto"/>
          <w:kern w:val="2"/>
          <w:highlight w:val="none"/>
          <w:lang w:val="en-US" w:eastAsia="zh-CN"/>
        </w:rPr>
        <w:t>对18</w:t>
      </w:r>
      <w:r>
        <w:rPr>
          <w:rFonts w:hint="default" w:ascii="Times New Roman" w:hAnsi="Times New Roman" w:eastAsia="宋体" w:cs="Times New Roman"/>
          <w:color w:val="auto"/>
          <w:kern w:val="2"/>
          <w:highlight w:val="none"/>
        </w:rPr>
        <w:t>个乡镇</w:t>
      </w:r>
      <w:r>
        <w:rPr>
          <w:rFonts w:hint="default" w:ascii="Times New Roman" w:hAnsi="Times New Roman" w:eastAsia="宋体" w:cs="Times New Roman"/>
          <w:color w:val="auto"/>
          <w:kern w:val="2"/>
          <w:highlight w:val="none"/>
          <w:lang w:val="en-US" w:eastAsia="zh-CN"/>
        </w:rPr>
        <w:t>场的65</w:t>
      </w:r>
      <w:r>
        <w:rPr>
          <w:rFonts w:hint="default" w:ascii="Times New Roman" w:hAnsi="Times New Roman" w:eastAsia="宋体" w:cs="Times New Roman"/>
          <w:color w:val="auto"/>
          <w:kern w:val="2"/>
          <w:highlight w:val="none"/>
        </w:rPr>
        <w:t>块玉米田进行抽测，取样点面积</w:t>
      </w:r>
      <w:r>
        <w:rPr>
          <w:rFonts w:hint="default" w:ascii="Times New Roman" w:hAnsi="Times New Roman" w:eastAsia="宋体" w:cs="Times New Roman"/>
          <w:color w:val="auto"/>
          <w:kern w:val="2"/>
          <w:highlight w:val="none"/>
          <w:lang w:val="en-US" w:eastAsia="zh-CN"/>
        </w:rPr>
        <w:t>173,551</w:t>
      </w:r>
      <w:r>
        <w:rPr>
          <w:rFonts w:hint="default" w:ascii="Times New Roman" w:hAnsi="Times New Roman" w:eastAsia="宋体" w:cs="Times New Roman"/>
          <w:color w:val="auto"/>
          <w:kern w:val="2"/>
          <w:highlight w:val="none"/>
        </w:rPr>
        <w:t>.00亩，</w:t>
      </w:r>
      <w:r>
        <w:rPr>
          <w:rFonts w:hint="default" w:ascii="Times New Roman" w:hAnsi="Times New Roman" w:eastAsia="宋体" w:cs="Times New Roman"/>
          <w:color w:val="auto"/>
          <w:kern w:val="2"/>
          <w:highlight w:val="none"/>
          <w:lang w:val="en-US" w:eastAsia="zh-CN"/>
        </w:rPr>
        <w:t>2024年伊宁县玉米每亩单产理论产量1,250</w:t>
      </w:r>
      <w:r>
        <w:rPr>
          <w:rFonts w:hint="default" w:ascii="Times New Roman" w:hAnsi="Times New Roman" w:eastAsia="宋体" w:cs="Times New Roman"/>
          <w:color w:val="auto"/>
          <w:kern w:val="2"/>
          <w:highlight w:val="none"/>
        </w:rPr>
        <w:t>.</w:t>
      </w:r>
      <w:r>
        <w:rPr>
          <w:rFonts w:hint="default" w:ascii="Times New Roman" w:hAnsi="Times New Roman" w:eastAsia="宋体" w:cs="Times New Roman"/>
          <w:color w:val="auto"/>
          <w:kern w:val="2"/>
          <w:highlight w:val="none"/>
          <w:lang w:val="en-US" w:eastAsia="zh-CN"/>
        </w:rPr>
        <w:t>82</w:t>
      </w:r>
      <w:r>
        <w:rPr>
          <w:rFonts w:hint="default" w:ascii="Times New Roman" w:hAnsi="Times New Roman" w:eastAsia="宋体" w:cs="Times New Roman"/>
          <w:color w:val="auto"/>
          <w:kern w:val="2"/>
          <w:highlight w:val="none"/>
        </w:rPr>
        <w:t>公斤/亩</w:t>
      </w:r>
      <w:r>
        <w:rPr>
          <w:rFonts w:hint="default" w:ascii="Times New Roman" w:hAnsi="Times New Roman" w:eastAsia="宋体" w:cs="Times New Roman"/>
          <w:color w:val="auto"/>
          <w:kern w:val="2"/>
          <w:highlight w:val="none"/>
          <w:lang w:eastAsia="zh-CN"/>
        </w:rPr>
        <w:t>。</w:t>
      </w:r>
    </w:p>
    <w:p w14:paraId="21E0E7C6">
      <w:pPr>
        <w:ind w:firstLine="640"/>
        <w:jc w:val="left"/>
        <w:rPr>
          <w:rFonts w:hint="default" w:ascii="Times New Roman" w:hAnsi="Times New Roman" w:eastAsia="宋体" w:cs="Times New Roman"/>
          <w:bCs w:val="0"/>
          <w:color w:val="auto"/>
          <w:kern w:val="2"/>
          <w:highlight w:val="none"/>
          <w:lang w:eastAsia="zh-CN"/>
        </w:rPr>
      </w:pPr>
      <w:r>
        <w:rPr>
          <w:rFonts w:hint="default" w:ascii="Times New Roman" w:hAnsi="Times New Roman" w:eastAsia="宋体" w:cs="Times New Roman"/>
          <w:color w:val="auto"/>
          <w:kern w:val="2"/>
          <w:highlight w:val="none"/>
        </w:rPr>
        <w:t>202</w:t>
      </w:r>
      <w:r>
        <w:rPr>
          <w:rFonts w:hint="default" w:ascii="Times New Roman" w:hAnsi="Times New Roman" w:eastAsia="宋体" w:cs="Times New Roman"/>
          <w:color w:val="auto"/>
          <w:kern w:val="2"/>
          <w:highlight w:val="none"/>
          <w:lang w:val="en-US" w:eastAsia="zh-CN"/>
        </w:rPr>
        <w:t>3</w:t>
      </w:r>
      <w:r>
        <w:rPr>
          <w:rFonts w:hint="default" w:ascii="Times New Roman" w:hAnsi="Times New Roman" w:eastAsia="宋体" w:cs="Times New Roman"/>
          <w:color w:val="auto"/>
          <w:kern w:val="2"/>
          <w:highlight w:val="none"/>
        </w:rPr>
        <w:t>年</w:t>
      </w:r>
      <w:r>
        <w:rPr>
          <w:rFonts w:hint="default" w:ascii="Times New Roman" w:hAnsi="Times New Roman" w:eastAsia="宋体" w:cs="Times New Roman"/>
          <w:bCs w:val="0"/>
          <w:color w:val="auto"/>
          <w:kern w:val="2"/>
          <w:highlight w:val="none"/>
        </w:rPr>
        <w:t>伊宁县农技推广中心</w:t>
      </w:r>
      <w:r>
        <w:rPr>
          <w:rFonts w:hint="default" w:ascii="Times New Roman" w:hAnsi="Times New Roman" w:eastAsia="宋体" w:cs="Times New Roman"/>
          <w:color w:val="auto"/>
          <w:kern w:val="2"/>
          <w:highlight w:val="none"/>
          <w:lang w:val="en-US" w:eastAsia="zh-CN"/>
        </w:rPr>
        <w:t>对17</w:t>
      </w:r>
      <w:r>
        <w:rPr>
          <w:rFonts w:hint="default" w:ascii="Times New Roman" w:hAnsi="Times New Roman" w:eastAsia="宋体" w:cs="Times New Roman"/>
          <w:color w:val="auto"/>
          <w:kern w:val="2"/>
          <w:highlight w:val="none"/>
        </w:rPr>
        <w:t>个乡镇</w:t>
      </w:r>
      <w:r>
        <w:rPr>
          <w:rFonts w:hint="default" w:ascii="Times New Roman" w:hAnsi="Times New Roman" w:eastAsia="宋体" w:cs="Times New Roman"/>
          <w:color w:val="auto"/>
          <w:kern w:val="2"/>
          <w:highlight w:val="none"/>
          <w:lang w:val="en-US" w:eastAsia="zh-CN"/>
        </w:rPr>
        <w:t>场</w:t>
      </w:r>
      <w:r>
        <w:rPr>
          <w:rFonts w:hint="default" w:ascii="Times New Roman" w:hAnsi="Times New Roman" w:eastAsia="宋体" w:cs="Times New Roman"/>
          <w:color w:val="auto"/>
          <w:kern w:val="2"/>
          <w:highlight w:val="none"/>
        </w:rPr>
        <w:t>的</w:t>
      </w:r>
      <w:r>
        <w:rPr>
          <w:rFonts w:hint="default" w:ascii="Times New Roman" w:hAnsi="Times New Roman" w:eastAsia="宋体" w:cs="Times New Roman"/>
          <w:color w:val="auto"/>
          <w:kern w:val="2"/>
          <w:highlight w:val="none"/>
          <w:lang w:val="en-US" w:eastAsia="zh-CN"/>
        </w:rPr>
        <w:t>30</w:t>
      </w:r>
      <w:r>
        <w:rPr>
          <w:rFonts w:hint="default" w:ascii="Times New Roman" w:hAnsi="Times New Roman" w:eastAsia="宋体" w:cs="Times New Roman"/>
          <w:color w:val="auto"/>
          <w:kern w:val="2"/>
          <w:highlight w:val="none"/>
        </w:rPr>
        <w:t>块玉米田进行抽测，取样点面积</w:t>
      </w:r>
      <w:r>
        <w:rPr>
          <w:rFonts w:hint="default" w:ascii="Times New Roman" w:hAnsi="Times New Roman" w:eastAsia="宋体" w:cs="Times New Roman"/>
          <w:color w:val="auto"/>
          <w:kern w:val="2"/>
          <w:highlight w:val="none"/>
          <w:lang w:val="en-US" w:eastAsia="zh-CN"/>
        </w:rPr>
        <w:t>86,100</w:t>
      </w:r>
      <w:r>
        <w:rPr>
          <w:rFonts w:hint="default" w:ascii="Times New Roman" w:hAnsi="Times New Roman" w:eastAsia="宋体" w:cs="Times New Roman"/>
          <w:color w:val="auto"/>
          <w:kern w:val="2"/>
          <w:highlight w:val="none"/>
        </w:rPr>
        <w:t>.00亩，</w:t>
      </w:r>
      <w:r>
        <w:rPr>
          <w:rFonts w:hint="default" w:ascii="Times New Roman" w:hAnsi="Times New Roman" w:eastAsia="宋体" w:cs="Times New Roman"/>
          <w:color w:val="auto"/>
          <w:kern w:val="2"/>
          <w:highlight w:val="none"/>
          <w:lang w:val="en-US" w:eastAsia="zh-CN"/>
        </w:rPr>
        <w:t>2023年伊宁县玉米每</w:t>
      </w:r>
      <w:r>
        <w:rPr>
          <w:rFonts w:hint="default" w:ascii="Times New Roman" w:hAnsi="Times New Roman" w:eastAsia="宋体" w:cs="Times New Roman"/>
          <w:bCs w:val="0"/>
          <w:color w:val="auto"/>
          <w:kern w:val="2"/>
          <w:highlight w:val="none"/>
          <w:lang w:val="en-US" w:eastAsia="zh-CN"/>
        </w:rPr>
        <w:t>亩单产理论产量1,288.00</w:t>
      </w:r>
      <w:r>
        <w:rPr>
          <w:rFonts w:hint="default" w:ascii="Times New Roman" w:hAnsi="Times New Roman" w:eastAsia="宋体" w:cs="Times New Roman"/>
          <w:bCs w:val="0"/>
          <w:color w:val="auto"/>
          <w:kern w:val="2"/>
          <w:highlight w:val="none"/>
        </w:rPr>
        <w:t>公斤/亩</w:t>
      </w:r>
      <w:r>
        <w:rPr>
          <w:rFonts w:hint="default" w:ascii="Times New Roman" w:hAnsi="Times New Roman" w:eastAsia="宋体" w:cs="Times New Roman"/>
          <w:bCs w:val="0"/>
          <w:color w:val="auto"/>
          <w:kern w:val="2"/>
          <w:highlight w:val="none"/>
          <w:lang w:eastAsia="zh-CN"/>
        </w:rPr>
        <w:t>。</w:t>
      </w:r>
    </w:p>
    <w:p w14:paraId="75A2DEB5">
      <w:pPr>
        <w:ind w:firstLine="640"/>
        <w:jc w:val="left"/>
        <w:rPr>
          <w:rFonts w:hint="default" w:ascii="Times New Roman" w:hAnsi="Times New Roman" w:eastAsia="宋体" w:cs="Times New Roman"/>
          <w:bCs w:val="0"/>
          <w:color w:val="auto"/>
          <w:kern w:val="2"/>
          <w:highlight w:val="none"/>
        </w:rPr>
      </w:pPr>
      <w:r>
        <w:rPr>
          <w:rFonts w:hint="default" w:ascii="Times New Roman" w:hAnsi="Times New Roman" w:eastAsia="宋体" w:cs="Times New Roman"/>
          <w:bCs w:val="0"/>
          <w:color w:val="auto"/>
          <w:kern w:val="2"/>
          <w:highlight w:val="none"/>
        </w:rPr>
        <w:t>玉米每亩单产提升率</w:t>
      </w:r>
      <w:r>
        <w:rPr>
          <w:rFonts w:hint="default" w:ascii="Times New Roman" w:hAnsi="Times New Roman" w:eastAsia="宋体" w:cs="Times New Roman"/>
          <w:bCs w:val="0"/>
          <w:color w:val="auto"/>
          <w:kern w:val="2"/>
          <w:highlight w:val="none"/>
          <w:lang w:val="en-US" w:eastAsia="zh-CN"/>
        </w:rPr>
        <w:t>=（2024年</w:t>
      </w:r>
      <w:r>
        <w:rPr>
          <w:rFonts w:hint="default" w:ascii="Times New Roman" w:hAnsi="Times New Roman" w:eastAsia="宋体" w:cs="Times New Roman"/>
          <w:bCs w:val="0"/>
          <w:color w:val="auto"/>
          <w:kern w:val="2"/>
          <w:highlight w:val="none"/>
        </w:rPr>
        <w:t>平均每亩单产</w:t>
      </w:r>
      <w:r>
        <w:rPr>
          <w:rFonts w:hint="default" w:ascii="Times New Roman" w:hAnsi="Times New Roman" w:eastAsia="宋体" w:cs="Times New Roman"/>
          <w:bCs w:val="0"/>
          <w:color w:val="auto"/>
          <w:kern w:val="2"/>
          <w:highlight w:val="none"/>
          <w:lang w:val="en-US" w:eastAsia="zh-CN"/>
        </w:rPr>
        <w:t>-2023年</w:t>
      </w:r>
      <w:r>
        <w:rPr>
          <w:rFonts w:hint="default" w:ascii="Times New Roman" w:hAnsi="Times New Roman" w:eastAsia="宋体" w:cs="Times New Roman"/>
          <w:bCs w:val="0"/>
          <w:color w:val="auto"/>
          <w:kern w:val="2"/>
          <w:highlight w:val="none"/>
        </w:rPr>
        <w:t>平均每亩单产</w:t>
      </w:r>
      <w:r>
        <w:rPr>
          <w:rFonts w:hint="default" w:ascii="Times New Roman" w:hAnsi="Times New Roman" w:eastAsia="宋体" w:cs="Times New Roman"/>
          <w:bCs w:val="0"/>
          <w:color w:val="auto"/>
          <w:kern w:val="2"/>
          <w:highlight w:val="none"/>
          <w:lang w:eastAsia="zh-CN"/>
        </w:rPr>
        <w:t>）</w:t>
      </w:r>
      <w:r>
        <w:rPr>
          <w:rFonts w:hint="default" w:ascii="Times New Roman" w:hAnsi="Times New Roman" w:eastAsia="宋体" w:cs="Times New Roman"/>
          <w:bCs w:val="0"/>
          <w:color w:val="auto"/>
          <w:kern w:val="2"/>
          <w:highlight w:val="none"/>
          <w:lang w:val="en-US" w:eastAsia="zh-CN"/>
        </w:rPr>
        <w:t>/2023年</w:t>
      </w:r>
      <w:r>
        <w:rPr>
          <w:rFonts w:hint="default" w:ascii="Times New Roman" w:hAnsi="Times New Roman" w:eastAsia="宋体" w:cs="Times New Roman"/>
          <w:bCs w:val="0"/>
          <w:color w:val="auto"/>
          <w:kern w:val="2"/>
          <w:highlight w:val="none"/>
        </w:rPr>
        <w:t>平均每亩单产</w:t>
      </w:r>
      <w:r>
        <w:rPr>
          <w:rFonts w:hint="default" w:ascii="Times New Roman" w:hAnsi="Times New Roman" w:eastAsia="宋体" w:cs="Times New Roman"/>
          <w:bCs w:val="0"/>
          <w:color w:val="auto"/>
          <w:kern w:val="2"/>
          <w:highlight w:val="none"/>
          <w:lang w:val="en-US" w:eastAsia="zh-CN"/>
        </w:rPr>
        <w:t>=（1,250</w:t>
      </w:r>
      <w:r>
        <w:rPr>
          <w:rFonts w:hint="default" w:ascii="Times New Roman" w:hAnsi="Times New Roman" w:eastAsia="宋体" w:cs="Times New Roman"/>
          <w:bCs w:val="0"/>
          <w:color w:val="auto"/>
          <w:kern w:val="2"/>
          <w:highlight w:val="none"/>
        </w:rPr>
        <w:t>.</w:t>
      </w:r>
      <w:r>
        <w:rPr>
          <w:rFonts w:hint="default" w:ascii="Times New Roman" w:hAnsi="Times New Roman" w:eastAsia="宋体" w:cs="Times New Roman"/>
          <w:bCs w:val="0"/>
          <w:color w:val="auto"/>
          <w:kern w:val="2"/>
          <w:highlight w:val="none"/>
          <w:lang w:val="en-US" w:eastAsia="zh-CN"/>
        </w:rPr>
        <w:t>82-1,288.00）/1,288.00=-2.89%，2024年伊宁县玉米每亩单产提升率-2.89</w:t>
      </w:r>
      <w:r>
        <w:rPr>
          <w:rFonts w:hint="default" w:ascii="Times New Roman" w:hAnsi="Times New Roman" w:eastAsia="宋体" w:cs="Times New Roman"/>
          <w:bCs w:val="0"/>
          <w:color w:val="auto"/>
          <w:kern w:val="2"/>
          <w:highlight w:val="none"/>
        </w:rPr>
        <w:t>%。</w:t>
      </w:r>
    </w:p>
    <w:p w14:paraId="7E0CEB40">
      <w:pPr>
        <w:ind w:firstLine="640"/>
        <w:jc w:val="left"/>
        <w:rPr>
          <w:rFonts w:hint="default" w:ascii="Times New Roman" w:hAnsi="Times New Roman" w:eastAsia="宋体" w:cs="Times New Roman"/>
          <w:bCs w:val="0"/>
          <w:color w:val="auto"/>
          <w:kern w:val="2"/>
          <w:highlight w:val="none"/>
          <w:lang w:val="en-US" w:eastAsia="zh-CN"/>
        </w:rPr>
      </w:pPr>
      <w:r>
        <w:rPr>
          <w:rFonts w:hint="default" w:ascii="Times New Roman" w:hAnsi="Times New Roman" w:eastAsia="宋体" w:cs="Times New Roman"/>
          <w:bCs w:val="0"/>
          <w:color w:val="auto"/>
          <w:kern w:val="2"/>
          <w:highlight w:val="none"/>
          <w:lang w:val="en-US" w:eastAsia="zh-CN"/>
        </w:rPr>
        <w:t>根据项目实施单位提供的《情况说明》显示，2024年</w:t>
      </w:r>
      <w:r>
        <w:rPr>
          <w:rFonts w:hint="default" w:ascii="Times New Roman" w:hAnsi="Times New Roman" w:eastAsia="宋体" w:cs="Times New Roman"/>
          <w:b w:val="0"/>
          <w:color w:val="auto"/>
          <w:kern w:val="2"/>
          <w:highlight w:val="none"/>
          <w:lang w:val="en-US" w:eastAsia="zh-CN"/>
        </w:rPr>
        <w:t>玉米单产减产的原因为：</w:t>
      </w:r>
      <w:r>
        <w:rPr>
          <w:rFonts w:hint="default" w:ascii="Times New Roman" w:hAnsi="Times New Roman" w:eastAsia="宋体" w:cs="Times New Roman"/>
          <w:bCs w:val="0"/>
          <w:color w:val="auto"/>
          <w:kern w:val="2"/>
          <w:highlight w:val="none"/>
          <w:lang w:val="en-US" w:eastAsia="zh-CN"/>
        </w:rPr>
        <w:t>①高产田地块数量2024年比2023年增加、2024年取样面积比2023年增多，玉米高产田地块增加37块，增加面积87,451.00亩；②天气因素是导致农作物减产，2024年1月份冬小麦积雪没有覆盖裸露出现冻害、4月份回寒天气低温影响冬小麦产量和玉米播种时间；③病虫害也是导致农作物减产的原因，2024年主要农作物病虫害发生面积比2023年增加3.01万亩。</w:t>
      </w:r>
    </w:p>
    <w:p w14:paraId="2331124B">
      <w:pPr>
        <w:ind w:firstLine="640"/>
        <w:jc w:val="left"/>
        <w:rPr>
          <w:rFonts w:hint="default" w:ascii="Times New Roman" w:hAnsi="Times New Roman" w:eastAsia="宋体" w:cs="Times New Roman"/>
          <w:color w:val="auto"/>
          <w:kern w:val="2"/>
          <w:highlight w:val="none"/>
          <w:lang w:eastAsia="zh-CN"/>
        </w:rPr>
      </w:pPr>
      <w:r>
        <w:rPr>
          <w:rFonts w:hint="default" w:ascii="Times New Roman" w:hAnsi="Times New Roman" w:eastAsia="宋体" w:cs="Times New Roman"/>
          <w:bCs w:val="0"/>
          <w:color w:val="auto"/>
          <w:kern w:val="2"/>
          <w:highlight w:val="none"/>
        </w:rPr>
        <w:t>该指标满分为</w:t>
      </w:r>
      <w:r>
        <w:rPr>
          <w:rFonts w:hint="default" w:ascii="Times New Roman" w:hAnsi="Times New Roman" w:eastAsia="宋体" w:cs="Times New Roman"/>
          <w:bCs w:val="0"/>
          <w:color w:val="auto"/>
          <w:kern w:val="2"/>
          <w:highlight w:val="none"/>
          <w:lang w:val="en-US" w:eastAsia="zh-CN"/>
        </w:rPr>
        <w:t>3</w:t>
      </w:r>
      <w:r>
        <w:rPr>
          <w:rFonts w:hint="default" w:ascii="Times New Roman" w:hAnsi="Times New Roman" w:eastAsia="宋体" w:cs="Times New Roman"/>
          <w:bCs w:val="0"/>
          <w:color w:val="auto"/>
          <w:kern w:val="2"/>
          <w:highlight w:val="none"/>
        </w:rPr>
        <w:t>.00分，根据评分标准得</w:t>
      </w:r>
      <w:r>
        <w:rPr>
          <w:rFonts w:hint="default" w:ascii="Times New Roman" w:hAnsi="Times New Roman" w:eastAsia="宋体" w:cs="Times New Roman"/>
          <w:bCs w:val="0"/>
          <w:color w:val="auto"/>
          <w:kern w:val="2"/>
          <w:highlight w:val="none"/>
          <w:lang w:val="en-US" w:eastAsia="zh-CN"/>
        </w:rPr>
        <w:t>0</w:t>
      </w:r>
      <w:r>
        <w:rPr>
          <w:rFonts w:hint="default" w:ascii="Times New Roman" w:hAnsi="Times New Roman" w:eastAsia="宋体" w:cs="Times New Roman"/>
          <w:bCs w:val="0"/>
          <w:color w:val="auto"/>
          <w:kern w:val="2"/>
          <w:highlight w:val="none"/>
        </w:rPr>
        <w:t>.00分。</w:t>
      </w:r>
    </w:p>
    <w:p w14:paraId="4D5A2E9C">
      <w:pPr>
        <w:ind w:firstLine="640"/>
        <w:rPr>
          <w:rFonts w:hint="eastAsia" w:ascii="Times New Roman" w:hAnsi="Times New Roman" w:eastAsia="宋体" w:cs="Times New Roman"/>
          <w:b/>
          <w:color w:val="auto"/>
          <w:highlight w:val="none"/>
        </w:rPr>
      </w:pPr>
      <w:r>
        <w:rPr>
          <w:rFonts w:hint="eastAsia" w:ascii="Times New Roman" w:hAnsi="Times New Roman" w:eastAsia="宋体" w:cs="Times New Roman"/>
          <w:b/>
          <w:color w:val="auto"/>
          <w:highlight w:val="none"/>
        </w:rPr>
        <w:t>（10）C</w:t>
      </w:r>
      <w:r>
        <w:rPr>
          <w:rFonts w:hint="eastAsia" w:ascii="Times New Roman" w:hAnsi="Times New Roman" w:eastAsia="宋体" w:cs="Times New Roman"/>
          <w:b/>
          <w:color w:val="auto"/>
          <w:highlight w:val="none"/>
          <w:lang w:eastAsia="zh-CN"/>
        </w:rPr>
        <w:t>4</w:t>
      </w:r>
      <w:r>
        <w:rPr>
          <w:rFonts w:hint="eastAsia" w:ascii="Times New Roman" w:hAnsi="Times New Roman" w:eastAsia="宋体" w:cs="Times New Roman"/>
          <w:b/>
          <w:color w:val="auto"/>
          <w:highlight w:val="none"/>
          <w:lang w:val="en-US" w:eastAsia="zh-CN"/>
        </w:rPr>
        <w:t>1</w:t>
      </w:r>
      <w:r>
        <w:rPr>
          <w:rFonts w:hint="eastAsia" w:ascii="Times New Roman" w:hAnsi="Times New Roman" w:eastAsia="宋体" w:cs="Times New Roman"/>
          <w:b/>
          <w:color w:val="auto"/>
          <w:highlight w:val="none"/>
        </w:rPr>
        <w:t>受益农户满意度指标：</w:t>
      </w:r>
    </w:p>
    <w:p w14:paraId="78F9BEF2">
      <w:pPr>
        <w:keepNext w:val="0"/>
        <w:keepLines w:val="0"/>
        <w:pageBreakBefore w:val="0"/>
        <w:widowControl/>
        <w:kinsoku/>
        <w:wordWrap/>
        <w:overflowPunct/>
        <w:topLinePunct w:val="0"/>
        <w:autoSpaceDE/>
        <w:autoSpaceDN/>
        <w:bidi w:val="0"/>
        <w:adjustRightInd w:val="0"/>
        <w:snapToGrid w:val="0"/>
        <w:ind w:firstLine="640"/>
        <w:jc w:val="left"/>
        <w:textAlignment w:val="auto"/>
        <w:rPr>
          <w:rFonts w:hint="default" w:ascii="Times New Roman" w:hAnsi="Times New Roman" w:eastAsia="宋体" w:cs="Times New Roman"/>
          <w:bCs w:val="0"/>
          <w:color w:val="auto"/>
          <w:kern w:val="2"/>
          <w:highlight w:val="none"/>
        </w:rPr>
      </w:pPr>
      <w:r>
        <w:rPr>
          <w:rFonts w:hint="default" w:ascii="Times New Roman" w:hAnsi="Times New Roman" w:eastAsia="宋体" w:cs="Times New Roman"/>
          <w:bCs w:val="0"/>
          <w:color w:val="auto"/>
          <w:kern w:val="2"/>
          <w:highlight w:val="none"/>
        </w:rPr>
        <w:t>该效益指标主要采用公众评判法，通过问卷及抽样调查等方式评价当地受益农户对伊宁县农技推广中心工作的满意度。本次共发放并收回满意度问卷487份，根据问卷调查分析报告：针对“您对农技推广中心‘良种良法新技术示范推广’工作的总体满意度是？”选择“非常满意”选项427人，选择“满意”选项50人，选择“一般”选项8人，选择“不太满意”选项0人，选择“很不满意”选项2人，则本问题的满意度为96.88%；针对“您认为农技部门提供的农作物重大病虫害预警信息是否满意？”问题，选择“非常满意”选项419人，选择“满意”选项54人，选择“一般”选项11人，选择“不太满意”选项2人，选择“很不满意”选项1人，则本问题的满意度为96.39%；针对“您对农技推广中心工作人员服务态度（礼貌、耐心、公平）的总体评价是？”问题，选择“非常满意”选项415人，选择“满意”选项60人，选择“一般”选项9人，选择“不太满意”选项2人，选择“很不满意”选项1人，则本问题的满意度为96.30%。综上结果通过加权平均计算得出，综合满意度=（96.88%+96.39%+96.30%）/3=96.52%，指标完成率大于等于90.00%，达到预期目标。</w:t>
      </w:r>
    </w:p>
    <w:p w14:paraId="58CD2D6F">
      <w:pPr>
        <w:ind w:firstLine="640"/>
        <w:jc w:val="left"/>
        <w:rPr>
          <w:rFonts w:hint="default" w:ascii="Times New Roman" w:hAnsi="Times New Roman" w:eastAsia="宋体" w:cs="Times New Roman"/>
          <w:color w:val="auto"/>
          <w:kern w:val="2"/>
          <w:highlight w:val="none"/>
          <w:lang w:eastAsia="zh-CN"/>
        </w:rPr>
      </w:pPr>
      <w:r>
        <w:rPr>
          <w:rFonts w:hint="default" w:ascii="Times New Roman" w:hAnsi="Times New Roman" w:eastAsia="宋体" w:cs="Times New Roman"/>
          <w:bCs w:val="0"/>
          <w:color w:val="auto"/>
          <w:kern w:val="2"/>
          <w:highlight w:val="none"/>
        </w:rPr>
        <w:t>该指标满分为12.00分，根据评分标准得12.00分。</w:t>
      </w:r>
    </w:p>
    <w:p w14:paraId="765A951B">
      <w:pPr>
        <w:pStyle w:val="4"/>
        <w:ind w:firstLine="640"/>
        <w:rPr>
          <w:rFonts w:hint="default" w:ascii="Times New Roman" w:hAnsi="Times New Roman" w:eastAsia="宋体" w:cs="Times New Roman"/>
          <w:b/>
          <w:bCs w:val="0"/>
          <w:color w:val="auto"/>
          <w:highlight w:val="none"/>
        </w:rPr>
      </w:pPr>
      <w:bookmarkStart w:id="64" w:name="_Toc30458"/>
      <w:bookmarkStart w:id="65" w:name="_Toc11312"/>
      <w:r>
        <w:rPr>
          <w:rFonts w:hint="default" w:ascii="Times New Roman" w:hAnsi="Times New Roman" w:eastAsia="宋体" w:cs="Times New Roman"/>
          <w:b/>
          <w:bCs w:val="0"/>
          <w:color w:val="auto"/>
          <w:highlight w:val="none"/>
        </w:rPr>
        <w:t>五、主要经验及做法、存在的问题</w:t>
      </w:r>
      <w:bookmarkEnd w:id="64"/>
      <w:r>
        <w:rPr>
          <w:rFonts w:hint="default" w:ascii="Times New Roman" w:hAnsi="Times New Roman" w:eastAsia="宋体" w:cs="Times New Roman"/>
          <w:b/>
          <w:bCs w:val="0"/>
          <w:color w:val="auto"/>
          <w:highlight w:val="none"/>
        </w:rPr>
        <w:t>和建议</w:t>
      </w:r>
      <w:bookmarkEnd w:id="65"/>
    </w:p>
    <w:p w14:paraId="02BFBDA8">
      <w:pPr>
        <w:pStyle w:val="5"/>
        <w:ind w:firstLine="640"/>
        <w:rPr>
          <w:rFonts w:hint="default" w:ascii="Times New Roman" w:hAnsi="Times New Roman" w:eastAsia="宋体" w:cs="Times New Roman"/>
          <w:bCs w:val="0"/>
          <w:color w:val="auto"/>
          <w:highlight w:val="none"/>
        </w:rPr>
      </w:pPr>
      <w:bookmarkStart w:id="66" w:name="_Toc16974"/>
      <w:bookmarkStart w:id="67" w:name="_Toc14662"/>
      <w:bookmarkStart w:id="68" w:name="_Toc1080"/>
      <w:bookmarkStart w:id="69" w:name="_Toc15518"/>
      <w:r>
        <w:rPr>
          <w:rFonts w:hint="default" w:ascii="Times New Roman" w:hAnsi="Times New Roman" w:eastAsia="宋体" w:cs="Times New Roman"/>
          <w:bCs w:val="0"/>
          <w:color w:val="auto"/>
          <w:highlight w:val="none"/>
        </w:rPr>
        <w:t>（一）主要经验及做法</w:t>
      </w:r>
      <w:bookmarkEnd w:id="66"/>
      <w:bookmarkEnd w:id="67"/>
      <w:bookmarkEnd w:id="68"/>
      <w:bookmarkEnd w:id="69"/>
    </w:p>
    <w:p w14:paraId="641436F9">
      <w:pPr>
        <w:widowControl/>
        <w:adjustRightInd w:val="0"/>
        <w:snapToGrid w:val="0"/>
        <w:ind w:firstLine="640"/>
        <w:jc w:val="left"/>
        <w:rPr>
          <w:rFonts w:hint="default" w:ascii="Times New Roman" w:hAnsi="Times New Roman" w:eastAsia="宋体" w:cs="Times New Roman"/>
          <w:bCs w:val="0"/>
          <w:color w:val="auto"/>
          <w:kern w:val="2"/>
          <w:highlight w:val="none"/>
          <w:lang w:val="en-US" w:eastAsia="zh-CN"/>
        </w:rPr>
      </w:pPr>
      <w:r>
        <w:rPr>
          <w:rFonts w:hint="default" w:ascii="Times New Roman" w:hAnsi="Times New Roman" w:eastAsia="宋体" w:cs="Times New Roman"/>
          <w:bCs w:val="0"/>
          <w:color w:val="auto"/>
          <w:kern w:val="2"/>
          <w:highlight w:val="none"/>
          <w:lang w:val="en-US" w:eastAsia="zh-CN"/>
        </w:rPr>
        <w:t>1.粮油作物病虫害预警防治能力建设开展工作扎实</w:t>
      </w:r>
      <w:r>
        <w:rPr>
          <w:rFonts w:hint="default" w:ascii="Times New Roman" w:hAnsi="Times New Roman" w:eastAsia="宋体" w:cs="Times New Roman"/>
          <w:color w:val="auto"/>
          <w:kern w:val="2"/>
          <w:highlight w:val="none"/>
          <w:lang w:eastAsia="zh-CN"/>
        </w:rPr>
        <w:t>，强化农民种植户的科学种田、病虫害绿色防控、先进种植技术推介等培训和田间种植管理的技术指导、帮扶。</w:t>
      </w:r>
    </w:p>
    <w:p w14:paraId="3E2578CF">
      <w:pPr>
        <w:widowControl/>
        <w:adjustRightInd w:val="0"/>
        <w:snapToGrid w:val="0"/>
        <w:ind w:firstLine="640"/>
        <w:jc w:val="left"/>
        <w:rPr>
          <w:rFonts w:hint="default" w:ascii="Times New Roman" w:hAnsi="Times New Roman" w:eastAsia="宋体" w:cs="Times New Roman"/>
          <w:bCs w:val="0"/>
          <w:color w:val="auto"/>
          <w:kern w:val="2"/>
          <w:highlight w:val="none"/>
          <w:lang w:val="en-US" w:eastAsia="zh-CN"/>
        </w:rPr>
      </w:pPr>
      <w:r>
        <w:rPr>
          <w:rFonts w:hint="default" w:ascii="Times New Roman" w:hAnsi="Times New Roman" w:eastAsia="宋体" w:cs="Times New Roman"/>
          <w:bCs w:val="0"/>
          <w:color w:val="auto"/>
          <w:kern w:val="2"/>
          <w:highlight w:val="none"/>
          <w:lang w:val="en-US" w:eastAsia="zh-CN"/>
        </w:rPr>
        <w:t>一是伊宁县农业技术推广中心对伊宁县域主要粮油作物病虫害进行系统调查和监测，其中，2024年伊宁县小麦粮食作物统防统治覆盖面积为12.60万亩，小麦粮食作物统防统治覆盖率54.05%。玉米粮食作物统防统治覆盖面积为65.50万亩，玉米粮食作物统防统治覆盖率54.11%。</w:t>
      </w:r>
    </w:p>
    <w:p w14:paraId="71D47FDE">
      <w:pPr>
        <w:widowControl/>
        <w:adjustRightInd w:val="0"/>
        <w:snapToGrid w:val="0"/>
        <w:ind w:firstLine="640"/>
        <w:jc w:val="left"/>
        <w:rPr>
          <w:rFonts w:hint="default" w:ascii="Times New Roman" w:hAnsi="Times New Roman" w:eastAsia="宋体" w:cs="Times New Roman"/>
          <w:bCs w:val="0"/>
          <w:color w:val="auto"/>
          <w:kern w:val="2"/>
          <w:highlight w:val="none"/>
          <w:lang w:val="en-US" w:eastAsia="zh-CN"/>
        </w:rPr>
      </w:pPr>
      <w:r>
        <w:rPr>
          <w:rFonts w:hint="default" w:ascii="Times New Roman" w:hAnsi="Times New Roman" w:eastAsia="宋体" w:cs="Times New Roman"/>
          <w:bCs w:val="0"/>
          <w:color w:val="auto"/>
          <w:kern w:val="2"/>
          <w:highlight w:val="none"/>
          <w:lang w:val="en-US" w:eastAsia="zh-CN"/>
        </w:rPr>
        <w:t>二是结合县域内气候趋势预测及上年病虫害发生情况，形成中长期病虫害预测预报，目前已经发布农作物病虫预测预报15期，农作物病虫发生动态12期。</w:t>
      </w:r>
    </w:p>
    <w:p w14:paraId="33717AFE">
      <w:pPr>
        <w:widowControl/>
        <w:adjustRightInd w:val="0"/>
        <w:snapToGrid w:val="0"/>
        <w:ind w:firstLine="640"/>
        <w:jc w:val="left"/>
        <w:rPr>
          <w:rFonts w:hint="default" w:ascii="Times New Roman" w:hAnsi="Times New Roman" w:eastAsia="宋体" w:cs="Times New Roman"/>
          <w:bCs w:val="0"/>
          <w:color w:val="auto"/>
          <w:kern w:val="2"/>
          <w:highlight w:val="none"/>
          <w:lang w:val="en-US" w:eastAsia="zh-CN"/>
        </w:rPr>
      </w:pPr>
      <w:r>
        <w:rPr>
          <w:rFonts w:hint="default" w:ascii="Times New Roman" w:hAnsi="Times New Roman" w:eastAsia="宋体" w:cs="Times New Roman"/>
          <w:bCs w:val="0"/>
          <w:color w:val="auto"/>
          <w:kern w:val="2"/>
          <w:highlight w:val="none"/>
          <w:lang w:val="en-US" w:eastAsia="zh-CN"/>
        </w:rPr>
        <w:t>三是2024年建立农作物绿色防控示范区共20个，绿色防控覆盖率55.84%以上，确保优质小麦生产基地、各类高产创建示范片、绿色防控示范区实现统防统治全覆盖。</w:t>
      </w:r>
    </w:p>
    <w:p w14:paraId="22964D69">
      <w:pPr>
        <w:widowControl/>
        <w:adjustRightInd w:val="0"/>
        <w:snapToGrid w:val="0"/>
        <w:ind w:firstLine="640"/>
        <w:jc w:val="left"/>
        <w:rPr>
          <w:rFonts w:hint="default" w:ascii="Times New Roman" w:hAnsi="Times New Roman" w:eastAsia="宋体" w:cs="Times New Roman"/>
          <w:bCs w:val="0"/>
          <w:color w:val="auto"/>
          <w:kern w:val="2"/>
          <w:highlight w:val="none"/>
          <w:lang w:val="en-US" w:eastAsia="zh-CN"/>
        </w:rPr>
      </w:pPr>
      <w:r>
        <w:rPr>
          <w:rFonts w:hint="default" w:ascii="Times New Roman" w:hAnsi="Times New Roman" w:eastAsia="宋体" w:cs="Times New Roman"/>
          <w:bCs w:val="0"/>
          <w:color w:val="auto"/>
          <w:kern w:val="2"/>
          <w:highlight w:val="none"/>
          <w:lang w:val="en-US" w:eastAsia="zh-CN"/>
        </w:rPr>
        <w:t>2.农业技术宣传与技术指导服务到位</w:t>
      </w:r>
    </w:p>
    <w:p w14:paraId="629688A6">
      <w:pPr>
        <w:widowControl/>
        <w:adjustRightInd w:val="0"/>
        <w:snapToGrid w:val="0"/>
        <w:ind w:firstLine="640"/>
        <w:jc w:val="left"/>
        <w:rPr>
          <w:rFonts w:hint="default" w:ascii="Times New Roman" w:hAnsi="Times New Roman" w:eastAsia="宋体" w:cs="Times New Roman"/>
          <w:color w:val="auto"/>
          <w:kern w:val="2"/>
          <w:highlight w:val="none"/>
          <w:lang w:val="en-US" w:eastAsia="zh-CN"/>
        </w:rPr>
      </w:pPr>
      <w:r>
        <w:rPr>
          <w:rFonts w:hint="default" w:ascii="Times New Roman" w:hAnsi="Times New Roman" w:eastAsia="宋体" w:cs="Times New Roman"/>
          <w:color w:val="auto"/>
          <w:kern w:val="2"/>
          <w:highlight w:val="none"/>
          <w:lang w:val="en-US" w:eastAsia="zh-CN"/>
        </w:rPr>
        <w:t>一是依托自治区农科院土肥研究所，根据土壤分析化验结果制定测土配方施肥建议卡，通过乡村微信平台及测土配方宣传栏及纸质配方卡广泛宣传发放，让农民群众简单直观地掌握配方施肥。</w:t>
      </w:r>
    </w:p>
    <w:p w14:paraId="50A1ECDE">
      <w:pPr>
        <w:widowControl/>
        <w:adjustRightInd w:val="0"/>
        <w:snapToGrid w:val="0"/>
        <w:ind w:firstLine="640"/>
        <w:jc w:val="left"/>
        <w:rPr>
          <w:rFonts w:hint="default" w:ascii="Times New Roman" w:hAnsi="Times New Roman" w:eastAsia="宋体" w:cs="Times New Roman"/>
          <w:color w:val="auto"/>
          <w:kern w:val="2"/>
          <w:highlight w:val="none"/>
          <w:lang w:val="en-US" w:eastAsia="zh-CN"/>
        </w:rPr>
      </w:pPr>
      <w:r>
        <w:rPr>
          <w:rFonts w:hint="default" w:ascii="Times New Roman" w:hAnsi="Times New Roman" w:eastAsia="宋体" w:cs="Times New Roman"/>
          <w:color w:val="auto"/>
          <w:kern w:val="2"/>
          <w:highlight w:val="none"/>
          <w:lang w:val="en-US" w:eastAsia="zh-CN"/>
        </w:rPr>
        <w:t>二是开展冬季大培训及各类培训117期，通过培训与技术指导，推动先进种植技术的推广应用，加大粮食精准密植、水肥一体化、病虫害防治等关键技术推广应用力度，不断提高粮食单产、增总产。</w:t>
      </w:r>
    </w:p>
    <w:p w14:paraId="0C716C5B">
      <w:pPr>
        <w:pStyle w:val="5"/>
        <w:ind w:firstLine="640"/>
        <w:rPr>
          <w:rFonts w:hint="default" w:ascii="Times New Roman" w:hAnsi="Times New Roman" w:eastAsia="宋体" w:cs="Times New Roman"/>
          <w:bCs w:val="0"/>
          <w:color w:val="auto"/>
          <w:highlight w:val="none"/>
        </w:rPr>
      </w:pPr>
      <w:bookmarkStart w:id="70" w:name="_Toc4015"/>
      <w:bookmarkStart w:id="71" w:name="_Toc370"/>
      <w:bookmarkStart w:id="72" w:name="_Toc13318"/>
      <w:bookmarkStart w:id="73" w:name="_Toc10071"/>
      <w:r>
        <w:rPr>
          <w:rFonts w:hint="default" w:ascii="Times New Roman" w:hAnsi="Times New Roman" w:eastAsia="宋体" w:cs="Times New Roman"/>
          <w:bCs w:val="0"/>
          <w:color w:val="auto"/>
          <w:highlight w:val="none"/>
        </w:rPr>
        <w:t>（二）</w:t>
      </w:r>
      <w:r>
        <w:rPr>
          <w:rFonts w:hint="default" w:ascii="Times New Roman" w:hAnsi="Times New Roman" w:eastAsia="宋体" w:cs="Times New Roman"/>
          <w:bCs w:val="0"/>
          <w:color w:val="auto"/>
          <w:highlight w:val="none"/>
          <w:lang w:val="en-US" w:eastAsia="zh-CN"/>
        </w:rPr>
        <w:t>主要</w:t>
      </w:r>
      <w:r>
        <w:rPr>
          <w:rFonts w:hint="default" w:ascii="Times New Roman" w:hAnsi="Times New Roman" w:eastAsia="宋体" w:cs="Times New Roman"/>
          <w:bCs w:val="0"/>
          <w:color w:val="auto"/>
          <w:highlight w:val="none"/>
        </w:rPr>
        <w:t>存在问题</w:t>
      </w:r>
      <w:bookmarkEnd w:id="70"/>
      <w:bookmarkEnd w:id="71"/>
      <w:bookmarkEnd w:id="72"/>
      <w:r>
        <w:rPr>
          <w:rFonts w:hint="default" w:ascii="Times New Roman" w:hAnsi="Times New Roman" w:eastAsia="宋体" w:cs="Times New Roman"/>
          <w:bCs w:val="0"/>
          <w:color w:val="auto"/>
          <w:highlight w:val="none"/>
        </w:rPr>
        <w:t>及原因分析</w:t>
      </w:r>
      <w:bookmarkEnd w:id="73"/>
    </w:p>
    <w:p w14:paraId="035A5E5A">
      <w:pPr>
        <w:ind w:firstLine="422" w:firstLineChars="200"/>
        <w:rPr>
          <w:rFonts w:hint="eastAsia" w:ascii="Times New Roman" w:hAnsi="Times New Roman" w:eastAsia="宋体" w:cs="Times New Roman"/>
          <w:b/>
          <w:bCs/>
          <w:color w:val="auto"/>
          <w:highlight w:val="none"/>
          <w:lang w:val="en-US" w:eastAsia="zh-CN"/>
        </w:rPr>
      </w:pPr>
      <w:r>
        <w:rPr>
          <w:rFonts w:hint="eastAsia" w:ascii="Times New Roman" w:hAnsi="Times New Roman" w:eastAsia="宋体" w:cs="Times New Roman"/>
          <w:b/>
          <w:bCs/>
          <w:color w:val="auto"/>
          <w:highlight w:val="none"/>
          <w:lang w:val="en-US" w:eastAsia="zh-CN"/>
        </w:rPr>
        <w:t>1.单位资金支付审核不严谨</w:t>
      </w:r>
    </w:p>
    <w:p w14:paraId="0EB7C1F9">
      <w:pPr>
        <w:widowControl/>
        <w:adjustRightInd w:val="0"/>
        <w:snapToGrid w:val="0"/>
        <w:ind w:firstLine="420" w:firstLineChars="200"/>
        <w:jc w:val="left"/>
        <w:rPr>
          <w:rFonts w:hint="default" w:ascii="Times New Roman" w:hAnsi="Times New Roman" w:eastAsia="宋体" w:cs="Times New Roman"/>
          <w:bCs w:val="0"/>
          <w:color w:val="auto"/>
          <w:kern w:val="2"/>
          <w:highlight w:val="none"/>
          <w:lang w:val="en-US" w:eastAsia="zh-CN"/>
        </w:rPr>
      </w:pPr>
      <w:r>
        <w:rPr>
          <w:rFonts w:hint="default" w:ascii="Times New Roman" w:hAnsi="Times New Roman" w:eastAsia="宋体" w:cs="Times New Roman"/>
          <w:bCs w:val="0"/>
          <w:color w:val="auto"/>
          <w:kern w:val="2"/>
          <w:highlight w:val="none"/>
          <w:lang w:val="en-US" w:eastAsia="zh-CN"/>
        </w:rPr>
        <w:t>经现场抽查2024年11月22日1#记账凭证，该部门单位向伊宁边境经济合作区音速电子产品经销部支付办公用品费用0.46万元，财务凭证后附了国库集中支付回单、发票及送（销）货单，但缺失政采云平台的相关采购合同。</w:t>
      </w:r>
    </w:p>
    <w:p w14:paraId="59CDD20B">
      <w:pPr>
        <w:widowControl/>
        <w:adjustRightInd w:val="0"/>
        <w:snapToGrid w:val="0"/>
        <w:ind w:firstLine="422" w:firstLineChars="200"/>
        <w:jc w:val="left"/>
        <w:rPr>
          <w:rFonts w:hint="eastAsia" w:ascii="Times New Roman" w:hAnsi="Times New Roman" w:eastAsia="宋体" w:cs="Times New Roman"/>
          <w:b/>
          <w:bCs/>
          <w:color w:val="auto"/>
          <w:highlight w:val="none"/>
          <w:lang w:val="en-US" w:eastAsia="zh-CN"/>
        </w:rPr>
      </w:pPr>
      <w:r>
        <w:rPr>
          <w:rFonts w:hint="eastAsia" w:ascii="Times New Roman" w:hAnsi="Times New Roman" w:eastAsia="宋体" w:cs="Times New Roman"/>
          <w:b/>
          <w:bCs/>
          <w:color w:val="auto"/>
          <w:highlight w:val="none"/>
          <w:lang w:val="en-US" w:eastAsia="zh-CN"/>
        </w:rPr>
        <w:t>2.县域的粮食单产能力有待提升</w:t>
      </w:r>
    </w:p>
    <w:p w14:paraId="120034E5">
      <w:pPr>
        <w:widowControl/>
        <w:adjustRightInd w:val="0"/>
        <w:snapToGrid w:val="0"/>
        <w:ind w:firstLine="420" w:firstLineChars="200"/>
        <w:jc w:val="left"/>
        <w:rPr>
          <w:rFonts w:hint="default" w:ascii="Times New Roman" w:hAnsi="Times New Roman" w:eastAsia="宋体" w:cs="Times New Roman"/>
          <w:bCs w:val="0"/>
          <w:color w:val="auto"/>
          <w:kern w:val="2"/>
          <w:highlight w:val="none"/>
          <w:lang w:val="en-US" w:eastAsia="zh-CN"/>
        </w:rPr>
      </w:pPr>
      <w:r>
        <w:rPr>
          <w:rFonts w:hint="default" w:ascii="Times New Roman" w:hAnsi="Times New Roman" w:eastAsia="宋体" w:cs="Times New Roman"/>
          <w:color w:val="auto"/>
          <w:kern w:val="2"/>
          <w:highlight w:val="none"/>
        </w:rPr>
        <w:t>根据</w:t>
      </w:r>
      <w:r>
        <w:rPr>
          <w:rFonts w:hint="eastAsia" w:ascii="Times New Roman" w:hAnsi="Times New Roman" w:eastAsia="宋体" w:cs="Times New Roman"/>
          <w:color w:val="auto"/>
          <w:kern w:val="2"/>
          <w:highlight w:val="none"/>
          <w:lang w:val="en-US" w:eastAsia="zh-CN"/>
        </w:rPr>
        <w:t>部门单位</w:t>
      </w:r>
      <w:r>
        <w:rPr>
          <w:rFonts w:hint="default" w:ascii="Times New Roman" w:hAnsi="Times New Roman" w:eastAsia="宋体" w:cs="Times New Roman"/>
          <w:color w:val="auto"/>
          <w:kern w:val="2"/>
          <w:highlight w:val="none"/>
        </w:rPr>
        <w:t>提供</w:t>
      </w:r>
      <w:r>
        <w:rPr>
          <w:rFonts w:hint="default" w:ascii="Times New Roman" w:hAnsi="Times New Roman" w:eastAsia="宋体" w:cs="Times New Roman"/>
          <w:color w:val="auto"/>
          <w:kern w:val="2"/>
          <w:highlight w:val="none"/>
          <w:lang w:eastAsia="zh-CN"/>
        </w:rPr>
        <w:t>的</w:t>
      </w:r>
      <w:r>
        <w:rPr>
          <w:rFonts w:hint="default" w:ascii="Times New Roman" w:hAnsi="Times New Roman" w:eastAsia="宋体" w:cs="Times New Roman"/>
          <w:color w:val="auto"/>
          <w:kern w:val="2"/>
          <w:highlight w:val="none"/>
        </w:rPr>
        <w:t>《</w:t>
      </w:r>
      <w:r>
        <w:rPr>
          <w:rFonts w:hint="default" w:ascii="Times New Roman" w:hAnsi="Times New Roman" w:eastAsia="宋体" w:cs="Times New Roman"/>
          <w:color w:val="auto"/>
          <w:kern w:val="2"/>
          <w:highlight w:val="none"/>
          <w:lang w:val="en-US" w:eastAsia="zh-CN"/>
        </w:rPr>
        <w:t>伊宁县2024年冬小麦测产数据统计表</w:t>
      </w:r>
      <w:r>
        <w:rPr>
          <w:rFonts w:hint="default" w:ascii="Times New Roman" w:hAnsi="Times New Roman" w:eastAsia="宋体" w:cs="Times New Roman"/>
          <w:color w:val="auto"/>
          <w:kern w:val="2"/>
          <w:highlight w:val="none"/>
        </w:rPr>
        <w:t>》《</w:t>
      </w:r>
      <w:r>
        <w:rPr>
          <w:rFonts w:hint="default" w:ascii="Times New Roman" w:hAnsi="Times New Roman" w:eastAsia="宋体" w:cs="Times New Roman"/>
          <w:color w:val="auto"/>
          <w:kern w:val="2"/>
          <w:highlight w:val="none"/>
          <w:lang w:val="en-US" w:eastAsia="zh-CN"/>
        </w:rPr>
        <w:t>伊宁县2023年冬小麦测产数据统计表</w:t>
      </w:r>
      <w:r>
        <w:rPr>
          <w:rFonts w:hint="default" w:ascii="Times New Roman" w:hAnsi="Times New Roman" w:eastAsia="宋体" w:cs="Times New Roman"/>
          <w:color w:val="auto"/>
          <w:kern w:val="2"/>
          <w:highlight w:val="none"/>
        </w:rPr>
        <w:t>》</w:t>
      </w:r>
      <w:r>
        <w:rPr>
          <w:rFonts w:hint="eastAsia" w:ascii="Times New Roman" w:hAnsi="Times New Roman" w:eastAsia="宋体" w:cs="Times New Roman"/>
          <w:color w:val="auto"/>
          <w:kern w:val="2"/>
          <w:highlight w:val="none"/>
          <w:lang w:val="en-US" w:eastAsia="zh-CN"/>
        </w:rPr>
        <w:t>对比可知，</w:t>
      </w:r>
      <w:r>
        <w:rPr>
          <w:rFonts w:hint="default" w:ascii="Times New Roman" w:hAnsi="Times New Roman" w:eastAsia="宋体" w:cs="Times New Roman"/>
          <w:color w:val="auto"/>
          <w:kern w:val="2"/>
          <w:highlight w:val="none"/>
        </w:rPr>
        <w:t>202</w:t>
      </w:r>
      <w:r>
        <w:rPr>
          <w:rFonts w:hint="default" w:ascii="Times New Roman" w:hAnsi="Times New Roman" w:eastAsia="宋体" w:cs="Times New Roman"/>
          <w:color w:val="auto"/>
          <w:kern w:val="2"/>
          <w:highlight w:val="none"/>
          <w:lang w:val="en-US" w:eastAsia="zh-CN"/>
        </w:rPr>
        <w:t>4</w:t>
      </w:r>
      <w:r>
        <w:rPr>
          <w:rFonts w:hint="default" w:ascii="Times New Roman" w:hAnsi="Times New Roman" w:eastAsia="宋体" w:cs="Times New Roman"/>
          <w:color w:val="auto"/>
          <w:kern w:val="2"/>
          <w:highlight w:val="none"/>
        </w:rPr>
        <w:t>年</w:t>
      </w:r>
      <w:r>
        <w:rPr>
          <w:rFonts w:hint="default" w:ascii="Times New Roman" w:hAnsi="Times New Roman" w:eastAsia="宋体" w:cs="Times New Roman"/>
          <w:bCs w:val="0"/>
          <w:color w:val="auto"/>
          <w:kern w:val="2"/>
          <w:highlight w:val="none"/>
        </w:rPr>
        <w:t>伊宁</w:t>
      </w:r>
      <w:r>
        <w:rPr>
          <w:rFonts w:hint="default" w:ascii="Times New Roman" w:hAnsi="Times New Roman" w:eastAsia="宋体" w:cs="Times New Roman"/>
          <w:color w:val="auto"/>
          <w:kern w:val="2"/>
          <w:highlight w:val="none"/>
          <w:lang w:val="en-US" w:eastAsia="zh-CN"/>
        </w:rPr>
        <w:t>县</w:t>
      </w:r>
      <w:r>
        <w:rPr>
          <w:rFonts w:hint="eastAsia" w:ascii="Times New Roman" w:hAnsi="Times New Roman" w:eastAsia="宋体" w:cs="Times New Roman"/>
          <w:color w:val="auto"/>
          <w:kern w:val="2"/>
          <w:highlight w:val="none"/>
          <w:lang w:val="en-US" w:eastAsia="zh-CN"/>
        </w:rPr>
        <w:t>的小麦、玉米等粮食单产较上一年度有所下降，经沟通了解可知单产</w:t>
      </w:r>
      <w:r>
        <w:rPr>
          <w:rFonts w:hint="default" w:ascii="Times New Roman" w:hAnsi="Times New Roman" w:eastAsia="宋体" w:cs="Times New Roman"/>
          <w:b w:val="0"/>
          <w:color w:val="auto"/>
          <w:kern w:val="2"/>
          <w:highlight w:val="none"/>
          <w:lang w:val="en-US" w:eastAsia="zh-CN"/>
        </w:rPr>
        <w:t>减产的原因</w:t>
      </w:r>
      <w:r>
        <w:rPr>
          <w:rFonts w:hint="eastAsia" w:ascii="Times New Roman" w:hAnsi="Times New Roman" w:eastAsia="宋体" w:cs="Times New Roman"/>
          <w:b w:val="0"/>
          <w:color w:val="auto"/>
          <w:kern w:val="2"/>
          <w:highlight w:val="none"/>
          <w:lang w:val="en-US" w:eastAsia="zh-CN"/>
        </w:rPr>
        <w:t>主要</w:t>
      </w:r>
      <w:r>
        <w:rPr>
          <w:rFonts w:hint="default" w:ascii="Times New Roman" w:hAnsi="Times New Roman" w:eastAsia="宋体" w:cs="Times New Roman"/>
          <w:b w:val="0"/>
          <w:color w:val="auto"/>
          <w:kern w:val="2"/>
          <w:highlight w:val="none"/>
          <w:lang w:val="en-US" w:eastAsia="zh-CN"/>
        </w:rPr>
        <w:t>为：</w:t>
      </w:r>
      <w:r>
        <w:rPr>
          <w:rFonts w:hint="default" w:ascii="Times New Roman" w:hAnsi="Times New Roman" w:eastAsia="宋体" w:cs="Times New Roman"/>
          <w:bCs w:val="0"/>
          <w:color w:val="auto"/>
          <w:kern w:val="2"/>
          <w:highlight w:val="none"/>
          <w:lang w:val="en-US" w:eastAsia="zh-CN"/>
        </w:rPr>
        <w:t>①高产田地块数量2024年比2023年增加、2024年取样面积比2023年增多，冬小麦高产田地块数量增加56块</w:t>
      </w:r>
      <w:r>
        <w:rPr>
          <w:rFonts w:hint="eastAsia" w:ascii="Times New Roman" w:hAnsi="Times New Roman" w:eastAsia="宋体" w:cs="Times New Roman"/>
          <w:bCs w:val="0"/>
          <w:color w:val="auto"/>
          <w:kern w:val="2"/>
          <w:highlight w:val="none"/>
          <w:lang w:val="en-US" w:eastAsia="zh-CN"/>
        </w:rPr>
        <w:t>共</w:t>
      </w:r>
      <w:r>
        <w:rPr>
          <w:rFonts w:hint="default" w:ascii="Times New Roman" w:hAnsi="Times New Roman" w:eastAsia="宋体" w:cs="Times New Roman"/>
          <w:bCs w:val="0"/>
          <w:color w:val="auto"/>
          <w:kern w:val="2"/>
          <w:highlight w:val="none"/>
          <w:lang w:val="en-US" w:eastAsia="zh-CN"/>
        </w:rPr>
        <w:t>增加面积36,324.00亩</w:t>
      </w:r>
      <w:r>
        <w:rPr>
          <w:rFonts w:hint="eastAsia" w:ascii="Times New Roman" w:hAnsi="Times New Roman" w:eastAsia="宋体" w:cs="Times New Roman"/>
          <w:bCs w:val="0"/>
          <w:color w:val="auto"/>
          <w:kern w:val="2"/>
          <w:highlight w:val="none"/>
          <w:lang w:val="en-US" w:eastAsia="zh-CN"/>
        </w:rPr>
        <w:t>，</w:t>
      </w:r>
      <w:r>
        <w:rPr>
          <w:rFonts w:hint="default" w:ascii="Times New Roman" w:hAnsi="Times New Roman" w:eastAsia="宋体" w:cs="Times New Roman"/>
          <w:bCs w:val="0"/>
          <w:color w:val="auto"/>
          <w:kern w:val="2"/>
          <w:highlight w:val="none"/>
          <w:lang w:val="en-US" w:eastAsia="zh-CN"/>
        </w:rPr>
        <w:t>玉米高产田地块增加37块</w:t>
      </w:r>
      <w:r>
        <w:rPr>
          <w:rFonts w:hint="eastAsia" w:ascii="Times New Roman" w:hAnsi="Times New Roman" w:eastAsia="宋体" w:cs="Times New Roman"/>
          <w:bCs w:val="0"/>
          <w:color w:val="auto"/>
          <w:kern w:val="2"/>
          <w:highlight w:val="none"/>
          <w:lang w:val="en-US" w:eastAsia="zh-CN"/>
        </w:rPr>
        <w:t>共</w:t>
      </w:r>
      <w:r>
        <w:rPr>
          <w:rFonts w:hint="default" w:ascii="Times New Roman" w:hAnsi="Times New Roman" w:eastAsia="宋体" w:cs="Times New Roman"/>
          <w:bCs w:val="0"/>
          <w:color w:val="auto"/>
          <w:kern w:val="2"/>
          <w:highlight w:val="none"/>
          <w:lang w:val="en-US" w:eastAsia="zh-CN"/>
        </w:rPr>
        <w:t>增加面积87,451.00亩；②天气因素导致农作物减产，2024年1月份冬小麦积雪没有覆盖裸露出现冻害、4月份回寒天气低温影响冬小麦产量和玉米播种时间；③病虫害也是导致农作物减产的原因，2024年主要农作物病虫害发生面积比2023年增加3.01万亩。</w:t>
      </w:r>
    </w:p>
    <w:p w14:paraId="52D186AE">
      <w:pPr>
        <w:pStyle w:val="5"/>
        <w:ind w:firstLine="640"/>
        <w:rPr>
          <w:rFonts w:hint="default" w:ascii="Times New Roman" w:hAnsi="Times New Roman" w:eastAsia="宋体" w:cs="Times New Roman"/>
          <w:bCs w:val="0"/>
          <w:color w:val="auto"/>
          <w:highlight w:val="none"/>
        </w:rPr>
      </w:pPr>
      <w:bookmarkStart w:id="74" w:name="_Toc10568"/>
      <w:r>
        <w:rPr>
          <w:rFonts w:hint="default" w:ascii="Times New Roman" w:hAnsi="Times New Roman" w:eastAsia="宋体" w:cs="Times New Roman"/>
          <w:bCs w:val="0"/>
          <w:color w:val="auto"/>
          <w:highlight w:val="none"/>
        </w:rPr>
        <w:t>（三）改进建议</w:t>
      </w:r>
      <w:bookmarkEnd w:id="74"/>
    </w:p>
    <w:p w14:paraId="2B8533FF">
      <w:pPr>
        <w:numPr>
          <w:ilvl w:val="0"/>
          <w:numId w:val="0"/>
        </w:numPr>
        <w:ind w:firstLine="422"/>
        <w:rPr>
          <w:rFonts w:hint="eastAsia" w:ascii="Times New Roman" w:hAnsi="Times New Roman" w:eastAsia="宋体" w:cs="Times New Roman"/>
          <w:b/>
          <w:bCs/>
          <w:color w:val="auto"/>
          <w:highlight w:val="none"/>
        </w:rPr>
      </w:pPr>
      <w:bookmarkStart w:id="75" w:name="_Toc32445"/>
      <w:bookmarkStart w:id="76" w:name="_Toc23230"/>
      <w:r>
        <w:rPr>
          <w:rFonts w:hint="eastAsia" w:ascii="Times New Roman" w:hAnsi="Times New Roman" w:eastAsia="宋体" w:cs="Times New Roman"/>
          <w:b/>
          <w:bCs/>
          <w:color w:val="auto"/>
          <w:sz w:val="21"/>
          <w:szCs w:val="21"/>
          <w:highlight w:val="none"/>
          <w:lang w:val="en-US" w:eastAsia="zh-CN" w:bidi="ar-SA"/>
        </w:rPr>
        <w:t>1.</w:t>
      </w:r>
      <w:r>
        <w:rPr>
          <w:rFonts w:hint="eastAsia" w:ascii="Times New Roman" w:hAnsi="Times New Roman" w:eastAsia="宋体" w:cs="Times New Roman"/>
          <w:b/>
          <w:bCs/>
          <w:color w:val="auto"/>
          <w:highlight w:val="none"/>
        </w:rPr>
        <w:t>进一步加强财务管理的规范性</w:t>
      </w:r>
    </w:p>
    <w:p w14:paraId="1114ED3F">
      <w:pPr>
        <w:ind w:firstLine="422"/>
        <w:rPr>
          <w:rFonts w:hint="eastAsia" w:ascii="Times New Roman" w:hAnsi="Times New Roman" w:eastAsia="宋体" w:cs="Times New Roman"/>
          <w:b w:val="0"/>
          <w:bCs/>
          <w:color w:val="auto"/>
          <w:kern w:val="0"/>
          <w:sz w:val="21"/>
          <w:szCs w:val="21"/>
          <w:highlight w:val="none"/>
          <w:lang w:val="en-US" w:eastAsia="zh-CN" w:bidi="ar-SA"/>
        </w:rPr>
      </w:pPr>
      <w:r>
        <w:rPr>
          <w:rFonts w:hint="eastAsia" w:ascii="Times New Roman" w:hAnsi="Times New Roman" w:eastAsia="宋体" w:cs="Times New Roman"/>
          <w:b w:val="0"/>
          <w:bCs/>
          <w:color w:val="auto"/>
          <w:kern w:val="0"/>
          <w:sz w:val="21"/>
          <w:szCs w:val="21"/>
          <w:highlight w:val="none"/>
          <w:lang w:val="en-US" w:eastAsia="zh-CN" w:bidi="ar-SA"/>
        </w:rPr>
        <w:t>建议部门单位严格按照国家财经法规和财务管理制度相关规定加强财务管理，确保各岗位审批职责落实到位，规范开展财务支出审批程序；加强单位内部监督检查力度，对经济业务活动进行全面检查和评估，及时发现问题并积极进行整改，确保财务管理规范性；定期组织财务、业务部门进行专题培训，针对</w:t>
      </w:r>
      <w:r>
        <w:rPr>
          <w:rFonts w:hint="eastAsia" w:ascii="Times New Roman" w:hAnsi="Times New Roman" w:eastAsia="宋体" w:cs="Times New Roman"/>
          <w:b w:val="0"/>
          <w:i w:val="0"/>
          <w:iCs w:val="0"/>
          <w:caps w:val="0"/>
          <w:color w:val="auto"/>
          <w:spacing w:val="0"/>
          <w:kern w:val="0"/>
          <w:sz w:val="21"/>
          <w:szCs w:val="21"/>
          <w:highlight w:val="none"/>
          <w:shd w:val="clear"/>
        </w:rPr>
        <w:t>政府采购讲解流程规范、供应商选择、合同管理及质疑投诉处理</w:t>
      </w:r>
      <w:r>
        <w:rPr>
          <w:rFonts w:hint="eastAsia" w:ascii="Times New Roman" w:hAnsi="Times New Roman" w:eastAsia="宋体" w:cs="Times New Roman"/>
          <w:b w:val="0"/>
          <w:i w:val="0"/>
          <w:iCs w:val="0"/>
          <w:caps w:val="0"/>
          <w:color w:val="auto"/>
          <w:spacing w:val="0"/>
          <w:kern w:val="0"/>
          <w:sz w:val="21"/>
          <w:szCs w:val="21"/>
          <w:highlight w:val="none"/>
          <w:shd w:val="clear"/>
          <w:lang w:eastAsia="zh-CN"/>
        </w:rPr>
        <w:t>，</w:t>
      </w:r>
      <w:r>
        <w:rPr>
          <w:rFonts w:hint="eastAsia" w:ascii="Times New Roman" w:hAnsi="Times New Roman" w:eastAsia="宋体" w:cs="Times New Roman"/>
          <w:b w:val="0"/>
          <w:i w:val="0"/>
          <w:iCs w:val="0"/>
          <w:caps w:val="0"/>
          <w:color w:val="auto"/>
          <w:spacing w:val="0"/>
          <w:kern w:val="0"/>
          <w:sz w:val="21"/>
          <w:szCs w:val="21"/>
          <w:highlight w:val="none"/>
          <w:shd w:val="clear"/>
        </w:rPr>
        <w:t>差旅费明确报销标准、审批流程、票据要求及特殊情况处理</w:t>
      </w:r>
      <w:r>
        <w:rPr>
          <w:rFonts w:hint="eastAsia" w:ascii="Times New Roman" w:hAnsi="Times New Roman" w:eastAsia="宋体" w:cs="Times New Roman"/>
          <w:b w:val="0"/>
          <w:i w:val="0"/>
          <w:iCs w:val="0"/>
          <w:caps w:val="0"/>
          <w:color w:val="auto"/>
          <w:spacing w:val="0"/>
          <w:kern w:val="0"/>
          <w:sz w:val="21"/>
          <w:szCs w:val="21"/>
          <w:highlight w:val="none"/>
          <w:shd w:val="clear"/>
          <w:lang w:eastAsia="zh-CN"/>
        </w:rPr>
        <w:t>，</w:t>
      </w:r>
      <w:r>
        <w:rPr>
          <w:rFonts w:hint="eastAsia" w:ascii="Times New Roman" w:hAnsi="Times New Roman" w:eastAsia="宋体" w:cs="Times New Roman"/>
          <w:b w:val="0"/>
          <w:i w:val="0"/>
          <w:iCs w:val="0"/>
          <w:caps w:val="0"/>
          <w:color w:val="auto"/>
          <w:spacing w:val="0"/>
          <w:kern w:val="0"/>
          <w:sz w:val="21"/>
          <w:szCs w:val="21"/>
          <w:highlight w:val="none"/>
          <w:shd w:val="clear"/>
        </w:rPr>
        <w:t>费用报销及合规性把控</w:t>
      </w:r>
      <w:r>
        <w:rPr>
          <w:rFonts w:hint="eastAsia" w:ascii="Times New Roman" w:hAnsi="Times New Roman" w:eastAsia="宋体" w:cs="Times New Roman"/>
          <w:b w:val="0"/>
          <w:i w:val="0"/>
          <w:iCs w:val="0"/>
          <w:caps w:val="0"/>
          <w:color w:val="auto"/>
          <w:spacing w:val="0"/>
          <w:kern w:val="0"/>
          <w:sz w:val="21"/>
          <w:szCs w:val="21"/>
          <w:highlight w:val="none"/>
          <w:shd w:val="clear"/>
          <w:lang w:val="en-US" w:eastAsia="zh-CN"/>
        </w:rPr>
        <w:t>等内容进行培训</w:t>
      </w:r>
      <w:r>
        <w:rPr>
          <w:rFonts w:hint="eastAsia" w:ascii="Times New Roman" w:hAnsi="Times New Roman" w:eastAsia="宋体" w:cs="Times New Roman"/>
          <w:b w:val="0"/>
          <w:i w:val="0"/>
          <w:iCs w:val="0"/>
          <w:caps w:val="0"/>
          <w:color w:val="auto"/>
          <w:spacing w:val="0"/>
          <w:kern w:val="0"/>
          <w:sz w:val="21"/>
          <w:szCs w:val="21"/>
          <w:highlight w:val="none"/>
          <w:shd w:val="clear"/>
          <w:lang w:eastAsia="zh-CN"/>
        </w:rPr>
        <w:t>，</w:t>
      </w:r>
      <w:r>
        <w:rPr>
          <w:rFonts w:hint="eastAsia" w:ascii="Times New Roman" w:hAnsi="Times New Roman" w:eastAsia="宋体" w:cs="Times New Roman"/>
          <w:b w:val="0"/>
          <w:i w:val="0"/>
          <w:iCs w:val="0"/>
          <w:caps w:val="0"/>
          <w:color w:val="auto"/>
          <w:spacing w:val="0"/>
          <w:kern w:val="0"/>
          <w:sz w:val="21"/>
          <w:szCs w:val="21"/>
          <w:highlight w:val="none"/>
          <w:shd w:val="clear"/>
          <w:lang w:val="en-US" w:eastAsia="zh-CN"/>
        </w:rPr>
        <w:t>不断提升单位内部人员的业务能力</w:t>
      </w:r>
      <w:r>
        <w:rPr>
          <w:rFonts w:hint="eastAsia" w:ascii="Times New Roman" w:hAnsi="Times New Roman" w:eastAsia="宋体" w:cs="Times New Roman"/>
          <w:highlight w:val="none"/>
          <w:lang w:eastAsia="zh-CN"/>
        </w:rPr>
        <w:t>，</w:t>
      </w:r>
      <w:r>
        <w:rPr>
          <w:rFonts w:hint="eastAsia" w:ascii="Times New Roman" w:hAnsi="Times New Roman" w:eastAsia="宋体" w:cs="Times New Roman"/>
          <w:b w:val="0"/>
          <w:i w:val="0"/>
          <w:iCs w:val="0"/>
          <w:caps w:val="0"/>
          <w:color w:val="auto"/>
          <w:spacing w:val="0"/>
          <w:kern w:val="0"/>
          <w:sz w:val="21"/>
          <w:szCs w:val="21"/>
          <w:highlight w:val="none"/>
          <w:shd w:val="clear"/>
        </w:rPr>
        <w:t>防范廉政与财务风险，提升资金效益，助力单位高效运转。</w:t>
      </w:r>
    </w:p>
    <w:p w14:paraId="75002BFA">
      <w:pPr>
        <w:wordWrap w:val="0"/>
        <w:topLinePunct/>
        <w:ind w:firstLine="420"/>
        <w:rPr>
          <w:rFonts w:hint="default" w:ascii="Times New Roman" w:hAnsi="Times New Roman" w:eastAsia="宋体" w:cs="Times New Roman"/>
          <w:b/>
          <w:bCs/>
          <w:color w:val="auto"/>
          <w:highlight w:val="none"/>
          <w:lang w:val="en-US" w:eastAsia="zh-CN"/>
        </w:rPr>
      </w:pPr>
      <w:r>
        <w:rPr>
          <w:rFonts w:hint="eastAsia" w:ascii="Times New Roman" w:hAnsi="Times New Roman" w:eastAsia="宋体" w:cs="Times New Roman"/>
          <w:b/>
          <w:bCs/>
          <w:color w:val="auto"/>
          <w:highlight w:val="none"/>
          <w:lang w:val="en-US" w:eastAsia="zh-CN"/>
        </w:rPr>
        <w:t>2.加强病虫害预警监测，以及培训宣传和技术指导服务工作，促进农业增效</w:t>
      </w:r>
    </w:p>
    <w:p w14:paraId="01DD2874">
      <w:pPr>
        <w:wordWrap w:val="0"/>
        <w:topLinePunct/>
        <w:ind w:firstLine="420"/>
        <w:rPr>
          <w:rFonts w:hint="eastAsia" w:ascii="Times New Roman" w:hAnsi="Times New Roman" w:eastAsia="宋体" w:cs="Times New Roman"/>
          <w:b w:val="0"/>
          <w:bCs w:val="0"/>
          <w:color w:val="auto"/>
          <w:highlight w:val="none"/>
          <w:lang w:val="en-US" w:eastAsia="zh-CN"/>
        </w:rPr>
      </w:pPr>
      <w:r>
        <w:rPr>
          <w:rFonts w:hint="eastAsia" w:ascii="Times New Roman" w:hAnsi="Times New Roman" w:eastAsia="宋体" w:cs="Times New Roman"/>
          <w:b w:val="0"/>
          <w:bCs w:val="0"/>
          <w:color w:val="auto"/>
          <w:highlight w:val="none"/>
          <w:lang w:val="en-US" w:eastAsia="zh-CN"/>
        </w:rPr>
        <w:t>建议部门：一是利用冬季大培训、田间课堂等形式，通过课堂理论、田间实践等模式，多种渠道、采取多种形式加强培训宣传及技术指导服务，提升农民群众科学施肥、绿色防控病虫害、科学种粮等技术水平，促进农业增效。二是用好“四定一查”,加强病虫害预警监测，多渠道宣传发布农作物病虫害发生动态和预报病情，强化群众预防和应对处置农业病虫害发生的意识。三是强化高产田的包联，强化粮油作物全生命周期的技术管护，实现主要粮食作物单产再提升，促进农业增效。</w:t>
      </w:r>
    </w:p>
    <w:p w14:paraId="524261CE">
      <w:pPr>
        <w:pStyle w:val="4"/>
        <w:ind w:firstLine="640"/>
        <w:rPr>
          <w:rFonts w:hint="default" w:ascii="Times New Roman" w:hAnsi="Times New Roman" w:eastAsia="宋体" w:cs="Times New Roman"/>
          <w:b/>
          <w:bCs w:val="0"/>
          <w:color w:val="auto"/>
          <w:highlight w:val="none"/>
        </w:rPr>
      </w:pPr>
      <w:r>
        <w:rPr>
          <w:rFonts w:hint="default" w:ascii="Times New Roman" w:hAnsi="Times New Roman" w:eastAsia="宋体" w:cs="Times New Roman"/>
          <w:b/>
          <w:bCs w:val="0"/>
          <w:color w:val="auto"/>
          <w:highlight w:val="none"/>
        </w:rPr>
        <w:t>六、其他需要说明的问题</w:t>
      </w:r>
      <w:bookmarkEnd w:id="75"/>
      <w:bookmarkEnd w:id="76"/>
    </w:p>
    <w:p w14:paraId="7805A1BE">
      <w:pPr>
        <w:ind w:firstLine="640"/>
        <w:rPr>
          <w:rFonts w:hint="eastAsia" w:ascii="Times New Roman" w:hAnsi="Times New Roman" w:eastAsia="宋体" w:cs="Times New Roman"/>
          <w:bCs/>
          <w:color w:val="auto"/>
          <w:highlight w:val="none"/>
        </w:rPr>
      </w:pPr>
      <w:r>
        <w:rPr>
          <w:rFonts w:hint="default" w:ascii="Times New Roman" w:hAnsi="Times New Roman" w:eastAsia="宋体" w:cs="Times New Roman"/>
          <w:bCs w:val="0"/>
          <w:color w:val="auto"/>
          <w:kern w:val="2"/>
          <w:highlight w:val="none"/>
        </w:rPr>
        <w:t>被评价单位的责任是提供与形成本次绩效评价报告相关的基础工作材料和相关资金财务核算资料，并对其真实性、合法性、 完整性负责。评价机构参照《自治区财政支出绩效评价管理暂行办法》（新财预〔2018〕189号）、</w:t>
      </w:r>
      <w:r>
        <w:rPr>
          <w:rFonts w:hint="default" w:ascii="Times New Roman" w:hAnsi="Times New Roman" w:eastAsia="宋体" w:cs="Times New Roman"/>
          <w:bCs w:val="0"/>
          <w:color w:val="auto"/>
          <w:kern w:val="2"/>
          <w:highlight w:val="none"/>
          <w:lang w:val="en-US" w:eastAsia="zh-CN"/>
        </w:rPr>
        <w:t>财政厅绩效评价中心印发</w:t>
      </w:r>
      <w:r>
        <w:rPr>
          <w:rFonts w:hint="default" w:ascii="Times New Roman" w:hAnsi="Times New Roman" w:eastAsia="宋体" w:cs="Times New Roman"/>
          <w:bCs w:val="0"/>
          <w:color w:val="auto"/>
          <w:kern w:val="2"/>
          <w:highlight w:val="none"/>
        </w:rPr>
        <w:t>《关于参照使用预算绩效评价指标体</w:t>
      </w:r>
      <w:r>
        <w:rPr>
          <w:rFonts w:hint="default" w:ascii="Times New Roman" w:hAnsi="Times New Roman" w:eastAsia="宋体" w:cs="Times New Roman"/>
          <w:bCs w:val="0"/>
          <w:color w:val="auto"/>
          <w:kern w:val="2"/>
          <w:highlight w:val="none"/>
          <w:lang w:eastAsia="zh-CN"/>
        </w:rPr>
        <w:t>系的</w:t>
      </w:r>
      <w:r>
        <w:rPr>
          <w:rFonts w:hint="default" w:ascii="Times New Roman" w:hAnsi="Times New Roman" w:eastAsia="宋体" w:cs="Times New Roman"/>
          <w:bCs w:val="0"/>
          <w:color w:val="auto"/>
          <w:kern w:val="2"/>
          <w:highlight w:val="none"/>
        </w:rPr>
        <w:t>通知》</w:t>
      </w:r>
      <w:r>
        <w:rPr>
          <w:rFonts w:hint="default" w:ascii="Times New Roman" w:hAnsi="Times New Roman" w:eastAsia="宋体" w:cs="Times New Roman"/>
          <w:bCs w:val="0"/>
          <w:color w:val="auto"/>
          <w:kern w:val="2"/>
          <w:highlight w:val="none"/>
          <w:lang w:val="en-US" w:eastAsia="zh-CN"/>
        </w:rPr>
        <w:t>等政策依据</w:t>
      </w:r>
      <w:r>
        <w:rPr>
          <w:rFonts w:hint="default" w:ascii="Times New Roman" w:hAnsi="Times New Roman" w:eastAsia="宋体" w:cs="Times New Roman"/>
          <w:bCs w:val="0"/>
          <w:color w:val="auto"/>
          <w:kern w:val="2"/>
          <w:highlight w:val="none"/>
        </w:rPr>
        <w:t>进行评</w:t>
      </w:r>
      <w:r>
        <w:rPr>
          <w:rFonts w:hint="eastAsia" w:ascii="Times New Roman" w:hAnsi="Times New Roman" w:eastAsia="宋体" w:cs="Times New Roman"/>
          <w:bCs/>
          <w:color w:val="auto"/>
          <w:highlight w:val="none"/>
        </w:rPr>
        <w:t xml:space="preserve">价，选择的绩效评价程序取决于评估人员的判断，部门整体支出评价的可靠性基于相关部门和单位提供资料的全面性和准确性，评价工作组尽可能地收集更为全面、有效、准确的文件和数据，但由于受客观因素的限制，只能在相关部门和单位提供的现有资料的前提下，结合应有的职业判断做出尽可能可靠的评价结论。 </w:t>
      </w:r>
    </w:p>
    <w:p w14:paraId="5AFD2092">
      <w:pPr>
        <w:pStyle w:val="27"/>
        <w:rPr>
          <w:rFonts w:hint="default" w:ascii="Times New Roman" w:hAnsi="Times New Roman" w:eastAsia="宋体" w:cs="Times New Roman"/>
          <w:highlight w:val="none"/>
          <w:lang w:val="en-US" w:eastAsia="zh-CN"/>
        </w:rPr>
      </w:pPr>
    </w:p>
    <w:p w14:paraId="51155F3E">
      <w:pPr>
        <w:ind w:firstLine="640"/>
        <w:jc w:val="center"/>
        <w:rPr>
          <w:rFonts w:hint="eastAsia" w:ascii="Times New Roman" w:hAnsi="Times New Roman" w:eastAsia="宋体" w:cs="Times New Roman"/>
          <w:b w:val="0"/>
          <w:bCs/>
          <w:color w:val="auto"/>
          <w:highlight w:val="none"/>
        </w:rPr>
      </w:pPr>
      <w:r>
        <w:rPr>
          <w:rFonts w:hint="eastAsia" w:ascii="Times New Roman" w:hAnsi="Times New Roman" w:eastAsia="宋体" w:cs="Times New Roman"/>
          <w:b/>
          <w:color w:val="auto"/>
          <w:highlight w:val="none"/>
          <w:lang w:val="en-US" w:eastAsia="zh-CN"/>
        </w:rPr>
        <w:t xml:space="preserve">                       </w:t>
      </w:r>
      <w:r>
        <w:rPr>
          <w:rFonts w:hint="eastAsia" w:ascii="Times New Roman" w:hAnsi="Times New Roman" w:eastAsia="宋体" w:cs="Times New Roman"/>
          <w:b w:val="0"/>
          <w:bCs/>
          <w:color w:val="auto"/>
          <w:highlight w:val="none"/>
        </w:rPr>
        <w:t>评价机构：新疆驰远天合有限责任会计师事务所</w:t>
      </w:r>
    </w:p>
    <w:p w14:paraId="7F061E7B">
      <w:pPr>
        <w:ind w:firstLine="3360" w:firstLineChars="1600"/>
        <w:rPr>
          <w:rFonts w:hint="eastAsia" w:ascii="Times New Roman" w:hAnsi="Times New Roman" w:eastAsia="宋体" w:cs="Times New Roman"/>
          <w:b w:val="0"/>
          <w:bCs/>
          <w:color w:val="auto"/>
          <w:highlight w:val="none"/>
        </w:rPr>
        <w:sectPr>
          <w:footerReference r:id="rId10" w:type="default"/>
          <w:pgSz w:w="11906" w:h="16838"/>
          <w:pgMar w:top="1440" w:right="1800" w:bottom="1440" w:left="1800" w:header="851" w:footer="907" w:gutter="0"/>
          <w:pgBorders>
            <w:top w:val="none" w:sz="0" w:space="0"/>
            <w:left w:val="none" w:sz="0" w:space="0"/>
            <w:bottom w:val="none" w:sz="0" w:space="0"/>
            <w:right w:val="none" w:sz="0" w:space="0"/>
          </w:pgBorders>
          <w:pgNumType w:fmt="decimal" w:start="1"/>
          <w:cols w:space="425" w:num="1"/>
          <w:docGrid w:type="lines" w:linePitch="312" w:charSpace="0"/>
        </w:sectPr>
      </w:pPr>
      <w:r>
        <w:rPr>
          <w:rFonts w:hint="eastAsia" w:ascii="Times New Roman" w:hAnsi="Times New Roman" w:eastAsia="宋体" w:cs="Times New Roman"/>
          <w:b w:val="0"/>
          <w:bCs/>
          <w:color w:val="auto"/>
          <w:highlight w:val="none"/>
        </w:rPr>
        <w:t>评价时间：202</w:t>
      </w:r>
      <w:r>
        <w:rPr>
          <w:rFonts w:hint="eastAsia" w:ascii="Times New Roman" w:hAnsi="Times New Roman" w:eastAsia="宋体" w:cs="Times New Roman"/>
          <w:b w:val="0"/>
          <w:bCs/>
          <w:color w:val="auto"/>
          <w:highlight w:val="none"/>
          <w:lang w:val="en-US" w:eastAsia="zh-CN"/>
        </w:rPr>
        <w:t>5</w:t>
      </w:r>
      <w:r>
        <w:rPr>
          <w:rFonts w:hint="eastAsia" w:ascii="Times New Roman" w:hAnsi="Times New Roman" w:eastAsia="宋体" w:cs="Times New Roman"/>
          <w:b w:val="0"/>
          <w:bCs/>
          <w:color w:val="auto"/>
          <w:highlight w:val="none"/>
        </w:rPr>
        <w:t>年</w:t>
      </w:r>
      <w:r>
        <w:rPr>
          <w:rFonts w:hint="eastAsia" w:ascii="Times New Roman" w:hAnsi="Times New Roman" w:eastAsia="宋体" w:cs="Times New Roman"/>
          <w:b w:val="0"/>
          <w:bCs/>
          <w:color w:val="auto"/>
          <w:highlight w:val="none"/>
          <w:lang w:val="en-US" w:eastAsia="zh-CN"/>
        </w:rPr>
        <w:t>7</w:t>
      </w:r>
      <w:r>
        <w:rPr>
          <w:rFonts w:hint="eastAsia" w:ascii="Times New Roman" w:hAnsi="Times New Roman" w:eastAsia="宋体" w:cs="Times New Roman"/>
          <w:b w:val="0"/>
          <w:bCs/>
          <w:color w:val="auto"/>
          <w:highlight w:val="none"/>
        </w:rPr>
        <w:t>月</w:t>
      </w:r>
    </w:p>
    <w:p w14:paraId="5AF58954">
      <w:pPr>
        <w:pStyle w:val="4"/>
        <w:ind w:firstLine="0" w:firstLineChars="0"/>
        <w:rPr>
          <w:rFonts w:hint="default" w:ascii="Times New Roman" w:hAnsi="Times New Roman" w:eastAsia="宋体" w:cs="Times New Roman"/>
          <w:color w:val="auto"/>
          <w:highlight w:val="none"/>
        </w:rPr>
      </w:pPr>
      <w:bookmarkStart w:id="77" w:name="_Toc29931"/>
      <w:r>
        <w:rPr>
          <w:rFonts w:hint="default" w:ascii="Times New Roman" w:hAnsi="Times New Roman" w:eastAsia="宋体" w:cs="Times New Roman"/>
          <w:color w:val="auto"/>
          <w:highlight w:val="none"/>
        </w:rPr>
        <w:t>附件1：绩效评价指标体系及综合评价表</w:t>
      </w:r>
      <w:bookmarkEnd w:id="77"/>
    </w:p>
    <w:p w14:paraId="005702A6">
      <w:pPr>
        <w:ind w:firstLine="584"/>
        <w:jc w:val="center"/>
        <w:rPr>
          <w:rFonts w:hint="default" w:ascii="Times New Roman" w:hAnsi="Times New Roman" w:eastAsia="宋体" w:cs="Times New Roman"/>
          <w:b/>
          <w:color w:val="auto"/>
          <w:spacing w:val="6"/>
          <w:sz w:val="24"/>
          <w:szCs w:val="24"/>
          <w:highlight w:val="none"/>
        </w:rPr>
      </w:pPr>
      <w:r>
        <w:rPr>
          <w:rFonts w:hint="eastAsia" w:ascii="Times New Roman" w:hAnsi="Times New Roman" w:eastAsia="宋体" w:cs="Times New Roman"/>
          <w:b/>
          <w:color w:val="auto"/>
          <w:spacing w:val="6"/>
          <w:sz w:val="24"/>
          <w:szCs w:val="24"/>
          <w:highlight w:val="none"/>
          <w:lang w:eastAsia="zh-CN"/>
        </w:rPr>
        <w:t>伊宁县农技推广中心</w:t>
      </w:r>
      <w:r>
        <w:rPr>
          <w:rFonts w:hint="default" w:ascii="Times New Roman" w:hAnsi="Times New Roman" w:eastAsia="宋体" w:cs="Times New Roman"/>
          <w:b/>
          <w:color w:val="auto"/>
          <w:spacing w:val="6"/>
          <w:sz w:val="24"/>
          <w:szCs w:val="24"/>
          <w:highlight w:val="none"/>
        </w:rPr>
        <w:t>部门整体绩效评价指标体系及综合评分表</w:t>
      </w:r>
    </w:p>
    <w:tbl>
      <w:tblPr>
        <w:tblStyle w:val="21"/>
        <w:tblW w:w="4996" w:type="pct"/>
        <w:tblInd w:w="0" w:type="dxa"/>
        <w:tblLayout w:type="fixed"/>
        <w:tblCellMar>
          <w:top w:w="0" w:type="dxa"/>
          <w:left w:w="51" w:type="dxa"/>
          <w:bottom w:w="0" w:type="dxa"/>
          <w:right w:w="51" w:type="dxa"/>
        </w:tblCellMar>
      </w:tblPr>
      <w:tblGrid>
        <w:gridCol w:w="692"/>
        <w:gridCol w:w="799"/>
        <w:gridCol w:w="1069"/>
        <w:gridCol w:w="2371"/>
        <w:gridCol w:w="4794"/>
        <w:gridCol w:w="978"/>
        <w:gridCol w:w="978"/>
        <w:gridCol w:w="820"/>
        <w:gridCol w:w="587"/>
        <w:gridCol w:w="961"/>
      </w:tblGrid>
      <w:tr w14:paraId="7BA97314">
        <w:tblPrEx>
          <w:tblCellMar>
            <w:top w:w="0" w:type="dxa"/>
            <w:left w:w="51" w:type="dxa"/>
            <w:bottom w:w="0" w:type="dxa"/>
            <w:right w:w="51" w:type="dxa"/>
          </w:tblCellMar>
        </w:tblPrEx>
        <w:trPr>
          <w:trHeight w:val="261" w:hRule="atLeast"/>
          <w:tblHeader/>
        </w:trPr>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ADA9B7">
            <w:pPr>
              <w:widowControl/>
              <w:spacing w:line="240" w:lineRule="auto"/>
              <w:ind w:firstLine="0" w:firstLineChars="0"/>
              <w:jc w:val="center"/>
              <w:textAlignment w:val="center"/>
              <w:rPr>
                <w:rFonts w:ascii="Times New Roman" w:hAnsi="Times New Roman" w:eastAsia="宋体" w:cs="Times New Roman"/>
                <w:b/>
                <w:bCs/>
                <w:color w:val="auto"/>
                <w:kern w:val="0"/>
                <w:sz w:val="20"/>
                <w:szCs w:val="20"/>
                <w:highlight w:val="none"/>
                <w:lang w:bidi="ar"/>
              </w:rPr>
            </w:pPr>
            <w:r>
              <w:rPr>
                <w:rFonts w:hint="eastAsia" w:ascii="Times New Roman" w:hAnsi="Times New Roman" w:eastAsia="宋体" w:cs="Times New Roman"/>
                <w:b/>
                <w:bCs/>
                <w:color w:val="auto"/>
                <w:kern w:val="0"/>
                <w:sz w:val="20"/>
                <w:szCs w:val="20"/>
                <w:highlight w:val="none"/>
                <w:lang w:bidi="ar"/>
              </w:rPr>
              <w:t>一级指标</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CD21AE">
            <w:pPr>
              <w:widowControl/>
              <w:spacing w:line="240" w:lineRule="auto"/>
              <w:ind w:firstLine="0" w:firstLineChars="0"/>
              <w:jc w:val="center"/>
              <w:textAlignment w:val="center"/>
              <w:rPr>
                <w:rFonts w:ascii="Times New Roman" w:hAnsi="Times New Roman" w:eastAsia="宋体" w:cs="Times New Roman"/>
                <w:b/>
                <w:bCs/>
                <w:color w:val="auto"/>
                <w:sz w:val="20"/>
                <w:szCs w:val="20"/>
                <w:highlight w:val="none"/>
              </w:rPr>
            </w:pPr>
            <w:r>
              <w:rPr>
                <w:rFonts w:hint="eastAsia" w:ascii="Times New Roman" w:hAnsi="Times New Roman" w:eastAsia="宋体" w:cs="Times New Roman"/>
                <w:b/>
                <w:bCs/>
                <w:color w:val="auto"/>
                <w:kern w:val="0"/>
                <w:sz w:val="20"/>
                <w:szCs w:val="20"/>
                <w:highlight w:val="none"/>
                <w:lang w:bidi="ar"/>
              </w:rPr>
              <w:t>二级指标</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ECB810">
            <w:pPr>
              <w:widowControl/>
              <w:spacing w:line="240" w:lineRule="auto"/>
              <w:ind w:firstLine="0" w:firstLineChars="0"/>
              <w:jc w:val="center"/>
              <w:textAlignment w:val="center"/>
              <w:rPr>
                <w:rFonts w:ascii="Times New Roman" w:hAnsi="Times New Roman" w:eastAsia="宋体" w:cs="Times New Roman"/>
                <w:b/>
                <w:bCs/>
                <w:color w:val="auto"/>
                <w:sz w:val="20"/>
                <w:szCs w:val="20"/>
                <w:highlight w:val="none"/>
              </w:rPr>
            </w:pPr>
            <w:r>
              <w:rPr>
                <w:rFonts w:hint="eastAsia" w:ascii="Times New Roman" w:hAnsi="Times New Roman" w:eastAsia="宋体" w:cs="Times New Roman"/>
                <w:b/>
                <w:bCs/>
                <w:color w:val="auto"/>
                <w:kern w:val="0"/>
                <w:sz w:val="20"/>
                <w:szCs w:val="20"/>
                <w:highlight w:val="none"/>
                <w:lang w:bidi="ar"/>
              </w:rPr>
              <w:t>三级指标</w:t>
            </w:r>
          </w:p>
        </w:tc>
        <w:tc>
          <w:tcPr>
            <w:tcW w:w="8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E63C48">
            <w:pPr>
              <w:widowControl/>
              <w:spacing w:line="240" w:lineRule="auto"/>
              <w:ind w:firstLine="0" w:firstLineChars="0"/>
              <w:jc w:val="center"/>
              <w:textAlignment w:val="center"/>
              <w:rPr>
                <w:rFonts w:ascii="Times New Roman" w:hAnsi="Times New Roman" w:eastAsia="宋体" w:cs="Times New Roman"/>
                <w:b/>
                <w:bCs/>
                <w:color w:val="auto"/>
                <w:sz w:val="20"/>
                <w:szCs w:val="20"/>
                <w:highlight w:val="none"/>
              </w:rPr>
            </w:pPr>
            <w:r>
              <w:rPr>
                <w:rFonts w:hint="eastAsia" w:ascii="Times New Roman" w:hAnsi="Times New Roman" w:eastAsia="宋体" w:cs="Times New Roman"/>
                <w:b/>
                <w:bCs/>
                <w:color w:val="auto"/>
                <w:kern w:val="0"/>
                <w:sz w:val="20"/>
                <w:szCs w:val="20"/>
                <w:highlight w:val="none"/>
                <w:lang w:bidi="ar"/>
              </w:rPr>
              <w:t>指标解释</w:t>
            </w:r>
          </w:p>
        </w:tc>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20ECF0">
            <w:pPr>
              <w:widowControl/>
              <w:spacing w:line="240" w:lineRule="auto"/>
              <w:ind w:firstLine="0" w:firstLineChars="0"/>
              <w:jc w:val="center"/>
              <w:textAlignment w:val="center"/>
              <w:rPr>
                <w:rFonts w:ascii="Times New Roman" w:hAnsi="Times New Roman" w:eastAsia="宋体" w:cs="Times New Roman"/>
                <w:b/>
                <w:bCs/>
                <w:color w:val="auto"/>
                <w:sz w:val="20"/>
                <w:szCs w:val="20"/>
                <w:highlight w:val="none"/>
              </w:rPr>
            </w:pPr>
            <w:r>
              <w:rPr>
                <w:rFonts w:hint="eastAsia" w:ascii="Times New Roman" w:hAnsi="Times New Roman" w:eastAsia="宋体" w:cs="Times New Roman"/>
                <w:b/>
                <w:bCs/>
                <w:color w:val="auto"/>
                <w:kern w:val="0"/>
                <w:sz w:val="20"/>
                <w:szCs w:val="20"/>
                <w:highlight w:val="none"/>
                <w:lang w:bidi="ar"/>
              </w:rPr>
              <w:t>评价标准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23AAD7">
            <w:pPr>
              <w:widowControl/>
              <w:spacing w:line="240" w:lineRule="auto"/>
              <w:ind w:firstLine="0" w:firstLineChars="0"/>
              <w:jc w:val="center"/>
              <w:textAlignment w:val="center"/>
              <w:rPr>
                <w:rFonts w:ascii="Times New Roman" w:hAnsi="Times New Roman" w:eastAsia="宋体" w:cs="Times New Roman"/>
                <w:b/>
                <w:bCs/>
                <w:color w:val="auto"/>
                <w:sz w:val="20"/>
                <w:szCs w:val="20"/>
                <w:highlight w:val="none"/>
              </w:rPr>
            </w:pPr>
            <w:r>
              <w:rPr>
                <w:rFonts w:hint="eastAsia" w:ascii="Times New Roman" w:hAnsi="Times New Roman" w:eastAsia="宋体" w:cs="Times New Roman"/>
                <w:b/>
                <w:bCs/>
                <w:color w:val="auto"/>
                <w:kern w:val="0"/>
                <w:sz w:val="20"/>
                <w:szCs w:val="20"/>
                <w:highlight w:val="none"/>
                <w:lang w:bidi="ar"/>
              </w:rPr>
              <w:t>目标值</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35D29B">
            <w:pPr>
              <w:widowControl/>
              <w:spacing w:line="240" w:lineRule="auto"/>
              <w:ind w:firstLine="0" w:firstLineChars="0"/>
              <w:jc w:val="center"/>
              <w:textAlignment w:val="center"/>
              <w:rPr>
                <w:rFonts w:ascii="Times New Roman" w:hAnsi="Times New Roman" w:eastAsia="宋体" w:cs="Times New Roman"/>
                <w:b/>
                <w:bCs/>
                <w:color w:val="auto"/>
                <w:sz w:val="20"/>
                <w:szCs w:val="20"/>
                <w:highlight w:val="none"/>
              </w:rPr>
            </w:pPr>
            <w:r>
              <w:rPr>
                <w:rFonts w:hint="eastAsia" w:ascii="Times New Roman" w:hAnsi="Times New Roman" w:eastAsia="宋体" w:cs="Times New Roman"/>
                <w:b/>
                <w:bCs/>
                <w:color w:val="auto"/>
                <w:kern w:val="0"/>
                <w:sz w:val="20"/>
                <w:szCs w:val="20"/>
                <w:highlight w:val="none"/>
                <w:lang w:bidi="ar"/>
              </w:rPr>
              <w:t>实际完成值</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B92E29">
            <w:pPr>
              <w:widowControl/>
              <w:spacing w:line="240" w:lineRule="auto"/>
              <w:ind w:firstLine="0" w:firstLineChars="0"/>
              <w:jc w:val="center"/>
              <w:textAlignment w:val="center"/>
              <w:rPr>
                <w:rFonts w:ascii="Times New Roman" w:hAnsi="Times New Roman" w:eastAsia="宋体" w:cs="Times New Roman"/>
                <w:b/>
                <w:bCs/>
                <w:color w:val="auto"/>
                <w:sz w:val="20"/>
                <w:szCs w:val="20"/>
                <w:highlight w:val="none"/>
              </w:rPr>
            </w:pPr>
            <w:r>
              <w:rPr>
                <w:rFonts w:hint="eastAsia" w:ascii="Times New Roman" w:hAnsi="Times New Roman" w:eastAsia="宋体" w:cs="Times New Roman"/>
                <w:b/>
                <w:bCs/>
                <w:color w:val="auto"/>
                <w:kern w:val="0"/>
                <w:sz w:val="20"/>
                <w:szCs w:val="20"/>
                <w:highlight w:val="none"/>
                <w:lang w:bidi="ar"/>
              </w:rPr>
              <w:t>标杆分值</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79A89F">
            <w:pPr>
              <w:widowControl/>
              <w:spacing w:line="240" w:lineRule="auto"/>
              <w:ind w:firstLine="0" w:firstLineChars="0"/>
              <w:jc w:val="center"/>
              <w:textAlignment w:val="center"/>
              <w:rPr>
                <w:rFonts w:ascii="Times New Roman" w:hAnsi="Times New Roman" w:eastAsia="宋体" w:cs="Times New Roman"/>
                <w:b/>
                <w:bCs/>
                <w:color w:val="auto"/>
                <w:sz w:val="20"/>
                <w:szCs w:val="20"/>
                <w:highlight w:val="none"/>
              </w:rPr>
            </w:pPr>
            <w:r>
              <w:rPr>
                <w:rFonts w:hint="eastAsia" w:ascii="Times New Roman" w:hAnsi="Times New Roman" w:eastAsia="宋体" w:cs="Times New Roman"/>
                <w:b/>
                <w:bCs/>
                <w:color w:val="auto"/>
                <w:kern w:val="0"/>
                <w:sz w:val="20"/>
                <w:szCs w:val="20"/>
                <w:highlight w:val="none"/>
                <w:lang w:bidi="ar"/>
              </w:rPr>
              <w:t>指标得分</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DE9823">
            <w:pPr>
              <w:widowControl/>
              <w:spacing w:line="240" w:lineRule="auto"/>
              <w:ind w:firstLine="0" w:firstLineChars="0"/>
              <w:jc w:val="center"/>
              <w:textAlignment w:val="center"/>
              <w:rPr>
                <w:rFonts w:ascii="Times New Roman" w:hAnsi="Times New Roman" w:eastAsia="宋体" w:cs="Times New Roman"/>
                <w:b/>
                <w:bCs/>
                <w:color w:val="auto"/>
                <w:sz w:val="20"/>
                <w:szCs w:val="20"/>
                <w:highlight w:val="none"/>
              </w:rPr>
            </w:pPr>
            <w:r>
              <w:rPr>
                <w:rFonts w:hint="eastAsia" w:ascii="Times New Roman" w:hAnsi="Times New Roman" w:eastAsia="宋体" w:cs="Times New Roman"/>
                <w:b/>
                <w:bCs/>
                <w:color w:val="auto"/>
                <w:kern w:val="0"/>
                <w:sz w:val="20"/>
                <w:szCs w:val="20"/>
                <w:highlight w:val="none"/>
                <w:lang w:bidi="ar"/>
              </w:rPr>
              <w:t>得分率</w:t>
            </w:r>
          </w:p>
        </w:tc>
      </w:tr>
      <w:tr w14:paraId="1155A227">
        <w:tblPrEx>
          <w:tblCellMar>
            <w:top w:w="0" w:type="dxa"/>
            <w:left w:w="51" w:type="dxa"/>
            <w:bottom w:w="0" w:type="dxa"/>
            <w:right w:w="51" w:type="dxa"/>
          </w:tblCellMar>
        </w:tblPrEx>
        <w:trPr>
          <w:trHeight w:val="261" w:hRule="atLeast"/>
        </w:trPr>
        <w:tc>
          <w:tcPr>
            <w:tcW w:w="24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824631">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A部门决策（15.00分）</w:t>
            </w: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E126A8">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A1部门战略计划</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67B9E7">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A11中长期规划科学合理性</w:t>
            </w:r>
          </w:p>
        </w:tc>
        <w:tc>
          <w:tcPr>
            <w:tcW w:w="8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1AD9F3">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考察部门中长期规划的科学性，以及与本区及上级部门中长期规划的匹配性</w:t>
            </w:r>
          </w:p>
        </w:tc>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928214">
            <w:pPr>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1.是否制定中长期规划；</w:t>
            </w:r>
          </w:p>
          <w:p w14:paraId="48BE80F2">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2.依据自治区的总体规划，将任务落实到部门中长期规划；</w:t>
            </w:r>
          </w:p>
          <w:p w14:paraId="3FC0ACB9">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3.中长期规划是否对总体目标、规划实施内容及时间安排有明确规定；</w:t>
            </w:r>
          </w:p>
          <w:p w14:paraId="56040742">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4.中长期规划对部门各项职能的履行均进行了完整规划。</w:t>
            </w:r>
          </w:p>
          <w:p w14:paraId="66665A1A">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中长期规划清晰、全面、完整，经相应的程序认定，得2分；缺失一项扣0.5分；无规划，不得分。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F02FBC">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合理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067F9E">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合理</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4E68AC">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2.00</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CFA2A4">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eastAsia" w:ascii="Times New Roman" w:hAnsi="Times New Roman" w:eastAsia="宋体" w:cs="Times New Roman"/>
                <w:color w:val="auto"/>
                <w:kern w:val="0"/>
                <w:sz w:val="20"/>
                <w:szCs w:val="20"/>
                <w:highlight w:val="none"/>
                <w:lang w:val="en-US" w:eastAsia="zh-CN" w:bidi="ar"/>
              </w:rPr>
              <w:t>2.00</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B460B4">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eastAsia" w:ascii="Times New Roman" w:hAnsi="Times New Roman" w:eastAsia="宋体" w:cs="Times New Roman"/>
                <w:color w:val="auto"/>
                <w:kern w:val="0"/>
                <w:sz w:val="20"/>
                <w:szCs w:val="20"/>
                <w:highlight w:val="none"/>
                <w:lang w:val="en-US" w:eastAsia="zh-CN" w:bidi="ar"/>
              </w:rPr>
              <w:t>100.00%</w:t>
            </w:r>
          </w:p>
        </w:tc>
      </w:tr>
      <w:tr w14:paraId="12889010">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B8694F">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CFFC6D">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16C533">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A12年度工作计划科学完整性</w:t>
            </w:r>
          </w:p>
        </w:tc>
        <w:tc>
          <w:tcPr>
            <w:tcW w:w="8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D3E231">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考察年度工作计划的合理性、明确性，与本部门规划及上级部门的适应性</w:t>
            </w:r>
          </w:p>
        </w:tc>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F6D145">
            <w:pPr>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1.是否制定明确的年度工作计划；</w:t>
            </w:r>
          </w:p>
          <w:p w14:paraId="4C358B06">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2.年度工作计划包含明确的总体目标、计划实施内容、责任主体相关内容；</w:t>
            </w:r>
          </w:p>
          <w:p w14:paraId="6B5F1AD5">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3.年度工作计划针对部门全部职能的履行进行了计划安排。</w:t>
            </w:r>
          </w:p>
          <w:p w14:paraId="52886559">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部门工作计划明确、全面、完整，并经集体决策正式下发文件，得4分；缺失一项扣0.5分；无计划，不得分。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50CD9F">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科学完整</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D079CA">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科学完整</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2ECE4B">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4.00</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E705A7">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eastAsia" w:ascii="Times New Roman" w:hAnsi="Times New Roman" w:eastAsia="宋体" w:cs="Times New Roman"/>
                <w:color w:val="auto"/>
                <w:kern w:val="0"/>
                <w:sz w:val="20"/>
                <w:szCs w:val="20"/>
                <w:highlight w:val="none"/>
                <w:lang w:val="en-US" w:eastAsia="zh-CN" w:bidi="ar"/>
              </w:rPr>
              <w:t>4.00</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3E4DC5">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eastAsia" w:ascii="Times New Roman" w:hAnsi="Times New Roman" w:eastAsia="宋体" w:cs="Times New Roman"/>
                <w:color w:val="auto"/>
                <w:kern w:val="0"/>
                <w:sz w:val="20"/>
                <w:szCs w:val="20"/>
                <w:highlight w:val="none"/>
                <w:lang w:val="en-US" w:eastAsia="zh-CN" w:bidi="ar"/>
              </w:rPr>
              <w:t>100.00%</w:t>
            </w:r>
          </w:p>
        </w:tc>
      </w:tr>
      <w:tr w14:paraId="6C57303C">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F975C2">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A26EFF">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A2绩效目标</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B90D20">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A21绩效目标明确性</w:t>
            </w:r>
          </w:p>
        </w:tc>
        <w:tc>
          <w:tcPr>
            <w:tcW w:w="8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649839">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考察部门（单位）是否按要求编报项目绩效目标，是否依据充分、内容完整、覆盖全面、符合实际。</w:t>
            </w:r>
          </w:p>
        </w:tc>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4072E4">
            <w:pPr>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1.是否有部门整体支出绩效目标；</w:t>
            </w:r>
          </w:p>
          <w:p w14:paraId="55EB202E">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2.绩效目标与部门职能、规划计划是否具有相关性；</w:t>
            </w:r>
          </w:p>
          <w:p w14:paraId="08FDB306">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3.预期产出效益和效果是否符合正常的业绩水平。</w:t>
            </w:r>
          </w:p>
          <w:p w14:paraId="46D33278">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若1不符合，则此指标不得分；若1符合，则每发现一处不符扣0.2分，扣完为止。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377B72">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明确</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238728">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明确</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B6E7F2">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2.00</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B9BF9A">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eastAsia" w:ascii="Times New Roman" w:hAnsi="Times New Roman" w:eastAsia="宋体" w:cs="Times New Roman"/>
                <w:color w:val="auto"/>
                <w:kern w:val="0"/>
                <w:sz w:val="20"/>
                <w:szCs w:val="20"/>
                <w:highlight w:val="none"/>
                <w:lang w:val="en-US" w:eastAsia="zh-CN" w:bidi="ar"/>
              </w:rPr>
              <w:t>2.00</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41E7E2">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eastAsia" w:ascii="Times New Roman" w:hAnsi="Times New Roman" w:eastAsia="宋体" w:cs="Times New Roman"/>
                <w:color w:val="auto"/>
                <w:kern w:val="0"/>
                <w:sz w:val="20"/>
                <w:szCs w:val="20"/>
                <w:highlight w:val="none"/>
                <w:lang w:val="en-US" w:eastAsia="zh-CN" w:bidi="ar"/>
              </w:rPr>
              <w:t>100.00%</w:t>
            </w:r>
          </w:p>
        </w:tc>
      </w:tr>
      <w:tr w14:paraId="6E9E87B7">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0E4760">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1A1B40">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7109B5">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A22绩效目标合理性</w:t>
            </w:r>
          </w:p>
        </w:tc>
        <w:tc>
          <w:tcPr>
            <w:tcW w:w="8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1264E2">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考察部门（单位）设定的绩效指标是否清晰、细化、可量化，用以反映和考核部门（单位）整体绩效目标的明细化情况。</w:t>
            </w:r>
          </w:p>
        </w:tc>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DEB802">
            <w:pPr>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1.是否将部门整体支出绩效目标细化分解为具体的绩效指标；</w:t>
            </w:r>
          </w:p>
          <w:p w14:paraId="5DF433F5">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2.是否通过清晰、可衡量的指标值予以体现；</w:t>
            </w:r>
          </w:p>
          <w:p w14:paraId="01E8A2C2">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3.是否与部门年度工作任务数或计划数相对应。</w:t>
            </w:r>
          </w:p>
          <w:p w14:paraId="0BE40EFD">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每发现一处不符扣0.2分，扣完为止。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24BEC5">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合理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32C4BC">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合理</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B1D13B">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2.00</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8C547E">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eastAsia" w:ascii="Times New Roman" w:hAnsi="Times New Roman" w:eastAsia="宋体" w:cs="Times New Roman"/>
                <w:color w:val="auto"/>
                <w:kern w:val="0"/>
                <w:sz w:val="20"/>
                <w:szCs w:val="20"/>
                <w:highlight w:val="none"/>
                <w:lang w:val="en-US" w:eastAsia="zh-CN" w:bidi="ar"/>
              </w:rPr>
              <w:t>2.00</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B1E158">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eastAsia" w:ascii="Times New Roman" w:hAnsi="Times New Roman" w:eastAsia="宋体" w:cs="Times New Roman"/>
                <w:color w:val="auto"/>
                <w:kern w:val="0"/>
                <w:sz w:val="20"/>
                <w:szCs w:val="20"/>
                <w:highlight w:val="none"/>
                <w:lang w:val="en-US" w:eastAsia="zh-CN" w:bidi="ar"/>
              </w:rPr>
              <w:t>100.00%</w:t>
            </w:r>
          </w:p>
        </w:tc>
      </w:tr>
      <w:tr w14:paraId="28101C67">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0BE57E">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380527">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A3部门预算编制</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84ACEB">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A31预算编制规范性</w:t>
            </w:r>
          </w:p>
        </w:tc>
        <w:tc>
          <w:tcPr>
            <w:tcW w:w="8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3FBBBA">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考察部门（单位）是否严格按照当年预算编制要求规范编制预算；预算申报程序准确；审批流程规范；履行集体决策</w:t>
            </w:r>
            <w:r>
              <w:rPr>
                <w:rFonts w:hint="eastAsia" w:ascii="Times New Roman" w:hAnsi="Times New Roman" w:eastAsia="宋体" w:cs="Times New Roman"/>
                <w:color w:val="auto"/>
                <w:kern w:val="0"/>
                <w:sz w:val="20"/>
                <w:szCs w:val="20"/>
                <w:highlight w:val="none"/>
                <w:lang w:eastAsia="zh-CN" w:bidi="ar"/>
              </w:rPr>
              <w:t>决定</w:t>
            </w:r>
            <w:r>
              <w:rPr>
                <w:rFonts w:hint="default" w:ascii="Times New Roman" w:hAnsi="Times New Roman" w:eastAsia="宋体" w:cs="Times New Roman"/>
                <w:color w:val="auto"/>
                <w:kern w:val="0"/>
                <w:sz w:val="20"/>
                <w:szCs w:val="20"/>
                <w:highlight w:val="none"/>
                <w:lang w:bidi="ar"/>
              </w:rPr>
              <w:t>等情况</w:t>
            </w:r>
          </w:p>
        </w:tc>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B037EA">
            <w:pPr>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1.预算编制是否经过科学论证；</w:t>
            </w:r>
          </w:p>
          <w:p w14:paraId="588B5909">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2.预算额度测算依据是否充分，是否按照标准编制；</w:t>
            </w:r>
          </w:p>
          <w:p w14:paraId="7DC1A4C8">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3.预算确定的资金量是否与工作任务相匹配；</w:t>
            </w:r>
          </w:p>
          <w:p w14:paraId="58B8381B">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4.预算编制严格按照当年预算编制要求规范编制预算、预算申报程序准确、审批流程严谨、主管部门集体决策确定。</w:t>
            </w:r>
          </w:p>
          <w:p w14:paraId="2A2CEEE4">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以上情况均符合，得2分；有不符情况每项扣0.5分，扣完为止。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A72C3A">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规范</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8E7D0B">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规范</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5C34F6">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2.00</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9D062C">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eastAsia" w:ascii="Times New Roman" w:hAnsi="Times New Roman" w:eastAsia="宋体" w:cs="Times New Roman"/>
                <w:color w:val="auto"/>
                <w:kern w:val="0"/>
                <w:sz w:val="20"/>
                <w:szCs w:val="20"/>
                <w:highlight w:val="none"/>
                <w:lang w:val="en-US" w:eastAsia="zh-CN" w:bidi="ar"/>
              </w:rPr>
              <w:t>2.00</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2F2F5E">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eastAsia" w:ascii="Times New Roman" w:hAnsi="Times New Roman" w:eastAsia="宋体" w:cs="Times New Roman"/>
                <w:color w:val="auto"/>
                <w:kern w:val="0"/>
                <w:sz w:val="20"/>
                <w:szCs w:val="20"/>
                <w:highlight w:val="none"/>
                <w:lang w:val="en-US" w:eastAsia="zh-CN" w:bidi="ar"/>
              </w:rPr>
              <w:t>100.00%</w:t>
            </w:r>
          </w:p>
        </w:tc>
      </w:tr>
      <w:tr w14:paraId="561E555E">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D6FE13">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17E4DF">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CC0361">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A32预算编制与重点工作任务的匹配性</w:t>
            </w:r>
          </w:p>
        </w:tc>
        <w:tc>
          <w:tcPr>
            <w:tcW w:w="8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F8E7D1">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考察部门预算安排和工作计划的匹配性，重点工作资金的保障性，项目是否遵循轻重缓急按序保障</w:t>
            </w:r>
          </w:p>
        </w:tc>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510078">
            <w:pPr>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1.专项支出立项依据是否充分；                                                                      2.支出内容与工作计划是否一一对应；                                                                    3.重点工作重点保障是否遵循轻重缓急、按序保障。</w:t>
            </w:r>
          </w:p>
          <w:p w14:paraId="23B9C7DB">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以上情况均符合，得3分；有不符情况每项扣0.5分，扣完为止。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56E414">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匹配</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0FC09B">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匹配</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9D786C">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3.00</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40B24D">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eastAsia" w:ascii="Times New Roman" w:hAnsi="Times New Roman" w:eastAsia="宋体" w:cs="Times New Roman"/>
                <w:color w:val="auto"/>
                <w:kern w:val="0"/>
                <w:sz w:val="20"/>
                <w:szCs w:val="20"/>
                <w:highlight w:val="none"/>
                <w:lang w:val="en-US" w:eastAsia="zh-CN" w:bidi="ar"/>
              </w:rPr>
              <w:t>3.00</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5A41EF">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eastAsia" w:ascii="Times New Roman" w:hAnsi="Times New Roman" w:eastAsia="宋体" w:cs="Times New Roman"/>
                <w:color w:val="auto"/>
                <w:kern w:val="0"/>
                <w:sz w:val="20"/>
                <w:szCs w:val="20"/>
                <w:highlight w:val="none"/>
                <w:lang w:val="en-US" w:eastAsia="zh-CN" w:bidi="ar"/>
              </w:rPr>
              <w:t>100.00%</w:t>
            </w:r>
          </w:p>
        </w:tc>
      </w:tr>
      <w:tr w14:paraId="5673EE79">
        <w:tblPrEx>
          <w:tblCellMar>
            <w:top w:w="0" w:type="dxa"/>
            <w:left w:w="51" w:type="dxa"/>
            <w:bottom w:w="0" w:type="dxa"/>
            <w:right w:w="51" w:type="dxa"/>
          </w:tblCellMar>
        </w:tblPrEx>
        <w:trPr>
          <w:trHeight w:val="261" w:hRule="atLeast"/>
        </w:trPr>
        <w:tc>
          <w:tcPr>
            <w:tcW w:w="346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B21FE7C">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小计</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D0907F">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E76025">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B401A5">
            <w:pPr>
              <w:widowControl/>
              <w:spacing w:line="240" w:lineRule="auto"/>
              <w:ind w:firstLine="0" w:firstLineChars="0"/>
              <w:jc w:val="center"/>
              <w:textAlignment w:val="center"/>
              <w:rPr>
                <w:rFonts w:hint="default" w:ascii="Times New Roman" w:hAnsi="Times New Roman" w:eastAsia="宋体" w:cs="Times New Roman"/>
                <w:b/>
                <w:bCs/>
                <w:color w:val="auto"/>
                <w:kern w:val="0"/>
                <w:sz w:val="20"/>
                <w:szCs w:val="20"/>
                <w:highlight w:val="none"/>
                <w:lang w:bidi="ar"/>
              </w:rPr>
            </w:pPr>
            <w:r>
              <w:rPr>
                <w:rFonts w:hint="default" w:ascii="Times New Roman" w:hAnsi="Times New Roman" w:eastAsia="宋体" w:cs="Times New Roman"/>
                <w:b/>
                <w:bCs/>
                <w:color w:val="auto"/>
                <w:kern w:val="0"/>
                <w:sz w:val="20"/>
                <w:szCs w:val="20"/>
                <w:highlight w:val="none"/>
                <w:lang w:bidi="ar"/>
              </w:rPr>
              <w:t>15.00</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B59201">
            <w:pPr>
              <w:widowControl/>
              <w:spacing w:line="240" w:lineRule="auto"/>
              <w:ind w:firstLine="0" w:firstLineChars="0"/>
              <w:jc w:val="center"/>
              <w:textAlignment w:val="center"/>
              <w:rPr>
                <w:rFonts w:hint="default" w:ascii="Times New Roman" w:hAnsi="Times New Roman" w:eastAsia="宋体" w:cs="Times New Roman"/>
                <w:b/>
                <w:bCs/>
                <w:color w:val="auto"/>
                <w:kern w:val="0"/>
                <w:sz w:val="20"/>
                <w:szCs w:val="20"/>
                <w:highlight w:val="none"/>
                <w:lang w:val="en-US" w:eastAsia="zh-CN" w:bidi="ar"/>
              </w:rPr>
            </w:pPr>
            <w:r>
              <w:rPr>
                <w:rFonts w:hint="eastAsia" w:ascii="Times New Roman" w:hAnsi="Times New Roman" w:eastAsia="宋体" w:cs="Times New Roman"/>
                <w:b/>
                <w:bCs/>
                <w:color w:val="auto"/>
                <w:kern w:val="0"/>
                <w:sz w:val="20"/>
                <w:szCs w:val="20"/>
                <w:highlight w:val="none"/>
                <w:lang w:val="en-US" w:eastAsia="zh-CN" w:bidi="ar"/>
              </w:rPr>
              <w:t>15.00</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3FB020">
            <w:pPr>
              <w:widowControl/>
              <w:spacing w:line="240" w:lineRule="auto"/>
              <w:ind w:firstLine="0" w:firstLineChars="0"/>
              <w:jc w:val="center"/>
              <w:textAlignment w:val="center"/>
              <w:rPr>
                <w:rFonts w:hint="default" w:ascii="Times New Roman" w:hAnsi="Times New Roman" w:eastAsia="宋体" w:cs="Times New Roman"/>
                <w:b/>
                <w:bCs/>
                <w:color w:val="auto"/>
                <w:kern w:val="0"/>
                <w:sz w:val="20"/>
                <w:szCs w:val="20"/>
                <w:highlight w:val="none"/>
                <w:lang w:val="en-US" w:eastAsia="zh-CN" w:bidi="ar"/>
              </w:rPr>
            </w:pPr>
            <w:r>
              <w:rPr>
                <w:rFonts w:hint="eastAsia" w:ascii="Times New Roman" w:hAnsi="Times New Roman" w:eastAsia="宋体" w:cs="Times New Roman"/>
                <w:b/>
                <w:bCs/>
                <w:color w:val="auto"/>
                <w:kern w:val="0"/>
                <w:sz w:val="20"/>
                <w:szCs w:val="20"/>
                <w:highlight w:val="none"/>
                <w:lang w:val="en-US" w:eastAsia="zh-CN" w:bidi="ar"/>
              </w:rPr>
              <w:t>100.00%</w:t>
            </w:r>
          </w:p>
        </w:tc>
      </w:tr>
      <w:tr w14:paraId="4DC6E293">
        <w:tblPrEx>
          <w:tblCellMar>
            <w:top w:w="0" w:type="dxa"/>
            <w:left w:w="51" w:type="dxa"/>
            <w:bottom w:w="0" w:type="dxa"/>
            <w:right w:w="51" w:type="dxa"/>
          </w:tblCellMar>
        </w:tblPrEx>
        <w:trPr>
          <w:trHeight w:val="261" w:hRule="atLeast"/>
        </w:trPr>
        <w:tc>
          <w:tcPr>
            <w:tcW w:w="24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0A2343">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B部门管理（25.00分）</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A4B61F">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B1制度建设</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7EF2F4">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B11内部控制制度健全性</w:t>
            </w:r>
          </w:p>
        </w:tc>
        <w:tc>
          <w:tcPr>
            <w:tcW w:w="8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377EC5">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考察部门（单位）制定了相应的预算资金、财务管理和预算绩效管理等制度，用以反映部门（单位）的管理制度对其完成主要职责和促进事业发展的保障情况</w:t>
            </w:r>
          </w:p>
        </w:tc>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4743BF">
            <w:pPr>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按照财政部要求，建立完善的内部控制制度且能保障主要职责和事业发展的需要，得5分；制度不完整的每个扣0.5分，扣完为止；制度缺失不得分。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6BB105">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健全</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DCA6F4">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健全</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DBEBC5">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val="en-US" w:eastAsia="zh-CN" w:bidi="ar"/>
              </w:rPr>
              <w:t xml:space="preserve">4.00 </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0AD35E">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 xml:space="preserve">4.00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826F3E">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100.00%</w:t>
            </w:r>
          </w:p>
        </w:tc>
      </w:tr>
      <w:tr w14:paraId="0EAED418">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1806E5">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A05A9B">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B2预算管理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2AD764">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B21预算执行率</w:t>
            </w:r>
          </w:p>
        </w:tc>
        <w:tc>
          <w:tcPr>
            <w:tcW w:w="8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B7934F">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b w:val="0"/>
                <w:bCs w:val="0"/>
                <w:color w:val="auto"/>
                <w:sz w:val="21"/>
                <w:szCs w:val="21"/>
                <w:highlight w:val="none"/>
                <w:lang w:val="en-US" w:eastAsia="zh-CN"/>
              </w:rPr>
              <w:t>考察部门预算执行情况</w:t>
            </w:r>
          </w:p>
        </w:tc>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9CED61">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b w:val="0"/>
                <w:bCs w:val="0"/>
                <w:color w:val="auto"/>
                <w:sz w:val="21"/>
                <w:szCs w:val="21"/>
                <w:highlight w:val="none"/>
                <w:lang w:val="en-US" w:eastAsia="zh-CN"/>
              </w:rPr>
              <w:t>支出预算</w:t>
            </w:r>
            <w:r>
              <w:rPr>
                <w:rFonts w:hint="eastAsia" w:ascii="Times New Roman" w:hAnsi="Times New Roman" w:eastAsia="宋体" w:cs="Times New Roman"/>
                <w:color w:val="auto"/>
                <w:kern w:val="0"/>
                <w:sz w:val="20"/>
                <w:szCs w:val="20"/>
                <w:highlight w:val="none"/>
                <w:lang w:val="en-US" w:eastAsia="zh-CN" w:bidi="ar"/>
              </w:rPr>
              <w:t>完成率=（支出预算完成数/支出预算下达数） ×100%支出预算执行数：部门（单位）本年度实际完成的预算支出数支出预算数：财政部门批复的本年度部门（单位）预算支出数，支出预算执行率100%得满分，每降低1.00%扣1.00分，</w:t>
            </w:r>
            <w:r>
              <w:rPr>
                <w:rFonts w:hint="eastAsia" w:ascii="Times New Roman" w:hAnsi="Times New Roman" w:eastAsia="宋体" w:cs="Times New Roman"/>
                <w:b w:val="0"/>
                <w:bCs w:val="0"/>
                <w:color w:val="auto"/>
                <w:sz w:val="21"/>
                <w:szCs w:val="21"/>
                <w:highlight w:val="none"/>
                <w:lang w:val="en-US" w:eastAsia="zh-CN"/>
              </w:rPr>
              <w:t>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C3A632">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sz w:val="21"/>
                <w:szCs w:val="21"/>
                <w:highlight w:val="none"/>
                <w:lang w:val="en-US" w:eastAsia="zh-CN"/>
              </w:rPr>
              <w:t>≥</w:t>
            </w:r>
            <w:r>
              <w:rPr>
                <w:rFonts w:hint="default" w:ascii="Times New Roman" w:hAnsi="Times New Roman" w:eastAsia="宋体" w:cs="Times New Roman"/>
                <w:color w:val="auto"/>
                <w:kern w:val="0"/>
                <w:sz w:val="20"/>
                <w:szCs w:val="20"/>
                <w:highlight w:val="none"/>
                <w:lang w:bidi="ar"/>
              </w:rPr>
              <w:t>95.00%</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C855E9">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100.00%</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910715">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val="en-US" w:eastAsia="zh-CN" w:bidi="ar"/>
              </w:rPr>
              <w:t xml:space="preserve">3.00 </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B2EB6C">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 xml:space="preserve">3.00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009F11">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100.00%</w:t>
            </w:r>
          </w:p>
        </w:tc>
      </w:tr>
      <w:tr w14:paraId="45FBBA28">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9091AB">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F02C6E">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1245FA">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B22预算、决算信息公开</w:t>
            </w:r>
          </w:p>
        </w:tc>
        <w:tc>
          <w:tcPr>
            <w:tcW w:w="8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63FE1E">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eastAsia="zh-CN" w:bidi="ar"/>
              </w:rPr>
              <w:t>考察</w:t>
            </w:r>
            <w:r>
              <w:rPr>
                <w:rFonts w:hint="default" w:ascii="Times New Roman" w:hAnsi="Times New Roman" w:eastAsia="宋体" w:cs="Times New Roman"/>
                <w:color w:val="auto"/>
                <w:kern w:val="0"/>
                <w:sz w:val="20"/>
                <w:szCs w:val="20"/>
                <w:highlight w:val="none"/>
                <w:lang w:bidi="ar"/>
              </w:rPr>
              <w:t>预决算信息是否按时公开</w:t>
            </w:r>
          </w:p>
        </w:tc>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B8FEB5">
            <w:pPr>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1.是否按规定内容公开预决算信息，得1分；</w:t>
            </w:r>
          </w:p>
          <w:p w14:paraId="2196A438">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2.是否按规定时限公开预决算信息，得1分；</w:t>
            </w:r>
          </w:p>
          <w:p w14:paraId="368C0313">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预决算信息是指与部门预算、执行、决算、监督、绩效等管理相关的信息。</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139325">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使用合规</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C66C20">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使用合规</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0D3584">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val="en-US" w:eastAsia="zh-CN" w:bidi="ar"/>
              </w:rPr>
              <w:t xml:space="preserve">1.00 </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C01524">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 xml:space="preserve">1.00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29A6B8">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100.00%</w:t>
            </w:r>
          </w:p>
        </w:tc>
      </w:tr>
      <w:tr w14:paraId="1D3DD9C0">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EB5800">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64E843">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B3资金管理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B523DD">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B31资金使用合规性</w:t>
            </w:r>
          </w:p>
        </w:tc>
        <w:tc>
          <w:tcPr>
            <w:tcW w:w="8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9633BE">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考察部门（单位）资金支出规范性，包括资金管理、费用支出等制度是否严格执行；资金调整、调剂是否规范；会计核算是否规范、是否存在支出依据不合规、虚列项目支出的情况；是否存在截留、挤占、挪用项目资金情况。</w:t>
            </w:r>
          </w:p>
        </w:tc>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E8425B">
            <w:pPr>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1.是否符合国家财经法规和财务管理制度规定以及有关专项资金管理办法的规定；</w:t>
            </w:r>
          </w:p>
          <w:p w14:paraId="12C26A9C">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2.资金的拨付是否有完整的审批程序和手续；</w:t>
            </w:r>
          </w:p>
          <w:p w14:paraId="3CCB2A90">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3.重大开支是否经过评估论证；</w:t>
            </w:r>
          </w:p>
          <w:p w14:paraId="0E410D3B">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4.是否符合部门预算批复的用途；</w:t>
            </w:r>
          </w:p>
          <w:p w14:paraId="4508A9EF">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5.是否存在截留、挤占、挪用情况。</w:t>
            </w:r>
          </w:p>
          <w:p w14:paraId="2A421BCE">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以上评价要点全部合规得5分，一项不符合扣</w:t>
            </w:r>
            <w:r>
              <w:rPr>
                <w:rFonts w:hint="eastAsia" w:ascii="Times New Roman" w:hAnsi="Times New Roman" w:eastAsia="宋体" w:cs="Times New Roman"/>
                <w:color w:val="auto"/>
                <w:kern w:val="0"/>
                <w:sz w:val="20"/>
                <w:szCs w:val="20"/>
                <w:highlight w:val="none"/>
                <w:lang w:val="en-US" w:eastAsia="zh-CN" w:bidi="ar"/>
              </w:rPr>
              <w:t>1.00</w:t>
            </w:r>
            <w:r>
              <w:rPr>
                <w:rFonts w:hint="eastAsia" w:ascii="Times New Roman" w:hAnsi="Times New Roman" w:eastAsia="宋体" w:cs="Times New Roman"/>
                <w:color w:val="auto"/>
                <w:kern w:val="0"/>
                <w:sz w:val="20"/>
                <w:szCs w:val="20"/>
                <w:highlight w:val="none"/>
                <w:lang w:bidi="ar"/>
              </w:rPr>
              <w:t>分，扣完为止。有重大违规违纪行为的一票否决。</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971AE7">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合规</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DA8488">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val="en-US" w:eastAsia="zh-CN" w:bidi="ar"/>
              </w:rPr>
              <w:t>较</w:t>
            </w:r>
            <w:r>
              <w:rPr>
                <w:rFonts w:hint="default" w:ascii="Times New Roman" w:hAnsi="Times New Roman" w:eastAsia="宋体" w:cs="Times New Roman"/>
                <w:color w:val="auto"/>
                <w:kern w:val="0"/>
                <w:sz w:val="20"/>
                <w:szCs w:val="20"/>
                <w:highlight w:val="none"/>
                <w:lang w:bidi="ar"/>
              </w:rPr>
              <w:t>合规</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172A18">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val="en-US" w:eastAsia="zh-CN" w:bidi="ar"/>
              </w:rPr>
              <w:t xml:space="preserve">4.00 </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0980BF">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eastAsia" w:ascii="Times New Roman" w:hAnsi="Times New Roman" w:eastAsia="宋体" w:cs="Times New Roman"/>
                <w:color w:val="auto"/>
                <w:kern w:val="0"/>
                <w:sz w:val="20"/>
                <w:szCs w:val="20"/>
                <w:highlight w:val="none"/>
                <w:lang w:val="en-US" w:eastAsia="zh-CN" w:bidi="ar"/>
              </w:rPr>
              <w:t>3.00</w:t>
            </w:r>
            <w:r>
              <w:rPr>
                <w:rFonts w:hint="default" w:ascii="Times New Roman" w:hAnsi="Times New Roman" w:eastAsia="宋体" w:cs="Times New Roman"/>
                <w:color w:val="auto"/>
                <w:kern w:val="0"/>
                <w:sz w:val="20"/>
                <w:szCs w:val="20"/>
                <w:highlight w:val="none"/>
                <w:lang w:val="en-US" w:eastAsia="zh-CN" w:bidi="ar"/>
              </w:rPr>
              <w:t xml:space="preserve">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D266FE">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eastAsia" w:ascii="Times New Roman" w:hAnsi="Times New Roman" w:eastAsia="宋体" w:cs="Times New Roman"/>
                <w:color w:val="auto"/>
                <w:kern w:val="0"/>
                <w:sz w:val="20"/>
                <w:szCs w:val="20"/>
                <w:highlight w:val="none"/>
                <w:lang w:val="en-US" w:eastAsia="zh-CN" w:bidi="ar"/>
              </w:rPr>
              <w:t>75.00</w:t>
            </w:r>
            <w:r>
              <w:rPr>
                <w:rFonts w:hint="default" w:ascii="Times New Roman" w:hAnsi="Times New Roman" w:eastAsia="宋体" w:cs="Times New Roman"/>
                <w:color w:val="auto"/>
                <w:kern w:val="0"/>
                <w:sz w:val="20"/>
                <w:szCs w:val="20"/>
                <w:highlight w:val="none"/>
                <w:lang w:val="en-US" w:eastAsia="zh-CN" w:bidi="ar"/>
              </w:rPr>
              <w:t>%</w:t>
            </w:r>
          </w:p>
        </w:tc>
      </w:tr>
      <w:tr w14:paraId="58799A9F">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53FD93">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306E9D">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304EF3">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B32政府采购透明度</w:t>
            </w:r>
          </w:p>
        </w:tc>
        <w:tc>
          <w:tcPr>
            <w:tcW w:w="8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556246">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考察政府采购项目的采购程序、采购方式的规范性。</w:t>
            </w:r>
          </w:p>
        </w:tc>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C18311">
            <w:pPr>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按照政府采购管理制度有效执行，政府采购招投标信息公开及时，得2分；未按制度执行或存在明显不符情况的，每个扣0.5分，扣完为止。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7BAE0C">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执行且有效</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65C89E">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执行且有效</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89572C">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val="en-US" w:eastAsia="zh-CN" w:bidi="ar"/>
              </w:rPr>
              <w:t xml:space="preserve">2.00 </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6E9501">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 xml:space="preserve">2.00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C34899">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100.00%</w:t>
            </w:r>
          </w:p>
        </w:tc>
      </w:tr>
      <w:tr w14:paraId="3F65FE83">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A7C6F9">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FD935E">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B4资产管理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BF973D">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B41固定资产管理规范性</w:t>
            </w:r>
          </w:p>
        </w:tc>
        <w:tc>
          <w:tcPr>
            <w:tcW w:w="8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DC6E74">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考察部门资产管理制度是否执行有效</w:t>
            </w:r>
          </w:p>
        </w:tc>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732684">
            <w:pPr>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按照资产管理制度，设置资产专人负责，按要求完成资产验收入库、领用登记、资产盘点、清理报废等，得5分；制度执行不到位每项扣0.5分，扣完为止。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3894A3">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规范</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BD8FE4">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规范</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B7EF93">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val="en-US" w:eastAsia="zh-CN" w:bidi="ar"/>
              </w:rPr>
              <w:t xml:space="preserve">4.00 </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97F3A6">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eastAsia" w:ascii="Times New Roman" w:hAnsi="Times New Roman" w:eastAsia="宋体" w:cs="Times New Roman"/>
                <w:color w:val="auto"/>
                <w:kern w:val="0"/>
                <w:sz w:val="20"/>
                <w:szCs w:val="20"/>
                <w:highlight w:val="none"/>
                <w:lang w:val="en-US" w:eastAsia="zh-CN" w:bidi="ar"/>
              </w:rPr>
              <w:t>4.00</w:t>
            </w:r>
            <w:r>
              <w:rPr>
                <w:rFonts w:hint="default" w:ascii="Times New Roman" w:hAnsi="Times New Roman" w:eastAsia="宋体" w:cs="Times New Roman"/>
                <w:color w:val="auto"/>
                <w:kern w:val="0"/>
                <w:sz w:val="20"/>
                <w:szCs w:val="20"/>
                <w:highlight w:val="none"/>
                <w:lang w:val="en-US" w:eastAsia="zh-CN" w:bidi="ar"/>
              </w:rPr>
              <w:t xml:space="preserve">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54FEC9">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eastAsia" w:ascii="Times New Roman" w:hAnsi="Times New Roman" w:eastAsia="宋体" w:cs="Times New Roman"/>
                <w:color w:val="auto"/>
                <w:kern w:val="0"/>
                <w:sz w:val="20"/>
                <w:szCs w:val="20"/>
                <w:highlight w:val="none"/>
                <w:lang w:val="en-US" w:eastAsia="zh-CN" w:bidi="ar"/>
              </w:rPr>
              <w:t>100.00</w:t>
            </w:r>
            <w:r>
              <w:rPr>
                <w:rFonts w:hint="default" w:ascii="Times New Roman" w:hAnsi="Times New Roman" w:eastAsia="宋体" w:cs="Times New Roman"/>
                <w:color w:val="auto"/>
                <w:kern w:val="0"/>
                <w:sz w:val="20"/>
                <w:szCs w:val="20"/>
                <w:highlight w:val="none"/>
                <w:lang w:val="en-US" w:eastAsia="zh-CN" w:bidi="ar"/>
              </w:rPr>
              <w:t>%</w:t>
            </w:r>
          </w:p>
        </w:tc>
      </w:tr>
      <w:tr w14:paraId="3885A4B5">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1FB4E5">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707706">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56F965">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B42固定资产利用率</w:t>
            </w:r>
          </w:p>
        </w:tc>
        <w:tc>
          <w:tcPr>
            <w:tcW w:w="8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9C26BF">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考察部门固定资产是否得到有效利用</w:t>
            </w:r>
          </w:p>
        </w:tc>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343BAC">
            <w:pPr>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固定资产利用率大于或等于95%得满分；小于或等于85%，得0分；85%-95%之间的，用公式计算，得分=（部门单位固定资产利用率-85%）/（95%-85%）×该指标分值，扣完为止。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1B7265">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sz w:val="21"/>
                <w:szCs w:val="21"/>
                <w:highlight w:val="none"/>
                <w:lang w:val="en-US" w:eastAsia="zh-CN"/>
              </w:rPr>
              <w:t>≥</w:t>
            </w:r>
            <w:r>
              <w:rPr>
                <w:rFonts w:hint="default" w:ascii="Times New Roman" w:hAnsi="Times New Roman" w:eastAsia="宋体" w:cs="Times New Roman"/>
                <w:color w:val="auto"/>
                <w:kern w:val="0"/>
                <w:sz w:val="20"/>
                <w:szCs w:val="20"/>
                <w:highlight w:val="none"/>
                <w:lang w:bidi="ar"/>
              </w:rPr>
              <w:t>95.00%</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F480F0">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100.00%</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3C0F6B">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 xml:space="preserve">2.00 </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810502">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 xml:space="preserve">2.00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2C5DA7">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100.00%</w:t>
            </w:r>
          </w:p>
        </w:tc>
      </w:tr>
      <w:tr w14:paraId="61E0B6DA">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D20CAD">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4D0A82">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B5项目管理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41BAE5">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B51</w:t>
            </w:r>
            <w:r>
              <w:rPr>
                <w:rFonts w:hint="eastAsia" w:ascii="Times New Roman" w:hAnsi="Times New Roman" w:eastAsia="宋体" w:cs="Times New Roman"/>
                <w:b w:val="0"/>
                <w:bCs w:val="0"/>
                <w:color w:val="auto"/>
                <w:sz w:val="21"/>
                <w:szCs w:val="21"/>
                <w:highlight w:val="none"/>
                <w:lang w:val="en-US" w:eastAsia="zh-CN"/>
              </w:rPr>
              <w:t>项目绩效达标率</w:t>
            </w:r>
          </w:p>
        </w:tc>
        <w:tc>
          <w:tcPr>
            <w:tcW w:w="8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4139FA">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b w:val="0"/>
                <w:bCs w:val="0"/>
                <w:color w:val="auto"/>
                <w:sz w:val="21"/>
                <w:szCs w:val="21"/>
                <w:highlight w:val="none"/>
                <w:lang w:val="en-US" w:eastAsia="zh-CN"/>
              </w:rPr>
              <w:t>考察项目绩效达标情况</w:t>
            </w:r>
          </w:p>
        </w:tc>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7DC708">
            <w:pPr>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b w:val="0"/>
                <w:bCs w:val="0"/>
                <w:color w:val="auto"/>
                <w:sz w:val="21"/>
                <w:szCs w:val="21"/>
                <w:highlight w:val="none"/>
                <w:lang w:val="en-US" w:eastAsia="zh-CN"/>
              </w:rPr>
              <w:t>项目绩</w:t>
            </w:r>
            <w:r>
              <w:rPr>
                <w:rFonts w:hint="eastAsia" w:ascii="Times New Roman" w:hAnsi="Times New Roman" w:eastAsia="宋体" w:cs="Times New Roman"/>
                <w:b w:val="0"/>
                <w:bCs w:val="0"/>
                <w:color w:val="auto"/>
                <w:sz w:val="20"/>
                <w:szCs w:val="20"/>
                <w:highlight w:val="none"/>
                <w:lang w:val="en-US" w:eastAsia="zh-CN" w:bidi="ar"/>
              </w:rPr>
              <w:t>效达标率=项目绩效自评平均分×100%，项目绩效达标率大于等于90%，得满分；项目绩效达标率大于等于80%，小于90%，得2.00分；项目绩效达标率大于等于60%，小于80%，得1.00分，项目绩效达标率低于60%，得0.00分。</w:t>
            </w:r>
            <w:r>
              <w:rPr>
                <w:rFonts w:hint="eastAsia" w:ascii="Times New Roman" w:hAnsi="Times New Roman" w:eastAsia="宋体" w:cs="Times New Roman"/>
                <w:b w:val="0"/>
                <w:bCs w:val="0"/>
                <w:color w:val="auto"/>
                <w:sz w:val="21"/>
                <w:szCs w:val="21"/>
                <w:highlight w:val="none"/>
                <w:lang w:val="en-US" w:eastAsia="zh-CN"/>
              </w:rPr>
              <w:t>注：若根据项目绩效自评印证材料发现存在自评不真实，无法印证自评结果的情况，该指标不得分。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AD35A2">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100.00%</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36806D">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100.00%</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58895C">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 xml:space="preserve">2.00 </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2EA52F">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 xml:space="preserve">2.00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46557B">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100.00%</w:t>
            </w:r>
          </w:p>
        </w:tc>
      </w:tr>
      <w:tr w14:paraId="2ED851C3">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7C20DB">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24F43B">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D3CC5E">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B52</w:t>
            </w:r>
            <w:r>
              <w:rPr>
                <w:rFonts w:hint="eastAsia" w:ascii="Times New Roman" w:hAnsi="Times New Roman" w:eastAsia="宋体" w:cs="Times New Roman"/>
                <w:b w:val="0"/>
                <w:bCs w:val="0"/>
                <w:color w:val="auto"/>
                <w:sz w:val="21"/>
                <w:szCs w:val="21"/>
                <w:highlight w:val="none"/>
                <w:lang w:val="en-US" w:eastAsia="zh-CN"/>
              </w:rPr>
              <w:t>项目支出预算调整率</w:t>
            </w:r>
          </w:p>
        </w:tc>
        <w:tc>
          <w:tcPr>
            <w:tcW w:w="8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2EA637">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年度项目支出预算的调整情况，考察预算编制准确性。</w:t>
            </w:r>
          </w:p>
        </w:tc>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36EEAC">
            <w:pPr>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项目支出预算调整率=（项目预算调整数/项目预算数）×100.00%；</w:t>
            </w:r>
          </w:p>
          <w:p w14:paraId="78913EE9">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预算数：部门在本年度内涉及预算的追加、追减或结构调整的项目资金总和。</w:t>
            </w:r>
          </w:p>
          <w:p w14:paraId="12CAE367">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预算调整率在±10</w:t>
            </w:r>
            <w:r>
              <w:rPr>
                <w:rFonts w:hint="eastAsia" w:ascii="Times New Roman" w:hAnsi="Times New Roman" w:eastAsia="宋体" w:cs="Times New Roman"/>
                <w:color w:val="auto"/>
                <w:kern w:val="0"/>
                <w:sz w:val="20"/>
                <w:szCs w:val="20"/>
                <w:highlight w:val="none"/>
                <w:lang w:val="en-US" w:eastAsia="zh-CN" w:bidi="ar"/>
              </w:rPr>
              <w:t>.00</w:t>
            </w:r>
            <w:r>
              <w:rPr>
                <w:rFonts w:hint="eastAsia" w:ascii="Times New Roman" w:hAnsi="Times New Roman" w:eastAsia="宋体" w:cs="Times New Roman"/>
                <w:color w:val="auto"/>
                <w:kern w:val="0"/>
                <w:sz w:val="20"/>
                <w:szCs w:val="20"/>
                <w:highlight w:val="none"/>
                <w:lang w:bidi="ar"/>
              </w:rPr>
              <w:t>%以内，得3</w:t>
            </w:r>
            <w:r>
              <w:rPr>
                <w:rFonts w:hint="eastAsia" w:ascii="Times New Roman" w:hAnsi="Times New Roman" w:eastAsia="宋体" w:cs="Times New Roman"/>
                <w:color w:val="auto"/>
                <w:kern w:val="0"/>
                <w:sz w:val="20"/>
                <w:szCs w:val="20"/>
                <w:highlight w:val="none"/>
                <w:lang w:val="en-US" w:eastAsia="zh-CN" w:bidi="ar"/>
              </w:rPr>
              <w:t>.00</w:t>
            </w:r>
            <w:r>
              <w:rPr>
                <w:rFonts w:hint="eastAsia" w:ascii="Times New Roman" w:hAnsi="Times New Roman" w:eastAsia="宋体" w:cs="Times New Roman"/>
                <w:color w:val="auto"/>
                <w:kern w:val="0"/>
                <w:sz w:val="20"/>
                <w:szCs w:val="20"/>
                <w:highlight w:val="none"/>
                <w:lang w:bidi="ar"/>
              </w:rPr>
              <w:t>分，每增减1</w:t>
            </w:r>
            <w:r>
              <w:rPr>
                <w:rFonts w:hint="eastAsia" w:ascii="Times New Roman" w:hAnsi="Times New Roman" w:eastAsia="宋体" w:cs="Times New Roman"/>
                <w:color w:val="auto"/>
                <w:kern w:val="0"/>
                <w:sz w:val="20"/>
                <w:szCs w:val="20"/>
                <w:highlight w:val="none"/>
                <w:lang w:val="en-US" w:eastAsia="zh-CN" w:bidi="ar"/>
              </w:rPr>
              <w:t>.00</w:t>
            </w:r>
            <w:r>
              <w:rPr>
                <w:rFonts w:hint="eastAsia" w:ascii="Times New Roman" w:hAnsi="Times New Roman" w:eastAsia="宋体" w:cs="Times New Roman"/>
                <w:color w:val="auto"/>
                <w:kern w:val="0"/>
                <w:sz w:val="20"/>
                <w:szCs w:val="20"/>
                <w:highlight w:val="none"/>
                <w:lang w:bidi="ar"/>
              </w:rPr>
              <w:t>%扣0.1</w:t>
            </w:r>
            <w:r>
              <w:rPr>
                <w:rFonts w:hint="eastAsia" w:ascii="Times New Roman" w:hAnsi="Times New Roman" w:eastAsia="宋体" w:cs="Times New Roman"/>
                <w:color w:val="auto"/>
                <w:kern w:val="0"/>
                <w:sz w:val="20"/>
                <w:szCs w:val="20"/>
                <w:highlight w:val="none"/>
                <w:lang w:val="en-US" w:eastAsia="zh-CN" w:bidi="ar"/>
              </w:rPr>
              <w:t>0</w:t>
            </w:r>
            <w:r>
              <w:rPr>
                <w:rFonts w:hint="eastAsia" w:ascii="Times New Roman" w:hAnsi="Times New Roman" w:eastAsia="宋体" w:cs="Times New Roman"/>
                <w:color w:val="auto"/>
                <w:kern w:val="0"/>
                <w:sz w:val="20"/>
                <w:szCs w:val="20"/>
                <w:highlight w:val="none"/>
                <w:lang w:bidi="ar"/>
              </w:rPr>
              <w:t>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538D02">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±10.00%以内</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C92532">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84</w:t>
            </w:r>
            <w:r>
              <w:rPr>
                <w:rFonts w:hint="eastAsia" w:ascii="Times New Roman" w:hAnsi="Times New Roman" w:eastAsia="宋体" w:cs="Times New Roman"/>
                <w:color w:val="auto"/>
                <w:kern w:val="0"/>
                <w:sz w:val="20"/>
                <w:szCs w:val="20"/>
                <w:highlight w:val="none"/>
                <w:lang w:val="en-US" w:eastAsia="zh-CN" w:bidi="ar"/>
              </w:rPr>
              <w:t>,</w:t>
            </w:r>
            <w:r>
              <w:rPr>
                <w:rFonts w:hint="default" w:ascii="Times New Roman" w:hAnsi="Times New Roman" w:eastAsia="宋体" w:cs="Times New Roman"/>
                <w:color w:val="auto"/>
                <w:kern w:val="0"/>
                <w:sz w:val="20"/>
                <w:szCs w:val="20"/>
                <w:highlight w:val="none"/>
                <w:lang w:bidi="ar"/>
              </w:rPr>
              <w:t>214.52%</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7DCF7C">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 xml:space="preserve">3.00 </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78A951">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 xml:space="preserve">0.00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253816">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0.00%</w:t>
            </w:r>
          </w:p>
        </w:tc>
      </w:tr>
      <w:tr w14:paraId="7FF34705">
        <w:tblPrEx>
          <w:tblCellMar>
            <w:top w:w="0" w:type="dxa"/>
            <w:left w:w="51" w:type="dxa"/>
            <w:bottom w:w="0" w:type="dxa"/>
            <w:right w:w="51" w:type="dxa"/>
          </w:tblCellMar>
        </w:tblPrEx>
        <w:trPr>
          <w:trHeight w:val="261" w:hRule="atLeast"/>
        </w:trPr>
        <w:tc>
          <w:tcPr>
            <w:tcW w:w="346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782CA73">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小计</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955391">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F28BBE">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CD724E">
            <w:pPr>
              <w:widowControl/>
              <w:spacing w:line="240" w:lineRule="auto"/>
              <w:ind w:firstLine="0" w:firstLineChars="0"/>
              <w:jc w:val="center"/>
              <w:textAlignment w:val="center"/>
              <w:rPr>
                <w:rFonts w:hint="default" w:ascii="Times New Roman" w:hAnsi="Times New Roman" w:eastAsia="宋体" w:cs="Times New Roman"/>
                <w:b/>
                <w:bCs/>
                <w:color w:val="auto"/>
                <w:kern w:val="0"/>
                <w:sz w:val="20"/>
                <w:szCs w:val="20"/>
                <w:highlight w:val="none"/>
                <w:lang w:val="en-US" w:eastAsia="zh-CN" w:bidi="ar"/>
              </w:rPr>
            </w:pPr>
            <w:r>
              <w:rPr>
                <w:rFonts w:hint="default" w:ascii="Times New Roman" w:hAnsi="Times New Roman" w:eastAsia="宋体" w:cs="Times New Roman"/>
                <w:b/>
                <w:bCs/>
                <w:color w:val="auto"/>
                <w:kern w:val="0"/>
                <w:sz w:val="20"/>
                <w:szCs w:val="20"/>
                <w:highlight w:val="none"/>
                <w:lang w:val="en-US" w:eastAsia="zh-CN" w:bidi="ar"/>
              </w:rPr>
              <w:t xml:space="preserve">25.00 </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5E79AB">
            <w:pPr>
              <w:widowControl/>
              <w:spacing w:line="240" w:lineRule="auto"/>
              <w:ind w:firstLine="0" w:firstLineChars="0"/>
              <w:jc w:val="center"/>
              <w:textAlignment w:val="center"/>
              <w:rPr>
                <w:rFonts w:hint="default" w:ascii="Times New Roman" w:hAnsi="Times New Roman" w:eastAsia="宋体" w:cs="Times New Roman"/>
                <w:b/>
                <w:bCs/>
                <w:color w:val="auto"/>
                <w:kern w:val="0"/>
                <w:sz w:val="20"/>
                <w:szCs w:val="20"/>
                <w:highlight w:val="none"/>
                <w:lang w:val="en-US" w:eastAsia="zh-CN" w:bidi="ar"/>
              </w:rPr>
            </w:pPr>
            <w:r>
              <w:rPr>
                <w:rFonts w:hint="eastAsia" w:ascii="Times New Roman" w:hAnsi="Times New Roman" w:eastAsia="宋体" w:cs="Times New Roman"/>
                <w:b/>
                <w:bCs/>
                <w:color w:val="auto"/>
                <w:kern w:val="0"/>
                <w:sz w:val="20"/>
                <w:szCs w:val="20"/>
                <w:highlight w:val="none"/>
                <w:lang w:val="en-US" w:eastAsia="zh-CN" w:bidi="ar"/>
              </w:rPr>
              <w:t>21.0</w:t>
            </w:r>
            <w:r>
              <w:rPr>
                <w:rFonts w:hint="default" w:ascii="Times New Roman" w:hAnsi="Times New Roman" w:eastAsia="宋体" w:cs="Times New Roman"/>
                <w:b/>
                <w:bCs/>
                <w:color w:val="auto"/>
                <w:kern w:val="0"/>
                <w:sz w:val="20"/>
                <w:szCs w:val="20"/>
                <w:highlight w:val="none"/>
                <w:lang w:val="en-US" w:eastAsia="zh-CN" w:bidi="ar"/>
              </w:rPr>
              <w:t xml:space="preserve">0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F5C838">
            <w:pPr>
              <w:widowControl/>
              <w:spacing w:line="240" w:lineRule="auto"/>
              <w:ind w:firstLine="0" w:firstLineChars="0"/>
              <w:jc w:val="center"/>
              <w:textAlignment w:val="center"/>
              <w:rPr>
                <w:rFonts w:hint="default" w:ascii="Times New Roman" w:hAnsi="Times New Roman" w:eastAsia="宋体" w:cs="Times New Roman"/>
                <w:b/>
                <w:bCs/>
                <w:color w:val="auto"/>
                <w:kern w:val="0"/>
                <w:sz w:val="20"/>
                <w:szCs w:val="20"/>
                <w:highlight w:val="none"/>
                <w:lang w:val="en-US" w:eastAsia="zh-CN" w:bidi="ar"/>
              </w:rPr>
            </w:pPr>
            <w:r>
              <w:rPr>
                <w:rFonts w:hint="eastAsia" w:ascii="Times New Roman" w:hAnsi="Times New Roman" w:eastAsia="宋体" w:cs="Times New Roman"/>
                <w:b/>
                <w:bCs/>
                <w:color w:val="auto"/>
                <w:kern w:val="0"/>
                <w:sz w:val="20"/>
                <w:szCs w:val="20"/>
                <w:highlight w:val="none"/>
                <w:lang w:val="en-US" w:eastAsia="zh-CN" w:bidi="ar"/>
              </w:rPr>
              <w:t>84</w:t>
            </w:r>
            <w:r>
              <w:rPr>
                <w:rFonts w:hint="default" w:ascii="Times New Roman" w:hAnsi="Times New Roman" w:eastAsia="宋体" w:cs="Times New Roman"/>
                <w:b/>
                <w:bCs/>
                <w:color w:val="auto"/>
                <w:kern w:val="0"/>
                <w:sz w:val="20"/>
                <w:szCs w:val="20"/>
                <w:highlight w:val="none"/>
                <w:lang w:val="en-US" w:eastAsia="zh-CN" w:bidi="ar"/>
              </w:rPr>
              <w:t>.00%</w:t>
            </w:r>
          </w:p>
        </w:tc>
      </w:tr>
      <w:tr w14:paraId="54028027">
        <w:tblPrEx>
          <w:tblCellMar>
            <w:top w:w="0" w:type="dxa"/>
            <w:left w:w="51" w:type="dxa"/>
            <w:bottom w:w="0" w:type="dxa"/>
            <w:right w:w="51" w:type="dxa"/>
          </w:tblCellMar>
        </w:tblPrEx>
        <w:trPr>
          <w:trHeight w:val="261" w:hRule="atLeast"/>
        </w:trPr>
        <w:tc>
          <w:tcPr>
            <w:tcW w:w="246"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D325F91">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C部门绩效（60.00分）</w:t>
            </w:r>
          </w:p>
        </w:tc>
        <w:tc>
          <w:tcPr>
            <w:tcW w:w="28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C6E6C3E">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bCs/>
                <w:color w:val="auto"/>
                <w:sz w:val="21"/>
                <w:szCs w:val="21"/>
                <w:highlight w:val="none"/>
                <w:lang w:val="en-US" w:eastAsia="zh-CN"/>
              </w:rPr>
              <w:t>C1履职效能—</w:t>
            </w:r>
            <w:r>
              <w:rPr>
                <w:rFonts w:hint="eastAsia" w:ascii="Times New Roman" w:hAnsi="Times New Roman" w:eastAsia="宋体" w:cs="Times New Roman"/>
                <w:color w:val="auto"/>
                <w:sz w:val="21"/>
                <w:szCs w:val="21"/>
                <w:highlight w:val="none"/>
                <w:lang w:val="en-US" w:eastAsia="zh-CN"/>
              </w:rPr>
              <w:t>农技推广宣传与预防</w:t>
            </w:r>
          </w:p>
        </w:tc>
        <w:tc>
          <w:tcPr>
            <w:tcW w:w="380" w:type="pct"/>
            <w:tcBorders>
              <w:top w:val="single" w:color="auto" w:sz="4" w:space="0"/>
              <w:left w:val="single" w:color="auto" w:sz="4" w:space="0"/>
              <w:bottom w:val="single" w:color="auto" w:sz="4" w:space="0"/>
              <w:right w:val="single" w:color="auto" w:sz="4" w:space="0"/>
            </w:tcBorders>
            <w:shd w:val="clear" w:color="auto" w:fill="auto"/>
            <w:vAlign w:val="center"/>
          </w:tcPr>
          <w:p w14:paraId="1D418A88">
            <w:pPr>
              <w:widowControl/>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C11</w:t>
            </w:r>
            <w:r>
              <w:rPr>
                <w:rFonts w:hint="eastAsia" w:ascii="Times New Roman" w:hAnsi="Times New Roman" w:eastAsia="宋体" w:cs="Times New Roman"/>
                <w:color w:val="auto"/>
                <w:kern w:val="0"/>
                <w:sz w:val="20"/>
                <w:szCs w:val="20"/>
                <w:highlight w:val="none"/>
                <w:lang w:eastAsia="zh-CN" w:bidi="ar"/>
              </w:rPr>
              <w:t>开展各类农技培训次数</w:t>
            </w:r>
          </w:p>
        </w:tc>
        <w:tc>
          <w:tcPr>
            <w:tcW w:w="843" w:type="pct"/>
            <w:tcBorders>
              <w:top w:val="single" w:color="000000" w:sz="4" w:space="0"/>
              <w:left w:val="single" w:color="auto" w:sz="4" w:space="0"/>
              <w:bottom w:val="single" w:color="000000" w:sz="4" w:space="0"/>
              <w:right w:val="single" w:color="000000" w:sz="4" w:space="0"/>
            </w:tcBorders>
            <w:shd w:val="clear" w:color="auto" w:fill="auto"/>
            <w:vAlign w:val="center"/>
          </w:tcPr>
          <w:p w14:paraId="5AAB2912">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考察主要公共产品与服务绩效产出类、效益类指标的完成情况</w:t>
            </w:r>
          </w:p>
        </w:tc>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227934">
            <w:pPr>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部门按照计划目标完成年度重点工作目标的，得</w:t>
            </w:r>
            <w:r>
              <w:rPr>
                <w:rFonts w:hint="eastAsia" w:ascii="Times New Roman" w:hAnsi="Times New Roman" w:eastAsia="宋体" w:cs="Times New Roman"/>
                <w:color w:val="auto"/>
                <w:kern w:val="0"/>
                <w:sz w:val="20"/>
                <w:szCs w:val="20"/>
                <w:highlight w:val="none"/>
                <w:lang w:val="en-US" w:eastAsia="zh-CN" w:bidi="ar"/>
              </w:rPr>
              <w:t>7</w:t>
            </w:r>
            <w:r>
              <w:rPr>
                <w:rFonts w:hint="default" w:ascii="Times New Roman" w:hAnsi="Times New Roman" w:eastAsia="宋体" w:cs="Times New Roman"/>
                <w:color w:val="auto"/>
                <w:kern w:val="0"/>
                <w:sz w:val="20"/>
                <w:szCs w:val="20"/>
                <w:highlight w:val="none"/>
                <w:lang w:bidi="ar"/>
              </w:rPr>
              <w:t>.00分，反之，得分=实际完成值/计划完成值×权重。</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2905B9">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≥100场</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7DDE45">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117场</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711DA8">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7.00</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E8238D">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eastAsia" w:ascii="Times New Roman" w:hAnsi="Times New Roman" w:eastAsia="宋体" w:cs="Times New Roman"/>
                <w:color w:val="auto"/>
                <w:kern w:val="0"/>
                <w:sz w:val="20"/>
                <w:szCs w:val="20"/>
                <w:highlight w:val="none"/>
                <w:lang w:val="en-US" w:eastAsia="zh-CN" w:bidi="ar"/>
              </w:rPr>
              <w:t>7.00</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FE4E06">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eastAsia" w:ascii="Times New Roman" w:hAnsi="Times New Roman" w:eastAsia="宋体" w:cs="Times New Roman"/>
                <w:color w:val="auto"/>
                <w:kern w:val="0"/>
                <w:sz w:val="20"/>
                <w:szCs w:val="20"/>
                <w:highlight w:val="none"/>
                <w:lang w:val="en-US" w:eastAsia="zh-CN" w:bidi="ar"/>
              </w:rPr>
              <w:t>100.00%</w:t>
            </w:r>
          </w:p>
        </w:tc>
      </w:tr>
      <w:tr w14:paraId="28837903">
        <w:tblPrEx>
          <w:tblCellMar>
            <w:top w:w="0" w:type="dxa"/>
            <w:left w:w="51" w:type="dxa"/>
            <w:bottom w:w="0" w:type="dxa"/>
            <w:right w:w="51" w:type="dxa"/>
          </w:tblCellMar>
        </w:tblPrEx>
        <w:trPr>
          <w:trHeight w:val="261" w:hRule="atLeast"/>
        </w:trPr>
        <w:tc>
          <w:tcPr>
            <w:tcW w:w="24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47C318B">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28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797B260">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380" w:type="pct"/>
            <w:tcBorders>
              <w:top w:val="single" w:color="auto" w:sz="4" w:space="0"/>
              <w:left w:val="single" w:color="auto" w:sz="4" w:space="0"/>
              <w:bottom w:val="single" w:color="auto" w:sz="4" w:space="0"/>
              <w:right w:val="single" w:color="auto" w:sz="4" w:space="0"/>
            </w:tcBorders>
            <w:shd w:val="clear" w:color="auto" w:fill="auto"/>
            <w:vAlign w:val="center"/>
          </w:tcPr>
          <w:p w14:paraId="10CED42F">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bidi="ar"/>
              </w:rPr>
              <w:t>C</w:t>
            </w:r>
            <w:r>
              <w:rPr>
                <w:rFonts w:hint="eastAsia" w:ascii="Times New Roman" w:hAnsi="Times New Roman" w:eastAsia="宋体" w:cs="Times New Roman"/>
                <w:color w:val="auto"/>
                <w:kern w:val="0"/>
                <w:sz w:val="20"/>
                <w:szCs w:val="20"/>
                <w:highlight w:val="none"/>
                <w:lang w:val="en-US" w:eastAsia="zh-CN" w:bidi="ar"/>
              </w:rPr>
              <w:t>12</w:t>
            </w:r>
            <w:r>
              <w:rPr>
                <w:rFonts w:hint="default" w:ascii="Times New Roman" w:hAnsi="Times New Roman" w:eastAsia="宋体" w:cs="Times New Roman"/>
                <w:color w:val="auto"/>
                <w:kern w:val="0"/>
                <w:sz w:val="20"/>
                <w:szCs w:val="20"/>
                <w:highlight w:val="none"/>
                <w:lang w:bidi="ar"/>
              </w:rPr>
              <w:t>中长期病虫害预测预报</w:t>
            </w:r>
          </w:p>
        </w:tc>
        <w:tc>
          <w:tcPr>
            <w:tcW w:w="843" w:type="pct"/>
            <w:tcBorders>
              <w:top w:val="single" w:color="000000" w:sz="4" w:space="0"/>
              <w:left w:val="single" w:color="auto" w:sz="4" w:space="0"/>
              <w:bottom w:val="single" w:color="000000" w:sz="4" w:space="0"/>
              <w:right w:val="single" w:color="000000" w:sz="4" w:space="0"/>
            </w:tcBorders>
            <w:shd w:val="clear" w:color="auto" w:fill="auto"/>
            <w:vAlign w:val="center"/>
          </w:tcPr>
          <w:p w14:paraId="27AD41EB">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bidi="ar"/>
              </w:rPr>
              <w:t>考察主要公共产品与服务绩效产出类、效益类指标的完成情况</w:t>
            </w:r>
          </w:p>
        </w:tc>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1BF6D1">
            <w:pPr>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bidi="ar"/>
              </w:rPr>
              <w:t>部门按照计划目标完成年度重点工作目标的，得</w:t>
            </w:r>
            <w:r>
              <w:rPr>
                <w:rFonts w:hint="eastAsia" w:ascii="Times New Roman" w:hAnsi="Times New Roman" w:eastAsia="宋体" w:cs="Times New Roman"/>
                <w:color w:val="auto"/>
                <w:kern w:val="0"/>
                <w:sz w:val="20"/>
                <w:szCs w:val="20"/>
                <w:highlight w:val="none"/>
                <w:lang w:val="en-US" w:eastAsia="zh-CN" w:bidi="ar"/>
              </w:rPr>
              <w:t>7</w:t>
            </w:r>
            <w:r>
              <w:rPr>
                <w:rFonts w:hint="default" w:ascii="Times New Roman" w:hAnsi="Times New Roman" w:eastAsia="宋体" w:cs="Times New Roman"/>
                <w:color w:val="auto"/>
                <w:kern w:val="0"/>
                <w:sz w:val="20"/>
                <w:szCs w:val="20"/>
                <w:highlight w:val="none"/>
                <w:lang w:bidi="ar"/>
              </w:rPr>
              <w:t>.00分，反之，得分=实际完成值/计划完成值×权重。</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B52DB4">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bidi="ar"/>
              </w:rPr>
              <w:t>≥10期</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C22F81">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bidi="ar"/>
              </w:rPr>
              <w:t>15期</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525653">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bidi="ar"/>
              </w:rPr>
              <w:t>8.00</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40A464">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eastAsia" w:ascii="Times New Roman" w:hAnsi="Times New Roman" w:eastAsia="宋体" w:cs="Times New Roman"/>
                <w:color w:val="auto"/>
                <w:kern w:val="0"/>
                <w:sz w:val="20"/>
                <w:szCs w:val="20"/>
                <w:highlight w:val="none"/>
                <w:lang w:val="en-US" w:eastAsia="zh-CN" w:bidi="ar"/>
              </w:rPr>
              <w:t>8.00</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90A0E8">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eastAsia" w:ascii="Times New Roman" w:hAnsi="Times New Roman" w:eastAsia="宋体" w:cs="Times New Roman"/>
                <w:color w:val="auto"/>
                <w:kern w:val="0"/>
                <w:sz w:val="20"/>
                <w:szCs w:val="20"/>
                <w:highlight w:val="none"/>
                <w:lang w:val="en-US" w:eastAsia="zh-CN" w:bidi="ar"/>
              </w:rPr>
              <w:t>100.00%</w:t>
            </w:r>
          </w:p>
        </w:tc>
      </w:tr>
      <w:tr w14:paraId="68D223C4">
        <w:tblPrEx>
          <w:tblCellMar>
            <w:top w:w="0" w:type="dxa"/>
            <w:left w:w="51" w:type="dxa"/>
            <w:bottom w:w="0" w:type="dxa"/>
            <w:right w:w="51" w:type="dxa"/>
          </w:tblCellMar>
        </w:tblPrEx>
        <w:trPr>
          <w:trHeight w:val="261" w:hRule="atLeast"/>
        </w:trPr>
        <w:tc>
          <w:tcPr>
            <w:tcW w:w="24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C56FDBF">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28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432192">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sz w:val="21"/>
                <w:szCs w:val="21"/>
                <w:highlight w:val="none"/>
                <w:lang w:val="en-US" w:eastAsia="zh-CN"/>
              </w:rPr>
              <w:t>C2履职效能—</w:t>
            </w:r>
            <w:r>
              <w:rPr>
                <w:rFonts w:hint="eastAsia" w:ascii="Times New Roman" w:hAnsi="Times New Roman" w:eastAsia="宋体" w:cs="Times New Roman"/>
                <w:color w:val="auto"/>
                <w:highlight w:val="none"/>
                <w:lang w:val="en-US" w:eastAsia="zh-CN"/>
              </w:rPr>
              <w:t>绿色防控技术推广</w:t>
            </w:r>
          </w:p>
        </w:tc>
        <w:tc>
          <w:tcPr>
            <w:tcW w:w="380" w:type="pct"/>
            <w:tcBorders>
              <w:top w:val="single" w:color="auto" w:sz="4" w:space="0"/>
              <w:left w:val="single" w:color="auto" w:sz="4" w:space="0"/>
              <w:bottom w:val="single" w:color="auto" w:sz="4" w:space="0"/>
              <w:right w:val="single" w:color="auto" w:sz="4" w:space="0"/>
            </w:tcBorders>
            <w:shd w:val="clear" w:color="auto" w:fill="auto"/>
            <w:vAlign w:val="center"/>
          </w:tcPr>
          <w:p w14:paraId="47B06404">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bidi="ar"/>
              </w:rPr>
              <w:t>C</w:t>
            </w:r>
            <w:r>
              <w:rPr>
                <w:rFonts w:hint="eastAsia" w:ascii="Times New Roman" w:hAnsi="Times New Roman" w:eastAsia="宋体" w:cs="Times New Roman"/>
                <w:color w:val="auto"/>
                <w:kern w:val="0"/>
                <w:sz w:val="20"/>
                <w:szCs w:val="20"/>
                <w:highlight w:val="none"/>
                <w:lang w:val="en-US" w:eastAsia="zh-CN" w:bidi="ar"/>
              </w:rPr>
              <w:t>21</w:t>
            </w:r>
            <w:r>
              <w:rPr>
                <w:rFonts w:hint="default" w:ascii="Times New Roman" w:hAnsi="Times New Roman" w:eastAsia="宋体" w:cs="Times New Roman"/>
                <w:color w:val="auto"/>
                <w:kern w:val="0"/>
                <w:sz w:val="20"/>
                <w:szCs w:val="20"/>
                <w:highlight w:val="none"/>
                <w:lang w:bidi="ar"/>
              </w:rPr>
              <w:t>小麦粮食作物统防统治覆盖率</w:t>
            </w:r>
          </w:p>
        </w:tc>
        <w:tc>
          <w:tcPr>
            <w:tcW w:w="843" w:type="pct"/>
            <w:tcBorders>
              <w:top w:val="single" w:color="000000" w:sz="4" w:space="0"/>
              <w:left w:val="single" w:color="auto" w:sz="4" w:space="0"/>
              <w:bottom w:val="single" w:color="000000" w:sz="4" w:space="0"/>
              <w:right w:val="single" w:color="000000" w:sz="4" w:space="0"/>
            </w:tcBorders>
            <w:shd w:val="clear" w:color="auto" w:fill="auto"/>
            <w:vAlign w:val="center"/>
          </w:tcPr>
          <w:p w14:paraId="4B1839B6">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bidi="ar"/>
              </w:rPr>
              <w:t>考察主要公共产品与服务绩效产出类、效益类指标的完成情况</w:t>
            </w:r>
          </w:p>
        </w:tc>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AB2454">
            <w:pPr>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bidi="ar"/>
              </w:rPr>
              <w:t>部门按照计划目标完成年度重点工作目标的，得6.00分，反之，得分=实际完成值/计划完成值×权重。</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40BD3E">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eastAsia" w:ascii="Times New Roman" w:hAnsi="Times New Roman" w:eastAsia="宋体" w:cs="Times New Roman"/>
                <w:color w:val="auto"/>
                <w:sz w:val="21"/>
                <w:szCs w:val="21"/>
                <w:highlight w:val="none"/>
                <w:lang w:val="en-US" w:eastAsia="zh-CN"/>
              </w:rPr>
              <w:t>≥</w:t>
            </w:r>
            <w:r>
              <w:rPr>
                <w:rFonts w:hint="default" w:ascii="Times New Roman" w:hAnsi="Times New Roman" w:eastAsia="宋体" w:cs="Times New Roman"/>
                <w:color w:val="auto"/>
                <w:kern w:val="0"/>
                <w:sz w:val="20"/>
                <w:szCs w:val="20"/>
                <w:highlight w:val="none"/>
                <w:lang w:bidi="ar"/>
              </w:rPr>
              <w:t>48.00%</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3A0119">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bidi="ar"/>
              </w:rPr>
              <w:t>54.05%</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551260">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bidi="ar"/>
              </w:rPr>
              <w:t>6.00</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09998F">
            <w:pPr>
              <w:widowControl/>
              <w:spacing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val="en-US" w:eastAsia="zh-CN" w:bidi="ar"/>
              </w:rPr>
            </w:pPr>
            <w:r>
              <w:rPr>
                <w:rFonts w:hint="eastAsia" w:ascii="Times New Roman" w:hAnsi="Times New Roman" w:eastAsia="宋体" w:cs="Times New Roman"/>
                <w:color w:val="auto"/>
                <w:kern w:val="0"/>
                <w:sz w:val="20"/>
                <w:szCs w:val="20"/>
                <w:highlight w:val="none"/>
                <w:lang w:val="en-US" w:eastAsia="zh-CN" w:bidi="ar"/>
              </w:rPr>
              <w:t>6.00</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D3E7B9">
            <w:pPr>
              <w:widowControl/>
              <w:spacing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val="en-US" w:eastAsia="zh-CN" w:bidi="ar"/>
              </w:rPr>
            </w:pPr>
            <w:r>
              <w:rPr>
                <w:rFonts w:hint="eastAsia" w:ascii="Times New Roman" w:hAnsi="Times New Roman" w:eastAsia="宋体" w:cs="Times New Roman"/>
                <w:color w:val="auto"/>
                <w:kern w:val="0"/>
                <w:sz w:val="20"/>
                <w:szCs w:val="20"/>
                <w:highlight w:val="none"/>
                <w:lang w:val="en-US" w:eastAsia="zh-CN" w:bidi="ar"/>
              </w:rPr>
              <w:t>100.00%</w:t>
            </w:r>
          </w:p>
        </w:tc>
      </w:tr>
      <w:tr w14:paraId="4C77BBAE">
        <w:tblPrEx>
          <w:tblCellMar>
            <w:top w:w="0" w:type="dxa"/>
            <w:left w:w="51" w:type="dxa"/>
            <w:bottom w:w="0" w:type="dxa"/>
            <w:right w:w="51" w:type="dxa"/>
          </w:tblCellMar>
        </w:tblPrEx>
        <w:trPr>
          <w:trHeight w:val="261" w:hRule="atLeast"/>
        </w:trPr>
        <w:tc>
          <w:tcPr>
            <w:tcW w:w="24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6E66218">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28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939FC65">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380" w:type="pct"/>
            <w:tcBorders>
              <w:top w:val="single" w:color="auto" w:sz="4" w:space="0"/>
              <w:left w:val="single" w:color="auto" w:sz="4" w:space="0"/>
              <w:bottom w:val="single" w:color="auto" w:sz="4" w:space="0"/>
              <w:right w:val="single" w:color="auto" w:sz="4" w:space="0"/>
            </w:tcBorders>
            <w:shd w:val="clear" w:color="auto" w:fill="auto"/>
            <w:vAlign w:val="center"/>
          </w:tcPr>
          <w:p w14:paraId="10D5FCA8">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C</w:t>
            </w:r>
            <w:r>
              <w:rPr>
                <w:rFonts w:hint="eastAsia" w:ascii="Times New Roman" w:hAnsi="Times New Roman" w:eastAsia="宋体" w:cs="Times New Roman"/>
                <w:color w:val="auto"/>
                <w:kern w:val="0"/>
                <w:sz w:val="20"/>
                <w:szCs w:val="20"/>
                <w:highlight w:val="none"/>
                <w:lang w:val="en-US" w:eastAsia="zh-CN" w:bidi="ar"/>
              </w:rPr>
              <w:t>22</w:t>
            </w:r>
            <w:r>
              <w:rPr>
                <w:rFonts w:hint="default" w:ascii="Times New Roman" w:hAnsi="Times New Roman" w:eastAsia="宋体" w:cs="Times New Roman"/>
                <w:color w:val="auto"/>
                <w:kern w:val="0"/>
                <w:sz w:val="20"/>
                <w:szCs w:val="20"/>
                <w:highlight w:val="none"/>
                <w:lang w:bidi="ar"/>
              </w:rPr>
              <w:t>玉米粮食作物统防统治覆盖率</w:t>
            </w:r>
          </w:p>
        </w:tc>
        <w:tc>
          <w:tcPr>
            <w:tcW w:w="843" w:type="pct"/>
            <w:tcBorders>
              <w:top w:val="single" w:color="000000" w:sz="4" w:space="0"/>
              <w:left w:val="single" w:color="auto" w:sz="4" w:space="0"/>
              <w:bottom w:val="single" w:color="000000" w:sz="4" w:space="0"/>
              <w:right w:val="single" w:color="000000" w:sz="4" w:space="0"/>
            </w:tcBorders>
            <w:shd w:val="clear" w:color="auto" w:fill="auto"/>
            <w:vAlign w:val="center"/>
          </w:tcPr>
          <w:p w14:paraId="681DBF9C">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考察主要公共产品与服务绩效产出类、效益类指标的完成情况</w:t>
            </w:r>
          </w:p>
        </w:tc>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E1A470">
            <w:pPr>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部门按照计划目标完成年度重点工作目标的，得6.00分，反之，得分=实际完成值/计划完成值×权重。</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532164">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sz w:val="21"/>
                <w:szCs w:val="21"/>
                <w:highlight w:val="none"/>
                <w:lang w:val="en-US" w:eastAsia="zh-CN"/>
              </w:rPr>
              <w:t>≥</w:t>
            </w:r>
            <w:r>
              <w:rPr>
                <w:rFonts w:hint="default" w:ascii="Times New Roman" w:hAnsi="Times New Roman" w:eastAsia="宋体" w:cs="Times New Roman"/>
                <w:color w:val="auto"/>
                <w:kern w:val="0"/>
                <w:sz w:val="20"/>
                <w:szCs w:val="20"/>
                <w:highlight w:val="none"/>
                <w:lang w:bidi="ar"/>
              </w:rPr>
              <w:t>48.00%</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6C27FB">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54.11%</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9CD39C">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6.00</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D20609">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eastAsia" w:ascii="Times New Roman" w:hAnsi="Times New Roman" w:eastAsia="宋体" w:cs="Times New Roman"/>
                <w:color w:val="auto"/>
                <w:kern w:val="0"/>
                <w:sz w:val="20"/>
                <w:szCs w:val="20"/>
                <w:highlight w:val="none"/>
                <w:lang w:val="en-US" w:eastAsia="zh-CN" w:bidi="ar"/>
              </w:rPr>
              <w:t>6.00</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6EEF2C">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eastAsia" w:ascii="Times New Roman" w:hAnsi="Times New Roman" w:eastAsia="宋体" w:cs="Times New Roman"/>
                <w:color w:val="auto"/>
                <w:kern w:val="0"/>
                <w:sz w:val="20"/>
                <w:szCs w:val="20"/>
                <w:highlight w:val="none"/>
                <w:lang w:val="en-US" w:eastAsia="zh-CN" w:bidi="ar"/>
              </w:rPr>
              <w:t>100.00%</w:t>
            </w:r>
          </w:p>
        </w:tc>
      </w:tr>
      <w:tr w14:paraId="66AB5492">
        <w:tblPrEx>
          <w:tblCellMar>
            <w:top w:w="0" w:type="dxa"/>
            <w:left w:w="51" w:type="dxa"/>
            <w:bottom w:w="0" w:type="dxa"/>
            <w:right w:w="51" w:type="dxa"/>
          </w:tblCellMar>
        </w:tblPrEx>
        <w:trPr>
          <w:trHeight w:val="261" w:hRule="atLeast"/>
        </w:trPr>
        <w:tc>
          <w:tcPr>
            <w:tcW w:w="24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6B732BC">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28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7C5BDAB">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380" w:type="pct"/>
            <w:tcBorders>
              <w:top w:val="single" w:color="auto" w:sz="4" w:space="0"/>
              <w:left w:val="single" w:color="auto" w:sz="4" w:space="0"/>
              <w:bottom w:val="single" w:color="auto" w:sz="4" w:space="0"/>
              <w:right w:val="single" w:color="auto" w:sz="4" w:space="0"/>
            </w:tcBorders>
            <w:shd w:val="clear" w:color="auto" w:fill="auto"/>
            <w:vAlign w:val="center"/>
          </w:tcPr>
          <w:p w14:paraId="395EAB88">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C</w:t>
            </w:r>
            <w:r>
              <w:rPr>
                <w:rFonts w:hint="eastAsia" w:ascii="Times New Roman" w:hAnsi="Times New Roman" w:eastAsia="宋体" w:cs="Times New Roman"/>
                <w:color w:val="auto"/>
                <w:kern w:val="0"/>
                <w:sz w:val="20"/>
                <w:szCs w:val="20"/>
                <w:highlight w:val="none"/>
                <w:lang w:val="en-US" w:eastAsia="zh-CN" w:bidi="ar"/>
              </w:rPr>
              <w:t>23</w:t>
            </w:r>
            <w:r>
              <w:rPr>
                <w:rFonts w:hint="default" w:ascii="Times New Roman" w:hAnsi="Times New Roman" w:eastAsia="宋体" w:cs="Times New Roman"/>
                <w:color w:val="auto"/>
                <w:kern w:val="0"/>
                <w:sz w:val="20"/>
                <w:szCs w:val="20"/>
                <w:highlight w:val="none"/>
                <w:lang w:bidi="ar"/>
              </w:rPr>
              <w:t>农作物病虫害绿色防控覆盖率</w:t>
            </w:r>
          </w:p>
        </w:tc>
        <w:tc>
          <w:tcPr>
            <w:tcW w:w="843" w:type="pct"/>
            <w:tcBorders>
              <w:top w:val="single" w:color="000000" w:sz="4" w:space="0"/>
              <w:left w:val="single" w:color="auto" w:sz="4" w:space="0"/>
              <w:bottom w:val="single" w:color="000000" w:sz="4" w:space="0"/>
              <w:right w:val="single" w:color="000000" w:sz="4" w:space="0"/>
            </w:tcBorders>
            <w:shd w:val="clear" w:color="auto" w:fill="auto"/>
            <w:vAlign w:val="center"/>
          </w:tcPr>
          <w:p w14:paraId="798644E1">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考察主要公共产品与服务绩效产出类、效益类指标的完成情况</w:t>
            </w:r>
          </w:p>
        </w:tc>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2E3728">
            <w:pPr>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部门按照计划目标完成年度重点工作目标的，得7.00分，反之，得分=实际完成值/计划完成值×权重。</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11171E">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sz w:val="21"/>
                <w:szCs w:val="21"/>
                <w:highlight w:val="none"/>
                <w:lang w:val="en-US" w:eastAsia="zh-CN"/>
              </w:rPr>
              <w:t>≥</w:t>
            </w:r>
            <w:r>
              <w:rPr>
                <w:rFonts w:hint="default" w:ascii="Times New Roman" w:hAnsi="Times New Roman" w:eastAsia="宋体" w:cs="Times New Roman"/>
                <w:color w:val="auto"/>
                <w:kern w:val="0"/>
                <w:sz w:val="20"/>
                <w:szCs w:val="20"/>
                <w:highlight w:val="none"/>
                <w:lang w:bidi="ar"/>
              </w:rPr>
              <w:t>52.00%</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BF95BE">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55.84%</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81E517">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7.00</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CF51D2">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eastAsia" w:ascii="Times New Roman" w:hAnsi="Times New Roman" w:eastAsia="宋体" w:cs="Times New Roman"/>
                <w:color w:val="auto"/>
                <w:kern w:val="0"/>
                <w:sz w:val="20"/>
                <w:szCs w:val="20"/>
                <w:highlight w:val="none"/>
                <w:lang w:val="en-US" w:eastAsia="zh-CN" w:bidi="ar"/>
              </w:rPr>
              <w:t>7.00</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A2229C">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eastAsia" w:ascii="Times New Roman" w:hAnsi="Times New Roman" w:eastAsia="宋体" w:cs="Times New Roman"/>
                <w:color w:val="auto"/>
                <w:kern w:val="0"/>
                <w:sz w:val="20"/>
                <w:szCs w:val="20"/>
                <w:highlight w:val="none"/>
                <w:lang w:val="en-US" w:eastAsia="zh-CN" w:bidi="ar"/>
              </w:rPr>
              <w:t>100.00%</w:t>
            </w:r>
          </w:p>
        </w:tc>
      </w:tr>
      <w:tr w14:paraId="73658F1C">
        <w:tblPrEx>
          <w:tblCellMar>
            <w:top w:w="0" w:type="dxa"/>
            <w:left w:w="51" w:type="dxa"/>
            <w:bottom w:w="0" w:type="dxa"/>
            <w:right w:w="51" w:type="dxa"/>
          </w:tblCellMar>
        </w:tblPrEx>
        <w:trPr>
          <w:trHeight w:val="90" w:hRule="atLeast"/>
        </w:trPr>
        <w:tc>
          <w:tcPr>
            <w:tcW w:w="24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EBD5AA4">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28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1594B38">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bCs/>
                <w:color w:val="auto"/>
                <w:sz w:val="21"/>
                <w:szCs w:val="21"/>
                <w:highlight w:val="none"/>
                <w:lang w:val="en-US" w:eastAsia="zh-CN"/>
              </w:rPr>
              <w:t>C3履职效能—粮食作物增产增收</w:t>
            </w:r>
          </w:p>
        </w:tc>
        <w:tc>
          <w:tcPr>
            <w:tcW w:w="380" w:type="pct"/>
            <w:tcBorders>
              <w:top w:val="single" w:color="auto" w:sz="4" w:space="0"/>
              <w:left w:val="single" w:color="auto" w:sz="4" w:space="0"/>
              <w:bottom w:val="single" w:color="auto" w:sz="4" w:space="0"/>
              <w:right w:val="single" w:color="auto" w:sz="4" w:space="0"/>
            </w:tcBorders>
            <w:shd w:val="clear" w:color="auto" w:fill="auto"/>
            <w:vAlign w:val="center"/>
          </w:tcPr>
          <w:p w14:paraId="5EC40C40">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C</w:t>
            </w:r>
            <w:r>
              <w:rPr>
                <w:rFonts w:hint="eastAsia" w:ascii="Times New Roman" w:hAnsi="Times New Roman" w:eastAsia="宋体" w:cs="Times New Roman"/>
                <w:color w:val="auto"/>
                <w:kern w:val="0"/>
                <w:sz w:val="20"/>
                <w:szCs w:val="20"/>
                <w:highlight w:val="none"/>
                <w:lang w:val="en-US" w:eastAsia="zh-CN" w:bidi="ar"/>
              </w:rPr>
              <w:t>3</w:t>
            </w:r>
            <w:r>
              <w:rPr>
                <w:rFonts w:hint="default" w:ascii="Times New Roman" w:hAnsi="Times New Roman" w:eastAsia="宋体" w:cs="Times New Roman"/>
                <w:color w:val="auto"/>
                <w:kern w:val="0"/>
                <w:sz w:val="20"/>
                <w:szCs w:val="20"/>
                <w:highlight w:val="none"/>
                <w:lang w:bidi="ar"/>
              </w:rPr>
              <w:t>1每个乡镇建立百亩以上的小麦攻关田数量</w:t>
            </w:r>
          </w:p>
        </w:tc>
        <w:tc>
          <w:tcPr>
            <w:tcW w:w="843" w:type="pct"/>
            <w:tcBorders>
              <w:top w:val="single" w:color="000000" w:sz="4" w:space="0"/>
              <w:left w:val="single" w:color="auto" w:sz="4" w:space="0"/>
              <w:bottom w:val="single" w:color="000000" w:sz="4" w:space="0"/>
              <w:right w:val="single" w:color="000000" w:sz="4" w:space="0"/>
            </w:tcBorders>
            <w:shd w:val="clear" w:color="auto" w:fill="auto"/>
            <w:vAlign w:val="center"/>
          </w:tcPr>
          <w:p w14:paraId="71089AC2">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考察主要公共产品与服务绩效产出类、效益类指标的完成情况</w:t>
            </w:r>
          </w:p>
        </w:tc>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BE3513">
            <w:pPr>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部门按照计划目标完成年度重点工作目标的</w:t>
            </w:r>
            <w:r>
              <w:rPr>
                <w:rFonts w:hint="eastAsia" w:ascii="Times New Roman" w:hAnsi="Times New Roman" w:eastAsia="宋体" w:cs="Times New Roman"/>
                <w:color w:val="auto"/>
                <w:kern w:val="0"/>
                <w:sz w:val="20"/>
                <w:szCs w:val="20"/>
                <w:highlight w:val="none"/>
                <w:lang w:eastAsia="zh-CN" w:bidi="ar"/>
              </w:rPr>
              <w:t>，</w:t>
            </w:r>
            <w:r>
              <w:rPr>
                <w:rFonts w:hint="eastAsia" w:ascii="Times New Roman" w:hAnsi="Times New Roman" w:eastAsia="宋体" w:cs="Times New Roman"/>
                <w:color w:val="auto"/>
                <w:kern w:val="0"/>
                <w:sz w:val="20"/>
                <w:szCs w:val="20"/>
                <w:highlight w:val="none"/>
                <w:lang w:val="en-US" w:eastAsia="zh-CN" w:bidi="ar"/>
              </w:rPr>
              <w:t>伊宁县每个乡镇（场）</w:t>
            </w:r>
            <w:r>
              <w:rPr>
                <w:rFonts w:hint="default" w:ascii="Times New Roman" w:hAnsi="Times New Roman" w:eastAsia="宋体" w:cs="Times New Roman"/>
                <w:color w:val="auto"/>
                <w:kern w:val="0"/>
                <w:sz w:val="20"/>
                <w:szCs w:val="20"/>
                <w:highlight w:val="none"/>
                <w:lang w:bidi="ar"/>
              </w:rPr>
              <w:t>每个乡镇建立百亩以上的小麦攻关田数量</w:t>
            </w:r>
            <w:r>
              <w:rPr>
                <w:rFonts w:hint="eastAsia" w:ascii="Times New Roman" w:hAnsi="Times New Roman" w:eastAsia="宋体" w:cs="Times New Roman"/>
                <w:color w:val="auto"/>
                <w:kern w:val="0"/>
                <w:sz w:val="20"/>
                <w:szCs w:val="20"/>
                <w:highlight w:val="none"/>
                <w:lang w:val="en-US" w:eastAsia="zh-CN" w:bidi="ar"/>
              </w:rPr>
              <w:t>达2个及2个以上，</w:t>
            </w:r>
            <w:r>
              <w:rPr>
                <w:rFonts w:hint="default" w:ascii="Times New Roman" w:hAnsi="Times New Roman" w:eastAsia="宋体" w:cs="Times New Roman"/>
                <w:color w:val="auto"/>
                <w:kern w:val="0"/>
                <w:sz w:val="20"/>
                <w:szCs w:val="20"/>
                <w:highlight w:val="none"/>
                <w:lang w:bidi="ar"/>
              </w:rPr>
              <w:t>得</w:t>
            </w:r>
            <w:r>
              <w:rPr>
                <w:rFonts w:hint="eastAsia" w:ascii="Times New Roman" w:hAnsi="Times New Roman" w:eastAsia="宋体" w:cs="Times New Roman"/>
                <w:color w:val="auto"/>
                <w:kern w:val="0"/>
                <w:sz w:val="20"/>
                <w:szCs w:val="20"/>
                <w:highlight w:val="none"/>
                <w:lang w:val="en-US" w:eastAsia="zh-CN" w:bidi="ar"/>
              </w:rPr>
              <w:t>4.00</w:t>
            </w:r>
            <w:r>
              <w:rPr>
                <w:rFonts w:hint="default" w:ascii="Times New Roman" w:hAnsi="Times New Roman" w:eastAsia="宋体" w:cs="Times New Roman"/>
                <w:color w:val="auto"/>
                <w:kern w:val="0"/>
                <w:sz w:val="20"/>
                <w:szCs w:val="20"/>
                <w:highlight w:val="none"/>
                <w:lang w:bidi="ar"/>
              </w:rPr>
              <w:t>分，反之，得分=实际完成</w:t>
            </w:r>
            <w:r>
              <w:rPr>
                <w:rFonts w:hint="eastAsia" w:ascii="Times New Roman" w:hAnsi="Times New Roman" w:eastAsia="宋体" w:cs="Times New Roman"/>
                <w:color w:val="auto"/>
                <w:kern w:val="0"/>
                <w:sz w:val="20"/>
                <w:szCs w:val="20"/>
                <w:highlight w:val="none"/>
                <w:lang w:val="en-US" w:eastAsia="zh-CN" w:bidi="ar"/>
              </w:rPr>
              <w:t>乡镇（场）数量</w:t>
            </w:r>
            <w:r>
              <w:rPr>
                <w:rFonts w:hint="default" w:ascii="Times New Roman" w:hAnsi="Times New Roman" w:eastAsia="宋体" w:cs="Times New Roman"/>
                <w:color w:val="auto"/>
                <w:kern w:val="0"/>
                <w:sz w:val="20"/>
                <w:szCs w:val="20"/>
                <w:highlight w:val="none"/>
                <w:lang w:bidi="ar"/>
              </w:rPr>
              <w:t>/计划完成</w:t>
            </w:r>
            <w:r>
              <w:rPr>
                <w:rFonts w:hint="eastAsia" w:ascii="Times New Roman" w:hAnsi="Times New Roman" w:eastAsia="宋体" w:cs="Times New Roman"/>
                <w:color w:val="auto"/>
                <w:kern w:val="0"/>
                <w:sz w:val="20"/>
                <w:szCs w:val="20"/>
                <w:highlight w:val="none"/>
                <w:lang w:val="en-US" w:eastAsia="zh-CN" w:bidi="ar"/>
              </w:rPr>
              <w:t>乡镇（场）数量</w:t>
            </w:r>
            <w:r>
              <w:rPr>
                <w:rFonts w:hint="default" w:ascii="Times New Roman" w:hAnsi="Times New Roman" w:eastAsia="宋体" w:cs="Times New Roman"/>
                <w:color w:val="auto"/>
                <w:kern w:val="0"/>
                <w:sz w:val="20"/>
                <w:szCs w:val="20"/>
                <w:highlight w:val="none"/>
                <w:lang w:bidi="ar"/>
              </w:rPr>
              <w:t>×权重。</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06C569">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sz w:val="21"/>
                <w:szCs w:val="21"/>
                <w:highlight w:val="none"/>
                <w:lang w:val="en-US" w:eastAsia="zh-CN"/>
              </w:rPr>
              <w:t>≥</w:t>
            </w:r>
            <w:r>
              <w:rPr>
                <w:rFonts w:hint="default" w:ascii="Times New Roman" w:hAnsi="Times New Roman" w:eastAsia="宋体" w:cs="Times New Roman"/>
                <w:color w:val="auto"/>
                <w:kern w:val="0"/>
                <w:sz w:val="20"/>
                <w:szCs w:val="20"/>
                <w:highlight w:val="none"/>
                <w:lang w:bidi="ar"/>
              </w:rPr>
              <w:t>2块</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73A135">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eastAsia" w:ascii="Times New Roman" w:hAnsi="Times New Roman" w:eastAsia="宋体" w:cs="Times New Roman"/>
                <w:color w:val="auto"/>
                <w:kern w:val="0"/>
                <w:sz w:val="20"/>
                <w:szCs w:val="20"/>
                <w:highlight w:val="none"/>
                <w:lang w:val="en-US" w:eastAsia="zh-CN" w:bidi="ar"/>
              </w:rPr>
              <w:t>建立2个及以上百亩以上的小麦攻关田数量的有17个乡镇</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A79F38">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val="en-US" w:eastAsia="zh-CN" w:bidi="ar"/>
              </w:rPr>
              <w:t>4.00</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DF3B1F">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eastAsia" w:ascii="Times New Roman" w:hAnsi="Times New Roman" w:eastAsia="宋体" w:cs="Times New Roman"/>
                <w:i w:val="0"/>
                <w:iCs w:val="0"/>
                <w:color w:val="auto"/>
                <w:kern w:val="0"/>
                <w:sz w:val="20"/>
                <w:szCs w:val="20"/>
                <w:highlight w:val="none"/>
                <w:u w:val="none"/>
                <w:lang w:val="en-US" w:eastAsia="zh-CN" w:bidi="ar"/>
              </w:rPr>
              <w:t>3.40</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DE52AB">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eastAsia" w:ascii="Times New Roman" w:hAnsi="Times New Roman" w:eastAsia="宋体" w:cs="Times New Roman"/>
                <w:i w:val="0"/>
                <w:iCs w:val="0"/>
                <w:color w:val="auto"/>
                <w:kern w:val="0"/>
                <w:sz w:val="20"/>
                <w:szCs w:val="20"/>
                <w:highlight w:val="none"/>
                <w:u w:val="none"/>
                <w:lang w:val="en-US" w:eastAsia="zh-CN" w:bidi="ar"/>
              </w:rPr>
              <w:t>85.00%</w:t>
            </w:r>
          </w:p>
        </w:tc>
      </w:tr>
      <w:tr w14:paraId="12B1969C">
        <w:tblPrEx>
          <w:tblCellMar>
            <w:top w:w="0" w:type="dxa"/>
            <w:left w:w="51" w:type="dxa"/>
            <w:bottom w:w="0" w:type="dxa"/>
            <w:right w:w="51" w:type="dxa"/>
          </w:tblCellMar>
        </w:tblPrEx>
        <w:trPr>
          <w:trHeight w:val="261" w:hRule="atLeast"/>
        </w:trPr>
        <w:tc>
          <w:tcPr>
            <w:tcW w:w="24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6F9EA96">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28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80DD612">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380" w:type="pct"/>
            <w:tcBorders>
              <w:top w:val="single" w:color="auto" w:sz="4" w:space="0"/>
              <w:left w:val="single" w:color="auto" w:sz="4" w:space="0"/>
              <w:bottom w:val="single" w:color="auto" w:sz="4" w:space="0"/>
              <w:right w:val="single" w:color="auto" w:sz="4" w:space="0"/>
            </w:tcBorders>
            <w:shd w:val="clear" w:color="auto" w:fill="auto"/>
            <w:vAlign w:val="center"/>
          </w:tcPr>
          <w:p w14:paraId="6BF66333">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C</w:t>
            </w:r>
            <w:r>
              <w:rPr>
                <w:rFonts w:hint="eastAsia" w:ascii="Times New Roman" w:hAnsi="Times New Roman" w:eastAsia="宋体" w:cs="Times New Roman"/>
                <w:color w:val="auto"/>
                <w:kern w:val="0"/>
                <w:sz w:val="20"/>
                <w:szCs w:val="20"/>
                <w:highlight w:val="none"/>
                <w:lang w:val="en-US" w:eastAsia="zh-CN" w:bidi="ar"/>
              </w:rPr>
              <w:t>3</w:t>
            </w:r>
            <w:r>
              <w:rPr>
                <w:rFonts w:hint="default" w:ascii="Times New Roman" w:hAnsi="Times New Roman" w:eastAsia="宋体" w:cs="Times New Roman"/>
                <w:color w:val="auto"/>
                <w:kern w:val="0"/>
                <w:sz w:val="20"/>
                <w:szCs w:val="20"/>
                <w:highlight w:val="none"/>
                <w:lang w:bidi="ar"/>
              </w:rPr>
              <w:t>2每个乡镇要建立千亩示范田块数量</w:t>
            </w:r>
          </w:p>
        </w:tc>
        <w:tc>
          <w:tcPr>
            <w:tcW w:w="843" w:type="pct"/>
            <w:tcBorders>
              <w:top w:val="single" w:color="000000" w:sz="4" w:space="0"/>
              <w:left w:val="single" w:color="auto" w:sz="4" w:space="0"/>
              <w:bottom w:val="single" w:color="000000" w:sz="4" w:space="0"/>
              <w:right w:val="single" w:color="000000" w:sz="4" w:space="0"/>
            </w:tcBorders>
            <w:shd w:val="clear" w:color="auto" w:fill="auto"/>
            <w:vAlign w:val="center"/>
          </w:tcPr>
          <w:p w14:paraId="56F4DA93">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考察主要公共产品与服务绩效产出类、效益类指标的完成情况</w:t>
            </w:r>
          </w:p>
        </w:tc>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8F1B46">
            <w:pPr>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部门按照计划目标完成年度重点工作目标的，</w:t>
            </w:r>
            <w:r>
              <w:rPr>
                <w:rFonts w:hint="eastAsia" w:ascii="Times New Roman" w:hAnsi="Times New Roman" w:eastAsia="宋体" w:cs="Times New Roman"/>
                <w:color w:val="auto"/>
                <w:kern w:val="0"/>
                <w:sz w:val="20"/>
                <w:szCs w:val="20"/>
                <w:highlight w:val="none"/>
                <w:lang w:val="en-US" w:eastAsia="zh-CN" w:bidi="ar"/>
              </w:rPr>
              <w:t>伊宁县每个乡镇（场）</w:t>
            </w:r>
            <w:r>
              <w:rPr>
                <w:rFonts w:hint="default" w:ascii="Times New Roman" w:hAnsi="Times New Roman" w:eastAsia="宋体" w:cs="Times New Roman"/>
                <w:color w:val="auto"/>
                <w:kern w:val="0"/>
                <w:sz w:val="20"/>
                <w:szCs w:val="20"/>
                <w:highlight w:val="none"/>
                <w:lang w:bidi="ar"/>
              </w:rPr>
              <w:t>建立千亩示范田块数量</w:t>
            </w:r>
            <w:r>
              <w:rPr>
                <w:rFonts w:hint="eastAsia" w:ascii="Times New Roman" w:hAnsi="Times New Roman" w:eastAsia="宋体" w:cs="Times New Roman"/>
                <w:color w:val="auto"/>
                <w:kern w:val="0"/>
                <w:sz w:val="20"/>
                <w:szCs w:val="20"/>
                <w:highlight w:val="none"/>
                <w:lang w:val="en-US" w:eastAsia="zh-CN" w:bidi="ar"/>
              </w:rPr>
              <w:t>达2个及2个以上，</w:t>
            </w:r>
            <w:r>
              <w:rPr>
                <w:rFonts w:hint="default" w:ascii="Times New Roman" w:hAnsi="Times New Roman" w:eastAsia="宋体" w:cs="Times New Roman"/>
                <w:color w:val="auto"/>
                <w:kern w:val="0"/>
                <w:sz w:val="20"/>
                <w:szCs w:val="20"/>
                <w:highlight w:val="none"/>
                <w:lang w:bidi="ar"/>
              </w:rPr>
              <w:t>得</w:t>
            </w:r>
            <w:r>
              <w:rPr>
                <w:rFonts w:hint="eastAsia" w:ascii="Times New Roman" w:hAnsi="Times New Roman" w:eastAsia="宋体" w:cs="Times New Roman"/>
                <w:color w:val="auto"/>
                <w:kern w:val="0"/>
                <w:sz w:val="20"/>
                <w:szCs w:val="20"/>
                <w:highlight w:val="none"/>
                <w:lang w:val="en-US" w:eastAsia="zh-CN" w:bidi="ar"/>
              </w:rPr>
              <w:t>4.00</w:t>
            </w:r>
            <w:r>
              <w:rPr>
                <w:rFonts w:hint="default" w:ascii="Times New Roman" w:hAnsi="Times New Roman" w:eastAsia="宋体" w:cs="Times New Roman"/>
                <w:color w:val="auto"/>
                <w:kern w:val="0"/>
                <w:sz w:val="20"/>
                <w:szCs w:val="20"/>
                <w:highlight w:val="none"/>
                <w:lang w:bidi="ar"/>
              </w:rPr>
              <w:t>分</w:t>
            </w:r>
            <w:r>
              <w:rPr>
                <w:rFonts w:hint="eastAsia" w:ascii="Times New Roman" w:hAnsi="Times New Roman" w:eastAsia="宋体" w:cs="Times New Roman"/>
                <w:color w:val="auto"/>
                <w:kern w:val="0"/>
                <w:sz w:val="20"/>
                <w:szCs w:val="20"/>
                <w:highlight w:val="none"/>
                <w:lang w:eastAsia="zh-CN" w:bidi="ar"/>
              </w:rPr>
              <w:t>，</w:t>
            </w:r>
            <w:r>
              <w:rPr>
                <w:rFonts w:hint="default" w:ascii="Times New Roman" w:hAnsi="Times New Roman" w:eastAsia="宋体" w:cs="Times New Roman"/>
                <w:color w:val="auto"/>
                <w:kern w:val="0"/>
                <w:sz w:val="20"/>
                <w:szCs w:val="20"/>
                <w:highlight w:val="none"/>
                <w:lang w:bidi="ar"/>
              </w:rPr>
              <w:t>反之，得分=实际完成</w:t>
            </w:r>
            <w:r>
              <w:rPr>
                <w:rFonts w:hint="eastAsia" w:ascii="Times New Roman" w:hAnsi="Times New Roman" w:eastAsia="宋体" w:cs="Times New Roman"/>
                <w:color w:val="auto"/>
                <w:kern w:val="0"/>
                <w:sz w:val="20"/>
                <w:szCs w:val="20"/>
                <w:highlight w:val="none"/>
                <w:lang w:val="en-US" w:eastAsia="zh-CN" w:bidi="ar"/>
              </w:rPr>
              <w:t>乡镇（场）数量</w:t>
            </w:r>
            <w:r>
              <w:rPr>
                <w:rFonts w:hint="default" w:ascii="Times New Roman" w:hAnsi="Times New Roman" w:eastAsia="宋体" w:cs="Times New Roman"/>
                <w:color w:val="auto"/>
                <w:kern w:val="0"/>
                <w:sz w:val="20"/>
                <w:szCs w:val="20"/>
                <w:highlight w:val="none"/>
                <w:lang w:bidi="ar"/>
              </w:rPr>
              <w:t>/计划完成</w:t>
            </w:r>
            <w:r>
              <w:rPr>
                <w:rFonts w:hint="eastAsia" w:ascii="Times New Roman" w:hAnsi="Times New Roman" w:eastAsia="宋体" w:cs="Times New Roman"/>
                <w:color w:val="auto"/>
                <w:kern w:val="0"/>
                <w:sz w:val="20"/>
                <w:szCs w:val="20"/>
                <w:highlight w:val="none"/>
                <w:lang w:val="en-US" w:eastAsia="zh-CN" w:bidi="ar"/>
              </w:rPr>
              <w:t>乡镇（场）数量</w:t>
            </w:r>
            <w:r>
              <w:rPr>
                <w:rFonts w:hint="default" w:ascii="Times New Roman" w:hAnsi="Times New Roman" w:eastAsia="宋体" w:cs="Times New Roman"/>
                <w:color w:val="auto"/>
                <w:kern w:val="0"/>
                <w:sz w:val="20"/>
                <w:szCs w:val="20"/>
                <w:highlight w:val="none"/>
                <w:lang w:bidi="ar"/>
              </w:rPr>
              <w:t>×权重。</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F2C59E">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sz w:val="21"/>
                <w:szCs w:val="21"/>
                <w:highlight w:val="none"/>
                <w:lang w:val="en-US" w:eastAsia="zh-CN"/>
              </w:rPr>
              <w:t>≥</w:t>
            </w:r>
            <w:r>
              <w:rPr>
                <w:rFonts w:hint="default" w:ascii="Times New Roman" w:hAnsi="Times New Roman" w:eastAsia="宋体" w:cs="Times New Roman"/>
                <w:color w:val="auto"/>
                <w:kern w:val="0"/>
                <w:sz w:val="20"/>
                <w:szCs w:val="20"/>
                <w:highlight w:val="none"/>
                <w:lang w:bidi="ar"/>
              </w:rPr>
              <w:t>2块</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A3A5A9">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eastAsia" w:ascii="Times New Roman" w:hAnsi="Times New Roman" w:eastAsia="宋体" w:cs="Times New Roman"/>
                <w:color w:val="auto"/>
                <w:kern w:val="0"/>
                <w:sz w:val="20"/>
                <w:szCs w:val="20"/>
                <w:highlight w:val="none"/>
                <w:lang w:val="en-US" w:eastAsia="zh-CN" w:bidi="ar"/>
              </w:rPr>
              <w:t>建立2个及以上千亩以上的示范田数量共14个乡镇</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82F756">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val="en-US" w:eastAsia="zh-CN" w:bidi="ar"/>
              </w:rPr>
              <w:t>4.00</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9E73B9">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eastAsia" w:ascii="Times New Roman" w:hAnsi="Times New Roman" w:eastAsia="宋体" w:cs="Times New Roman"/>
                <w:i w:val="0"/>
                <w:iCs w:val="0"/>
                <w:color w:val="auto"/>
                <w:kern w:val="0"/>
                <w:sz w:val="20"/>
                <w:szCs w:val="20"/>
                <w:highlight w:val="none"/>
                <w:u w:val="none"/>
                <w:lang w:val="en-US" w:eastAsia="zh-CN" w:bidi="ar"/>
              </w:rPr>
              <w:t>2.80</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D0696F">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eastAsia" w:ascii="Times New Roman" w:hAnsi="Times New Roman" w:eastAsia="宋体" w:cs="Times New Roman"/>
                <w:i w:val="0"/>
                <w:iCs w:val="0"/>
                <w:color w:val="auto"/>
                <w:kern w:val="0"/>
                <w:sz w:val="20"/>
                <w:szCs w:val="20"/>
                <w:highlight w:val="none"/>
                <w:u w:val="none"/>
                <w:lang w:val="en-US" w:eastAsia="zh-CN" w:bidi="ar"/>
              </w:rPr>
              <w:t>70.00%</w:t>
            </w:r>
          </w:p>
        </w:tc>
      </w:tr>
      <w:tr w14:paraId="5098902A">
        <w:tblPrEx>
          <w:tblCellMar>
            <w:top w:w="0" w:type="dxa"/>
            <w:left w:w="51" w:type="dxa"/>
            <w:bottom w:w="0" w:type="dxa"/>
            <w:right w:w="51" w:type="dxa"/>
          </w:tblCellMar>
        </w:tblPrEx>
        <w:trPr>
          <w:trHeight w:val="261" w:hRule="atLeast"/>
        </w:trPr>
        <w:tc>
          <w:tcPr>
            <w:tcW w:w="246" w:type="pct"/>
            <w:vMerge w:val="continue"/>
            <w:tcBorders>
              <w:top w:val="single" w:color="auto" w:sz="4" w:space="0"/>
              <w:left w:val="single" w:color="auto" w:sz="4" w:space="0"/>
              <w:bottom w:val="single" w:color="000000" w:sz="4" w:space="0"/>
              <w:right w:val="single" w:color="000000" w:sz="4" w:space="0"/>
            </w:tcBorders>
            <w:shd w:val="clear" w:color="auto" w:fill="auto"/>
            <w:vAlign w:val="center"/>
          </w:tcPr>
          <w:p w14:paraId="554B85A5">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284" w:type="pct"/>
            <w:vMerge w:val="continue"/>
            <w:tcBorders>
              <w:top w:val="single" w:color="auto" w:sz="4" w:space="0"/>
              <w:left w:val="single" w:color="000000" w:sz="4" w:space="0"/>
              <w:right w:val="single" w:color="000000" w:sz="4" w:space="0"/>
            </w:tcBorders>
            <w:shd w:val="clear" w:color="auto" w:fill="auto"/>
            <w:vAlign w:val="center"/>
          </w:tcPr>
          <w:p w14:paraId="1468F667">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380" w:type="pct"/>
            <w:tcBorders>
              <w:top w:val="single" w:color="auto" w:sz="4" w:space="0"/>
              <w:left w:val="single" w:color="000000" w:sz="4" w:space="0"/>
              <w:bottom w:val="single" w:color="000000" w:sz="4" w:space="0"/>
              <w:right w:val="single" w:color="000000" w:sz="4" w:space="0"/>
            </w:tcBorders>
            <w:shd w:val="clear" w:color="auto" w:fill="auto"/>
            <w:vAlign w:val="center"/>
          </w:tcPr>
          <w:p w14:paraId="0801B744">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sz w:val="21"/>
                <w:szCs w:val="21"/>
                <w:highlight w:val="none"/>
                <w:lang w:val="en-US" w:eastAsia="zh-CN"/>
              </w:rPr>
              <w:t>C33小麦单产提高率</w:t>
            </w:r>
          </w:p>
        </w:tc>
        <w:tc>
          <w:tcPr>
            <w:tcW w:w="8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563B75">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考察主要公共产品与服务绩效产出类、效益类指标的完成情况</w:t>
            </w:r>
          </w:p>
        </w:tc>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AF6AEC">
            <w:pPr>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bidi="ar"/>
              </w:rPr>
              <w:t>部门按照计划目标完成年度重点工作目标的，得</w:t>
            </w:r>
            <w:r>
              <w:rPr>
                <w:rFonts w:hint="eastAsia" w:ascii="Times New Roman" w:hAnsi="Times New Roman" w:eastAsia="宋体" w:cs="Times New Roman"/>
                <w:color w:val="auto"/>
                <w:kern w:val="0"/>
                <w:sz w:val="20"/>
                <w:szCs w:val="20"/>
                <w:highlight w:val="none"/>
                <w:lang w:val="en-US" w:eastAsia="zh-CN" w:bidi="ar"/>
              </w:rPr>
              <w:t>3.00</w:t>
            </w:r>
            <w:r>
              <w:rPr>
                <w:rFonts w:hint="default" w:ascii="Times New Roman" w:hAnsi="Times New Roman" w:eastAsia="宋体" w:cs="Times New Roman"/>
                <w:color w:val="auto"/>
                <w:kern w:val="0"/>
                <w:sz w:val="20"/>
                <w:szCs w:val="20"/>
                <w:highlight w:val="none"/>
                <w:lang w:bidi="ar"/>
              </w:rPr>
              <w:t>分</w:t>
            </w:r>
            <w:r>
              <w:rPr>
                <w:rFonts w:hint="eastAsia" w:ascii="Times New Roman" w:hAnsi="Times New Roman" w:eastAsia="宋体" w:cs="Times New Roman"/>
                <w:color w:val="auto"/>
                <w:kern w:val="0"/>
                <w:sz w:val="20"/>
                <w:szCs w:val="20"/>
                <w:highlight w:val="none"/>
                <w:lang w:eastAsia="zh-CN" w:bidi="ar"/>
              </w:rPr>
              <w:t>；</w:t>
            </w:r>
            <w:r>
              <w:rPr>
                <w:rFonts w:hint="eastAsia" w:ascii="Times New Roman" w:hAnsi="Times New Roman" w:eastAsia="宋体" w:cs="Times New Roman"/>
                <w:color w:val="auto"/>
                <w:kern w:val="0"/>
                <w:sz w:val="20"/>
                <w:szCs w:val="20"/>
                <w:highlight w:val="none"/>
                <w:lang w:val="en-US" w:eastAsia="zh-CN" w:bidi="ar"/>
              </w:rPr>
              <w:t>实际完成值大于等于0.00%，</w:t>
            </w:r>
            <w:r>
              <w:rPr>
                <w:rFonts w:hint="default" w:ascii="Times New Roman" w:hAnsi="Times New Roman" w:eastAsia="宋体" w:cs="Times New Roman"/>
                <w:color w:val="auto"/>
                <w:kern w:val="0"/>
                <w:sz w:val="20"/>
                <w:szCs w:val="20"/>
                <w:highlight w:val="none"/>
                <w:lang w:bidi="ar"/>
              </w:rPr>
              <w:t>得分=实际完成值/计划完成值×权重</w:t>
            </w:r>
            <w:r>
              <w:rPr>
                <w:rFonts w:hint="eastAsia" w:ascii="Times New Roman" w:hAnsi="Times New Roman" w:eastAsia="宋体" w:cs="Times New Roman"/>
                <w:color w:val="auto"/>
                <w:kern w:val="0"/>
                <w:sz w:val="20"/>
                <w:szCs w:val="20"/>
                <w:highlight w:val="none"/>
                <w:lang w:eastAsia="zh-CN" w:bidi="ar"/>
              </w:rPr>
              <w:t>；</w:t>
            </w:r>
            <w:r>
              <w:rPr>
                <w:rFonts w:hint="eastAsia" w:ascii="Times New Roman" w:hAnsi="Times New Roman" w:eastAsia="宋体" w:cs="Times New Roman"/>
                <w:color w:val="auto"/>
                <w:kern w:val="0"/>
                <w:sz w:val="20"/>
                <w:szCs w:val="20"/>
                <w:highlight w:val="none"/>
                <w:lang w:val="en-US" w:eastAsia="zh-CN" w:bidi="ar"/>
              </w:rPr>
              <w:t>实际完成值小于0.00%，不得分</w:t>
            </w:r>
            <w:r>
              <w:rPr>
                <w:rFonts w:hint="default" w:ascii="Times New Roman" w:hAnsi="Times New Roman" w:eastAsia="宋体" w:cs="Times New Roman"/>
                <w:color w:val="auto"/>
                <w:kern w:val="0"/>
                <w:sz w:val="20"/>
                <w:szCs w:val="20"/>
                <w:highlight w:val="none"/>
                <w:lang w:bidi="ar"/>
              </w:rPr>
              <w:t>。</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47B914">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sz w:val="21"/>
                <w:szCs w:val="21"/>
                <w:highlight w:val="none"/>
                <w:lang w:val="en-US" w:eastAsia="zh-CN"/>
              </w:rPr>
              <w:t>≥6.00%</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C4719A">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eastAsia" w:ascii="Times New Roman" w:hAnsi="Times New Roman" w:eastAsia="宋体" w:cs="Times New Roman"/>
                <w:color w:val="auto"/>
                <w:kern w:val="0"/>
                <w:sz w:val="20"/>
                <w:szCs w:val="20"/>
                <w:highlight w:val="none"/>
                <w:lang w:val="en-US" w:eastAsia="zh-CN" w:bidi="ar"/>
              </w:rPr>
              <w:t>-5.70%</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7DE0FD">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SA"/>
              </w:rPr>
            </w:pPr>
            <w:r>
              <w:rPr>
                <w:rFonts w:hint="eastAsia" w:ascii="Times New Roman" w:hAnsi="Times New Roman" w:eastAsia="宋体" w:cs="Times New Roman"/>
                <w:bCs/>
                <w:color w:val="auto"/>
                <w:sz w:val="21"/>
                <w:szCs w:val="21"/>
                <w:highlight w:val="none"/>
                <w:lang w:val="en-US" w:eastAsia="zh-CN"/>
              </w:rPr>
              <w:t>3.00</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DAD441">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SA"/>
              </w:rPr>
            </w:pPr>
            <w:r>
              <w:rPr>
                <w:rFonts w:hint="eastAsia" w:ascii="Times New Roman" w:hAnsi="Times New Roman" w:eastAsia="宋体" w:cs="Times New Roman"/>
                <w:bCs/>
                <w:color w:val="auto"/>
                <w:sz w:val="21"/>
                <w:szCs w:val="21"/>
                <w:highlight w:val="none"/>
                <w:lang w:val="en-US" w:eastAsia="zh-CN"/>
              </w:rPr>
              <w:t>0.00</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AAF881">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SA"/>
              </w:rPr>
            </w:pPr>
            <w:r>
              <w:rPr>
                <w:rFonts w:hint="eastAsia" w:ascii="Times New Roman" w:hAnsi="Times New Roman" w:eastAsia="宋体" w:cs="Times New Roman"/>
                <w:bCs/>
                <w:color w:val="auto"/>
                <w:sz w:val="21"/>
                <w:szCs w:val="21"/>
                <w:highlight w:val="none"/>
                <w:lang w:val="en-US" w:eastAsia="zh-CN"/>
              </w:rPr>
              <w:t>0.00%</w:t>
            </w:r>
          </w:p>
        </w:tc>
      </w:tr>
      <w:tr w14:paraId="4195860F">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0B6484FA">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284" w:type="pct"/>
            <w:vMerge w:val="continue"/>
            <w:tcBorders>
              <w:left w:val="single" w:color="000000" w:sz="4" w:space="0"/>
              <w:bottom w:val="single" w:color="000000" w:sz="4" w:space="0"/>
              <w:right w:val="single" w:color="000000" w:sz="4" w:space="0"/>
            </w:tcBorders>
            <w:shd w:val="clear" w:color="auto" w:fill="auto"/>
            <w:vAlign w:val="center"/>
          </w:tcPr>
          <w:p w14:paraId="2FCDA6FA">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6493C9">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sz w:val="21"/>
                <w:szCs w:val="21"/>
                <w:highlight w:val="none"/>
                <w:lang w:val="en-US" w:eastAsia="zh-CN"/>
              </w:rPr>
              <w:t>C34玉米每亩单产提升率</w:t>
            </w:r>
          </w:p>
        </w:tc>
        <w:tc>
          <w:tcPr>
            <w:tcW w:w="8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7489F3">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考察主要公共产品与服务绩效产出类、效益类指标的完成情况</w:t>
            </w:r>
          </w:p>
        </w:tc>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866D7E">
            <w:pPr>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bidi="ar"/>
              </w:rPr>
              <w:t>部门按照计划目标完成年度重点工作目标的，得</w:t>
            </w:r>
            <w:r>
              <w:rPr>
                <w:rFonts w:hint="eastAsia" w:ascii="Times New Roman" w:hAnsi="Times New Roman" w:eastAsia="宋体" w:cs="Times New Roman"/>
                <w:color w:val="auto"/>
                <w:kern w:val="0"/>
                <w:sz w:val="20"/>
                <w:szCs w:val="20"/>
                <w:highlight w:val="none"/>
                <w:lang w:val="en-US" w:eastAsia="zh-CN" w:bidi="ar"/>
              </w:rPr>
              <w:t>3.00</w:t>
            </w:r>
            <w:r>
              <w:rPr>
                <w:rFonts w:hint="default" w:ascii="Times New Roman" w:hAnsi="Times New Roman" w:eastAsia="宋体" w:cs="Times New Roman"/>
                <w:color w:val="auto"/>
                <w:kern w:val="0"/>
                <w:sz w:val="20"/>
                <w:szCs w:val="20"/>
                <w:highlight w:val="none"/>
                <w:lang w:bidi="ar"/>
              </w:rPr>
              <w:t>分</w:t>
            </w:r>
            <w:r>
              <w:rPr>
                <w:rFonts w:hint="eastAsia" w:ascii="Times New Roman" w:hAnsi="Times New Roman" w:eastAsia="宋体" w:cs="Times New Roman"/>
                <w:color w:val="auto"/>
                <w:kern w:val="0"/>
                <w:sz w:val="20"/>
                <w:szCs w:val="20"/>
                <w:highlight w:val="none"/>
                <w:lang w:eastAsia="zh-CN" w:bidi="ar"/>
              </w:rPr>
              <w:t>；</w:t>
            </w:r>
            <w:r>
              <w:rPr>
                <w:rFonts w:hint="eastAsia" w:ascii="Times New Roman" w:hAnsi="Times New Roman" w:eastAsia="宋体" w:cs="Times New Roman"/>
                <w:color w:val="auto"/>
                <w:kern w:val="0"/>
                <w:sz w:val="20"/>
                <w:szCs w:val="20"/>
                <w:highlight w:val="none"/>
                <w:lang w:val="en-US" w:eastAsia="zh-CN" w:bidi="ar"/>
              </w:rPr>
              <w:t>实际完成值大于等于0.00%，</w:t>
            </w:r>
            <w:r>
              <w:rPr>
                <w:rFonts w:hint="default" w:ascii="Times New Roman" w:hAnsi="Times New Roman" w:eastAsia="宋体" w:cs="Times New Roman"/>
                <w:color w:val="auto"/>
                <w:kern w:val="0"/>
                <w:sz w:val="20"/>
                <w:szCs w:val="20"/>
                <w:highlight w:val="none"/>
                <w:lang w:bidi="ar"/>
              </w:rPr>
              <w:t>得分=实际完成值/计划完成值×权重</w:t>
            </w:r>
            <w:r>
              <w:rPr>
                <w:rFonts w:hint="eastAsia" w:ascii="Times New Roman" w:hAnsi="Times New Roman" w:eastAsia="宋体" w:cs="Times New Roman"/>
                <w:color w:val="auto"/>
                <w:kern w:val="0"/>
                <w:sz w:val="20"/>
                <w:szCs w:val="20"/>
                <w:highlight w:val="none"/>
                <w:lang w:eastAsia="zh-CN" w:bidi="ar"/>
              </w:rPr>
              <w:t>；</w:t>
            </w:r>
            <w:r>
              <w:rPr>
                <w:rFonts w:hint="eastAsia" w:ascii="Times New Roman" w:hAnsi="Times New Roman" w:eastAsia="宋体" w:cs="Times New Roman"/>
                <w:color w:val="auto"/>
                <w:kern w:val="0"/>
                <w:sz w:val="20"/>
                <w:szCs w:val="20"/>
                <w:highlight w:val="none"/>
                <w:lang w:val="en-US" w:eastAsia="zh-CN" w:bidi="ar"/>
              </w:rPr>
              <w:t>实际完成值小于0.00%，不得分</w:t>
            </w:r>
            <w:r>
              <w:rPr>
                <w:rFonts w:hint="default" w:ascii="Times New Roman" w:hAnsi="Times New Roman" w:eastAsia="宋体" w:cs="Times New Roman"/>
                <w:color w:val="auto"/>
                <w:kern w:val="0"/>
                <w:sz w:val="20"/>
                <w:szCs w:val="20"/>
                <w:highlight w:val="none"/>
                <w:lang w:bidi="ar"/>
              </w:rPr>
              <w:t>。</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DF04B1">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sz w:val="21"/>
                <w:szCs w:val="21"/>
                <w:highlight w:val="none"/>
                <w:lang w:val="en-US" w:eastAsia="zh-CN"/>
              </w:rPr>
              <w:t>≥4.00%</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590EE6">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eastAsia" w:ascii="Times New Roman" w:hAnsi="Times New Roman" w:eastAsia="宋体" w:cs="Times New Roman"/>
                <w:color w:val="auto"/>
                <w:kern w:val="0"/>
                <w:sz w:val="20"/>
                <w:szCs w:val="20"/>
                <w:highlight w:val="none"/>
                <w:lang w:val="en-US" w:eastAsia="zh-CN" w:bidi="ar"/>
              </w:rPr>
              <w:t>-2.89%</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7CDBD0">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SA"/>
              </w:rPr>
            </w:pPr>
            <w:r>
              <w:rPr>
                <w:rFonts w:hint="eastAsia" w:ascii="Times New Roman" w:hAnsi="Times New Roman" w:eastAsia="宋体" w:cs="Times New Roman"/>
                <w:bCs/>
                <w:color w:val="auto"/>
                <w:sz w:val="21"/>
                <w:szCs w:val="21"/>
                <w:highlight w:val="none"/>
                <w:lang w:val="en-US" w:eastAsia="zh-CN"/>
              </w:rPr>
              <w:t>3.00</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AAF4F8">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SA"/>
              </w:rPr>
            </w:pPr>
            <w:r>
              <w:rPr>
                <w:rFonts w:hint="eastAsia" w:ascii="Times New Roman" w:hAnsi="Times New Roman" w:eastAsia="宋体" w:cs="Times New Roman"/>
                <w:bCs/>
                <w:color w:val="auto"/>
                <w:sz w:val="21"/>
                <w:szCs w:val="21"/>
                <w:highlight w:val="none"/>
                <w:lang w:val="en-US" w:eastAsia="zh-CN"/>
              </w:rPr>
              <w:t>0.00</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541588">
            <w:pPr>
              <w:widowControl/>
              <w:spacing w:line="240" w:lineRule="auto"/>
              <w:ind w:firstLine="0" w:firstLineChars="0"/>
              <w:jc w:val="center"/>
              <w:textAlignment w:val="center"/>
              <w:rPr>
                <w:rFonts w:hint="eastAsia" w:ascii="Times New Roman" w:hAnsi="Times New Roman" w:eastAsia="宋体" w:cs="Times New Roman"/>
                <w:bCs/>
                <w:color w:val="auto"/>
                <w:sz w:val="21"/>
                <w:szCs w:val="21"/>
                <w:highlight w:val="none"/>
                <w:lang w:val="en-US" w:eastAsia="zh-CN" w:bidi="ar-SA"/>
              </w:rPr>
            </w:pPr>
            <w:r>
              <w:rPr>
                <w:rFonts w:hint="eastAsia" w:ascii="Times New Roman" w:hAnsi="Times New Roman" w:eastAsia="宋体" w:cs="Times New Roman"/>
                <w:bCs/>
                <w:color w:val="auto"/>
                <w:sz w:val="21"/>
                <w:szCs w:val="21"/>
                <w:highlight w:val="none"/>
                <w:lang w:val="en-US" w:eastAsia="zh-CN"/>
              </w:rPr>
              <w:t>0.00%</w:t>
            </w:r>
          </w:p>
        </w:tc>
      </w:tr>
      <w:tr w14:paraId="228FD78A">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6319698B">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96831B">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C4服务对象满意度</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E67C15">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C41受益农户满意度</w:t>
            </w:r>
          </w:p>
        </w:tc>
        <w:tc>
          <w:tcPr>
            <w:tcW w:w="8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0017CF">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考察社会公众或服务对象对部门履职工作、服务结果的满意程度。</w:t>
            </w:r>
          </w:p>
        </w:tc>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0A9933">
            <w:pPr>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据满意度问卷统计情况计算完成比率，指标完成率=∑样本数（“很满意”×1.0+“满意”×0.8+“一 般”×0.6+“不满意”×0.3+“很不满意”×0）/总样本数×100.00%，</w:t>
            </w:r>
            <w:r>
              <w:rPr>
                <w:rFonts w:hint="eastAsia" w:ascii="Times New Roman" w:hAnsi="Times New Roman" w:eastAsia="宋体" w:cs="Times New Roman"/>
                <w:color w:val="auto"/>
                <w:kern w:val="0"/>
                <w:sz w:val="20"/>
                <w:szCs w:val="20"/>
                <w:highlight w:val="none"/>
                <w:lang w:eastAsia="zh-CN" w:bidi="ar"/>
              </w:rPr>
              <w:t>根据</w:t>
            </w:r>
            <w:r>
              <w:rPr>
                <w:rFonts w:hint="default" w:ascii="Times New Roman" w:hAnsi="Times New Roman" w:eastAsia="宋体" w:cs="Times New Roman"/>
                <w:color w:val="auto"/>
                <w:kern w:val="0"/>
                <w:sz w:val="20"/>
                <w:szCs w:val="20"/>
                <w:highlight w:val="none"/>
                <w:lang w:bidi="ar"/>
              </w:rPr>
              <w:t>访谈调研情况进行评分，得分大于等于90%</w:t>
            </w:r>
            <w:r>
              <w:rPr>
                <w:rFonts w:hint="eastAsia" w:ascii="Times New Roman" w:hAnsi="Times New Roman" w:eastAsia="宋体" w:cs="Times New Roman"/>
                <w:color w:val="auto"/>
                <w:kern w:val="0"/>
                <w:sz w:val="20"/>
                <w:szCs w:val="20"/>
                <w:highlight w:val="none"/>
                <w:lang w:eastAsia="zh-CN" w:bidi="ar"/>
              </w:rPr>
              <w:t>，</w:t>
            </w:r>
            <w:r>
              <w:rPr>
                <w:rFonts w:hint="default" w:ascii="Times New Roman" w:hAnsi="Times New Roman" w:eastAsia="宋体" w:cs="Times New Roman"/>
                <w:color w:val="auto"/>
                <w:kern w:val="0"/>
                <w:sz w:val="20"/>
                <w:szCs w:val="20"/>
                <w:highlight w:val="none"/>
                <w:lang w:bidi="ar"/>
              </w:rPr>
              <w:t>得满分；实际完成率大于60%且小于90%的，按超过的比重赋分，计算公式为：得分=（实际完成率-60%）/（90%-60%）×指标分值；完成率小于60%为不及格，不得分。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2B08CA">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≥90.00%</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DC1C2B">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96.52%</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9A8D67">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12.00</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526DBE">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eastAsia" w:ascii="Times New Roman" w:hAnsi="Times New Roman" w:eastAsia="宋体" w:cs="Times New Roman"/>
                <w:color w:val="auto"/>
                <w:kern w:val="0"/>
                <w:sz w:val="20"/>
                <w:szCs w:val="20"/>
                <w:highlight w:val="none"/>
                <w:lang w:val="en-US" w:eastAsia="zh-CN" w:bidi="ar"/>
              </w:rPr>
              <w:t>12.00</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863A0E">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eastAsia" w:ascii="Times New Roman" w:hAnsi="Times New Roman" w:eastAsia="宋体" w:cs="Times New Roman"/>
                <w:color w:val="auto"/>
                <w:kern w:val="0"/>
                <w:sz w:val="20"/>
                <w:szCs w:val="20"/>
                <w:highlight w:val="none"/>
                <w:lang w:val="en-US" w:eastAsia="zh-CN" w:bidi="ar"/>
              </w:rPr>
              <w:t>100.00%</w:t>
            </w:r>
          </w:p>
        </w:tc>
      </w:tr>
      <w:tr w14:paraId="06129208">
        <w:tblPrEx>
          <w:tblCellMar>
            <w:top w:w="0" w:type="dxa"/>
            <w:left w:w="51" w:type="dxa"/>
            <w:bottom w:w="0" w:type="dxa"/>
            <w:right w:w="51" w:type="dxa"/>
          </w:tblCellMar>
        </w:tblPrEx>
        <w:trPr>
          <w:trHeight w:val="261" w:hRule="atLeast"/>
        </w:trPr>
        <w:tc>
          <w:tcPr>
            <w:tcW w:w="346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3D17C52">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小计</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2BD08F">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57494A">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AA34B7">
            <w:pPr>
              <w:widowControl/>
              <w:spacing w:line="240" w:lineRule="auto"/>
              <w:ind w:firstLine="0" w:firstLineChars="0"/>
              <w:jc w:val="center"/>
              <w:textAlignment w:val="center"/>
              <w:rPr>
                <w:rFonts w:hint="default" w:ascii="Times New Roman" w:hAnsi="Times New Roman" w:eastAsia="宋体" w:cs="Times New Roman"/>
                <w:b/>
                <w:bCs/>
                <w:color w:val="auto"/>
                <w:kern w:val="0"/>
                <w:sz w:val="20"/>
                <w:szCs w:val="20"/>
                <w:highlight w:val="none"/>
                <w:lang w:bidi="ar"/>
              </w:rPr>
            </w:pPr>
            <w:r>
              <w:rPr>
                <w:rFonts w:hint="default" w:ascii="Times New Roman" w:hAnsi="Times New Roman" w:eastAsia="宋体" w:cs="Times New Roman"/>
                <w:b/>
                <w:bCs/>
                <w:color w:val="auto"/>
                <w:kern w:val="0"/>
                <w:sz w:val="20"/>
                <w:szCs w:val="20"/>
                <w:highlight w:val="none"/>
                <w:lang w:bidi="ar"/>
              </w:rPr>
              <w:t>60.00</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4A522A">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b/>
                <w:bCs/>
                <w:color w:val="auto"/>
                <w:kern w:val="0"/>
                <w:sz w:val="20"/>
                <w:szCs w:val="20"/>
                <w:highlight w:val="none"/>
                <w:lang w:val="en-US" w:eastAsia="zh-CN" w:bidi="ar"/>
              </w:rPr>
            </w:pPr>
            <w:r>
              <w:rPr>
                <w:rFonts w:hint="default" w:ascii="Times New Roman" w:hAnsi="Times New Roman" w:eastAsia="宋体" w:cs="Times New Roman"/>
                <w:b/>
                <w:bCs/>
                <w:i w:val="0"/>
                <w:iCs w:val="0"/>
                <w:color w:val="auto"/>
                <w:kern w:val="0"/>
                <w:sz w:val="20"/>
                <w:szCs w:val="20"/>
                <w:highlight w:val="none"/>
                <w:u w:val="none"/>
                <w:lang w:val="en-US" w:eastAsia="zh-CN" w:bidi="ar"/>
              </w:rPr>
              <w:t>52.2</w:t>
            </w:r>
            <w:r>
              <w:rPr>
                <w:rFonts w:hint="eastAsia" w:ascii="Times New Roman" w:hAnsi="Times New Roman" w:eastAsia="宋体" w:cs="Times New Roman"/>
                <w:b/>
                <w:bCs/>
                <w:i w:val="0"/>
                <w:iCs w:val="0"/>
                <w:color w:val="auto"/>
                <w:kern w:val="0"/>
                <w:sz w:val="20"/>
                <w:szCs w:val="20"/>
                <w:highlight w:val="none"/>
                <w:u w:val="none"/>
                <w:lang w:val="en-US" w:eastAsia="zh-CN" w:bidi="ar"/>
              </w:rPr>
              <w:t>0</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559CB9">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b/>
                <w:bCs/>
                <w:color w:val="auto"/>
                <w:kern w:val="0"/>
                <w:sz w:val="20"/>
                <w:szCs w:val="20"/>
                <w:highlight w:val="none"/>
                <w:lang w:val="en-US" w:eastAsia="zh-CN" w:bidi="ar"/>
              </w:rPr>
            </w:pPr>
            <w:r>
              <w:rPr>
                <w:rFonts w:hint="default" w:ascii="Times New Roman" w:hAnsi="Times New Roman" w:eastAsia="宋体" w:cs="Times New Roman"/>
                <w:b/>
                <w:bCs/>
                <w:i w:val="0"/>
                <w:iCs w:val="0"/>
                <w:color w:val="auto"/>
                <w:kern w:val="0"/>
                <w:sz w:val="20"/>
                <w:szCs w:val="20"/>
                <w:highlight w:val="none"/>
                <w:u w:val="none"/>
                <w:lang w:val="en-US" w:eastAsia="zh-CN" w:bidi="ar"/>
              </w:rPr>
              <w:t>87.00%</w:t>
            </w:r>
          </w:p>
        </w:tc>
      </w:tr>
      <w:tr w14:paraId="1B052AB7">
        <w:tblPrEx>
          <w:tblCellMar>
            <w:top w:w="0" w:type="dxa"/>
            <w:left w:w="51" w:type="dxa"/>
            <w:bottom w:w="0" w:type="dxa"/>
            <w:right w:w="51" w:type="dxa"/>
          </w:tblCellMar>
        </w:tblPrEx>
        <w:trPr>
          <w:trHeight w:val="261" w:hRule="atLeast"/>
        </w:trPr>
        <w:tc>
          <w:tcPr>
            <w:tcW w:w="346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600E1F1">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合计</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B1946D">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AC7D4E">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4CE1E3">
            <w:pPr>
              <w:widowControl/>
              <w:spacing w:line="240" w:lineRule="auto"/>
              <w:ind w:firstLine="0" w:firstLineChars="0"/>
              <w:jc w:val="center"/>
              <w:textAlignment w:val="center"/>
              <w:rPr>
                <w:rFonts w:hint="default" w:ascii="Times New Roman" w:hAnsi="Times New Roman" w:eastAsia="宋体" w:cs="Times New Roman"/>
                <w:b/>
                <w:bCs/>
                <w:color w:val="auto"/>
                <w:kern w:val="0"/>
                <w:sz w:val="20"/>
                <w:szCs w:val="20"/>
                <w:highlight w:val="none"/>
                <w:lang w:bidi="ar"/>
              </w:rPr>
            </w:pPr>
            <w:r>
              <w:rPr>
                <w:rFonts w:hint="default" w:ascii="Times New Roman" w:hAnsi="Times New Roman" w:eastAsia="宋体" w:cs="Times New Roman"/>
                <w:b/>
                <w:bCs/>
                <w:color w:val="auto"/>
                <w:kern w:val="0"/>
                <w:sz w:val="20"/>
                <w:szCs w:val="20"/>
                <w:highlight w:val="none"/>
                <w:lang w:bidi="ar"/>
              </w:rPr>
              <w:t>100.00</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3FE4EF">
            <w:pPr>
              <w:widowControl/>
              <w:spacing w:line="240" w:lineRule="auto"/>
              <w:ind w:firstLine="0" w:firstLineChars="0"/>
              <w:jc w:val="center"/>
              <w:textAlignment w:val="center"/>
              <w:rPr>
                <w:rFonts w:hint="default" w:ascii="Times New Roman" w:hAnsi="Times New Roman" w:eastAsia="宋体" w:cs="Times New Roman"/>
                <w:b/>
                <w:bCs/>
                <w:color w:val="auto"/>
                <w:kern w:val="0"/>
                <w:sz w:val="20"/>
                <w:szCs w:val="20"/>
                <w:highlight w:val="none"/>
                <w:lang w:val="en-US" w:eastAsia="zh-CN" w:bidi="ar"/>
              </w:rPr>
            </w:pPr>
            <w:r>
              <w:rPr>
                <w:rFonts w:hint="eastAsia" w:ascii="Times New Roman" w:hAnsi="Times New Roman" w:eastAsia="宋体" w:cs="Times New Roman"/>
                <w:b/>
                <w:bCs/>
                <w:color w:val="auto"/>
                <w:sz w:val="21"/>
                <w:szCs w:val="21"/>
                <w:highlight w:val="none"/>
                <w:lang w:val="en-US" w:eastAsia="zh-CN"/>
              </w:rPr>
              <w:t>88.20</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FC7FF3">
            <w:pPr>
              <w:widowControl/>
              <w:spacing w:line="240" w:lineRule="auto"/>
              <w:ind w:firstLine="0" w:firstLineChars="0"/>
              <w:jc w:val="center"/>
              <w:textAlignment w:val="center"/>
              <w:rPr>
                <w:rFonts w:hint="default" w:ascii="Times New Roman" w:hAnsi="Times New Roman" w:eastAsia="宋体" w:cs="Times New Roman"/>
                <w:b/>
                <w:bCs/>
                <w:color w:val="auto"/>
                <w:kern w:val="0"/>
                <w:sz w:val="20"/>
                <w:szCs w:val="20"/>
                <w:highlight w:val="none"/>
                <w:lang w:val="en-US" w:eastAsia="zh-CN" w:bidi="ar"/>
              </w:rPr>
            </w:pPr>
            <w:r>
              <w:rPr>
                <w:rFonts w:hint="eastAsia" w:ascii="Times New Roman" w:hAnsi="Times New Roman" w:eastAsia="宋体" w:cs="Times New Roman"/>
                <w:b/>
                <w:bCs/>
                <w:color w:val="auto"/>
                <w:sz w:val="21"/>
                <w:szCs w:val="21"/>
                <w:highlight w:val="none"/>
                <w:lang w:val="en-US" w:eastAsia="zh-CN"/>
              </w:rPr>
              <w:t>88.20%</w:t>
            </w:r>
          </w:p>
        </w:tc>
      </w:tr>
    </w:tbl>
    <w:p w14:paraId="538472DA">
      <w:pPr>
        <w:ind w:firstLine="640"/>
        <w:rPr>
          <w:rFonts w:hint="default" w:ascii="Times New Roman" w:hAnsi="Times New Roman" w:eastAsia="宋体" w:cs="Times New Roman"/>
          <w:bCs/>
          <w:color w:val="auto"/>
          <w:highlight w:val="none"/>
        </w:rPr>
        <w:sectPr>
          <w:footerReference r:id="rId11" w:type="default"/>
          <w:pgSz w:w="16838" w:h="11906" w:orient="landscape"/>
          <w:pgMar w:top="1800" w:right="1440" w:bottom="1800" w:left="1440" w:header="851" w:footer="907" w:gutter="0"/>
          <w:pgBorders>
            <w:top w:val="none" w:sz="0" w:space="0"/>
            <w:left w:val="none" w:sz="0" w:space="0"/>
            <w:bottom w:val="none" w:sz="0" w:space="0"/>
            <w:right w:val="none" w:sz="0" w:space="0"/>
          </w:pgBorders>
          <w:pgNumType w:fmt="decimal"/>
          <w:cols w:space="425" w:num="1"/>
          <w:docGrid w:type="lines" w:linePitch="312" w:charSpace="0"/>
        </w:sectPr>
      </w:pPr>
    </w:p>
    <w:p w14:paraId="5EA614AA">
      <w:pPr>
        <w:pStyle w:val="4"/>
        <w:ind w:firstLine="640"/>
        <w:rPr>
          <w:rFonts w:hint="default" w:ascii="Times New Roman" w:hAnsi="Times New Roman" w:eastAsia="宋体" w:cs="Times New Roman"/>
          <w:color w:val="auto"/>
          <w:highlight w:val="none"/>
        </w:rPr>
      </w:pPr>
      <w:bookmarkStart w:id="78" w:name="_Toc23906"/>
      <w:r>
        <w:rPr>
          <w:rFonts w:hint="default" w:ascii="Times New Roman" w:hAnsi="Times New Roman" w:eastAsia="宋体" w:cs="Times New Roman"/>
          <w:color w:val="auto"/>
          <w:highlight w:val="none"/>
        </w:rPr>
        <w:t>附件2：基础表</w:t>
      </w:r>
      <w:bookmarkEnd w:id="78"/>
    </w:p>
    <w:tbl>
      <w:tblPr>
        <w:tblStyle w:val="21"/>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25"/>
        <w:gridCol w:w="2383"/>
        <w:gridCol w:w="930"/>
        <w:gridCol w:w="899"/>
        <w:gridCol w:w="867"/>
        <w:gridCol w:w="879"/>
        <w:gridCol w:w="870"/>
        <w:gridCol w:w="933"/>
        <w:gridCol w:w="882"/>
        <w:gridCol w:w="964"/>
        <w:gridCol w:w="981"/>
        <w:gridCol w:w="910"/>
        <w:gridCol w:w="933"/>
        <w:gridCol w:w="1018"/>
      </w:tblGrid>
      <w:tr w14:paraId="67FB24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blHeader/>
        </w:trPr>
        <w:tc>
          <w:tcPr>
            <w:tcW w:w="5000" w:type="pct"/>
            <w:gridSpan w:val="14"/>
            <w:tcBorders>
              <w:top w:val="nil"/>
              <w:left w:val="nil"/>
              <w:bottom w:val="nil"/>
              <w:right w:val="nil"/>
            </w:tcBorders>
            <w:shd w:val="clear" w:color="auto" w:fill="auto"/>
            <w:vAlign w:val="center"/>
          </w:tcPr>
          <w:p w14:paraId="1DA72635">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eastAsia" w:ascii="Times New Roman" w:hAnsi="Times New Roman" w:eastAsia="宋体" w:cs="Times New Roman"/>
                <w:b/>
                <w:bCs/>
                <w:i w:val="0"/>
                <w:iCs w:val="0"/>
                <w:color w:val="auto"/>
                <w:sz w:val="24"/>
                <w:szCs w:val="24"/>
                <w:highlight w:val="none"/>
                <w:u w:val="none"/>
              </w:rPr>
            </w:pPr>
            <w:r>
              <w:rPr>
                <w:rStyle w:val="45"/>
                <w:rFonts w:hint="eastAsia" w:ascii="Times New Roman" w:hAnsi="Times New Roman" w:eastAsia="宋体" w:cs="Times New Roman"/>
                <w:color w:val="auto"/>
                <w:sz w:val="24"/>
                <w:szCs w:val="24"/>
                <w:highlight w:val="none"/>
                <w:lang w:val="en-US" w:eastAsia="zh-CN" w:bidi="ar"/>
              </w:rPr>
              <w:t>基础表1：</w:t>
            </w:r>
            <w:r>
              <w:rPr>
                <w:rStyle w:val="45"/>
                <w:rFonts w:ascii="Times New Roman" w:hAnsi="Times New Roman" w:eastAsia="宋体" w:cs="Times New Roman"/>
                <w:color w:val="auto"/>
                <w:sz w:val="24"/>
                <w:szCs w:val="24"/>
                <w:highlight w:val="none"/>
                <w:lang w:val="en-US" w:eastAsia="zh-CN" w:bidi="ar"/>
              </w:rPr>
              <w:t>伊宁县2024年玉米、小麦示范田数量统计表</w:t>
            </w:r>
            <w:r>
              <w:rPr>
                <w:rFonts w:hint="eastAsia" w:ascii="Times New Roman" w:hAnsi="Times New Roman" w:eastAsia="宋体" w:cs="Times New Roman"/>
                <w:i w:val="0"/>
                <w:iCs w:val="0"/>
                <w:color w:val="auto"/>
                <w:kern w:val="0"/>
                <w:sz w:val="24"/>
                <w:szCs w:val="24"/>
                <w:highlight w:val="none"/>
                <w:u w:val="none"/>
                <w:lang w:val="en-US" w:eastAsia="zh-CN" w:bidi="ar"/>
              </w:rPr>
              <w:t xml:space="preserve">     </w:t>
            </w:r>
            <w:r>
              <w:rPr>
                <w:rStyle w:val="46"/>
                <w:rFonts w:ascii="Times New Roman" w:hAnsi="Times New Roman" w:eastAsia="宋体" w:cs="Times New Roman"/>
                <w:color w:val="auto"/>
                <w:sz w:val="24"/>
                <w:szCs w:val="24"/>
                <w:highlight w:val="none"/>
                <w:lang w:val="en-US" w:eastAsia="zh-CN" w:bidi="ar"/>
              </w:rPr>
              <w:t xml:space="preserve">    </w:t>
            </w:r>
          </w:p>
        </w:tc>
      </w:tr>
      <w:tr w14:paraId="1E2D27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blHeader/>
        </w:trPr>
        <w:tc>
          <w:tcPr>
            <w:tcW w:w="5000" w:type="pct"/>
            <w:gridSpan w:val="14"/>
            <w:tcBorders>
              <w:top w:val="nil"/>
              <w:left w:val="nil"/>
              <w:bottom w:val="nil"/>
              <w:right w:val="nil"/>
            </w:tcBorders>
            <w:shd w:val="clear" w:color="auto" w:fill="auto"/>
            <w:noWrap/>
            <w:vAlign w:val="center"/>
          </w:tcPr>
          <w:p w14:paraId="57B10379">
            <w:pPr>
              <w:keepNext w:val="0"/>
              <w:keepLines w:val="0"/>
              <w:pageBreakBefore w:val="0"/>
              <w:widowControl/>
              <w:suppressLineNumbers w:val="0"/>
              <w:kinsoku/>
              <w:wordWrap/>
              <w:overflowPunct/>
              <w:topLinePunct w:val="0"/>
              <w:autoSpaceDE/>
              <w:autoSpaceDN/>
              <w:bidi w:val="0"/>
              <w:adjustRightInd w:val="0"/>
              <w:snapToGrid w:val="0"/>
              <w:spacing w:line="240" w:lineRule="auto"/>
              <w:jc w:val="right"/>
              <w:textAlignment w:val="center"/>
              <w:rPr>
                <w:rFonts w:hint="eastAsia" w:ascii="Times New Roman" w:hAnsi="Times New Roman" w:eastAsia="宋体" w:cs="Times New Roman"/>
                <w:b/>
                <w:bCs/>
                <w:i w:val="0"/>
                <w:iCs w:val="0"/>
                <w:color w:val="auto"/>
                <w:sz w:val="24"/>
                <w:szCs w:val="24"/>
                <w:highlight w:val="none"/>
                <w:u w:val="none"/>
              </w:rPr>
            </w:pPr>
            <w:r>
              <w:rPr>
                <w:rFonts w:hint="eastAsia" w:ascii="Times New Roman" w:hAnsi="Times New Roman" w:eastAsia="宋体" w:cs="Times New Roman"/>
                <w:b/>
                <w:bCs/>
                <w:i w:val="0"/>
                <w:iCs w:val="0"/>
                <w:color w:val="auto"/>
                <w:kern w:val="0"/>
                <w:sz w:val="24"/>
                <w:szCs w:val="24"/>
                <w:highlight w:val="none"/>
                <w:u w:val="none"/>
                <w:lang w:val="en-US" w:eastAsia="zh-CN" w:bidi="ar"/>
              </w:rPr>
              <w:t>单位：块</w:t>
            </w:r>
          </w:p>
        </w:tc>
      </w:tr>
      <w:tr w14:paraId="07A016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blHeader/>
        </w:trPr>
        <w:tc>
          <w:tcPr>
            <w:tcW w:w="25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55923">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序号</w:t>
            </w:r>
          </w:p>
        </w:tc>
        <w:tc>
          <w:tcPr>
            <w:tcW w:w="84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13CC8">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乡镇</w:t>
            </w:r>
          </w:p>
        </w:tc>
        <w:tc>
          <w:tcPr>
            <w:tcW w:w="126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06CC6">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玉米</w:t>
            </w:r>
          </w:p>
        </w:tc>
        <w:tc>
          <w:tcPr>
            <w:tcW w:w="1287"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BE7BE">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小麦</w:t>
            </w:r>
          </w:p>
        </w:tc>
        <w:tc>
          <w:tcPr>
            <w:tcW w:w="1353"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884C4">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合计</w:t>
            </w:r>
          </w:p>
        </w:tc>
      </w:tr>
      <w:tr w14:paraId="57BAC7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blHeader/>
        </w:trPr>
        <w:tc>
          <w:tcPr>
            <w:tcW w:w="25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474E7">
            <w:pPr>
              <w:spacing w:line="240" w:lineRule="auto"/>
              <w:jc w:val="center"/>
              <w:rPr>
                <w:rFonts w:hint="eastAsia" w:ascii="Times New Roman" w:hAnsi="Times New Roman" w:eastAsia="宋体" w:cs="Times New Roman"/>
                <w:b/>
                <w:bCs/>
                <w:i w:val="0"/>
                <w:iCs w:val="0"/>
                <w:color w:val="auto"/>
                <w:sz w:val="21"/>
                <w:szCs w:val="21"/>
                <w:highlight w:val="none"/>
                <w:u w:val="none"/>
              </w:rPr>
            </w:pPr>
          </w:p>
        </w:tc>
        <w:tc>
          <w:tcPr>
            <w:tcW w:w="84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EB5C8">
            <w:pPr>
              <w:spacing w:line="240" w:lineRule="auto"/>
              <w:jc w:val="center"/>
              <w:rPr>
                <w:rFonts w:hint="eastAsia" w:ascii="Times New Roman" w:hAnsi="Times New Roman" w:eastAsia="宋体" w:cs="Times New Roman"/>
                <w:b/>
                <w:bCs/>
                <w:i w:val="0"/>
                <w:iCs w:val="0"/>
                <w:color w:val="auto"/>
                <w:sz w:val="21"/>
                <w:szCs w:val="21"/>
                <w:highlight w:val="none"/>
                <w:u w:val="none"/>
              </w:rPr>
            </w:pPr>
          </w:p>
        </w:tc>
        <w:tc>
          <w:tcPr>
            <w:tcW w:w="3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0AFF5">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百亩</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1271C">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千亩</w:t>
            </w:r>
          </w:p>
        </w:tc>
        <w:tc>
          <w:tcPr>
            <w:tcW w:w="3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F154A">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万亩</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D57F2">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小计</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B0E38">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百亩</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DA82E">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千亩</w:t>
            </w: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8B659">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万亩</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0C8E6">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小计</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483C9">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百亩</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4DF3D">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千亩</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DE1B9">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万亩</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77DA3">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小计</w:t>
            </w:r>
          </w:p>
        </w:tc>
      </w:tr>
      <w:tr w14:paraId="063F1F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39D2F">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136FE04">
            <w:pPr>
              <w:keepNext w:val="0"/>
              <w:keepLines w:val="0"/>
              <w:widowControl/>
              <w:suppressLineNumbers w:val="0"/>
              <w:spacing w:line="240" w:lineRule="auto"/>
              <w:ind w:left="0" w:leftChars="0" w:firstLine="0" w:firstLineChars="0"/>
              <w:jc w:val="both"/>
              <w:textAlignment w:val="bottom"/>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吉里于孜镇</w:t>
            </w:r>
          </w:p>
        </w:tc>
        <w:tc>
          <w:tcPr>
            <w:tcW w:w="3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81D23">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1</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A8D7C">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245CB">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33216">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1</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6AB7F">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2</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E2752">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4A28D">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222ED">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2</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732B0">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3</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79B99">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F964E">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44F53">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3</w:t>
            </w:r>
          </w:p>
        </w:tc>
      </w:tr>
      <w:tr w14:paraId="3EEC79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D7017">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2</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41C27D1">
            <w:pPr>
              <w:keepNext w:val="0"/>
              <w:keepLines w:val="0"/>
              <w:widowControl/>
              <w:suppressLineNumbers w:val="0"/>
              <w:spacing w:line="240" w:lineRule="auto"/>
              <w:ind w:left="0" w:leftChars="0" w:firstLine="0" w:firstLineChars="0"/>
              <w:jc w:val="both"/>
              <w:textAlignment w:val="bottom"/>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墩麻扎镇</w:t>
            </w:r>
          </w:p>
        </w:tc>
        <w:tc>
          <w:tcPr>
            <w:tcW w:w="3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AC38A">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1</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35166">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1</w:t>
            </w:r>
          </w:p>
        </w:tc>
        <w:tc>
          <w:tcPr>
            <w:tcW w:w="3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0CC34">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6ED7B">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2</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E4B23">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4</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E8BA1">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1</w:t>
            </w: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2A993">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060C0">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5</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F2568">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5</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490C3">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2</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DB53F">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AD370">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7</w:t>
            </w:r>
          </w:p>
        </w:tc>
      </w:tr>
      <w:tr w14:paraId="6BF901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DC1D8">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3</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1CF6770">
            <w:pPr>
              <w:keepNext w:val="0"/>
              <w:keepLines w:val="0"/>
              <w:widowControl/>
              <w:suppressLineNumbers w:val="0"/>
              <w:spacing w:line="240" w:lineRule="auto"/>
              <w:ind w:left="0" w:leftChars="0" w:firstLine="0" w:firstLineChars="0"/>
              <w:jc w:val="both"/>
              <w:textAlignment w:val="bottom"/>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吐鲁番于孜乡</w:t>
            </w:r>
          </w:p>
        </w:tc>
        <w:tc>
          <w:tcPr>
            <w:tcW w:w="3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0D782">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85BBB">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2</w:t>
            </w:r>
          </w:p>
        </w:tc>
        <w:tc>
          <w:tcPr>
            <w:tcW w:w="3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AD96C">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8C4FF">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2</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B28E5">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5</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EABBD">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F5F28">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D5F33">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5</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AA899">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5</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22A72">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2</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FD6F6">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7CA2C">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7</w:t>
            </w:r>
          </w:p>
        </w:tc>
      </w:tr>
      <w:tr w14:paraId="0460C7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932F3">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4</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F0F1FD6">
            <w:pPr>
              <w:keepNext w:val="0"/>
              <w:keepLines w:val="0"/>
              <w:widowControl/>
              <w:suppressLineNumbers w:val="0"/>
              <w:spacing w:line="240" w:lineRule="auto"/>
              <w:ind w:left="0" w:leftChars="0" w:firstLine="0" w:firstLineChars="0"/>
              <w:jc w:val="both"/>
              <w:textAlignment w:val="bottom"/>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胡地亚于孜镇</w:t>
            </w:r>
          </w:p>
        </w:tc>
        <w:tc>
          <w:tcPr>
            <w:tcW w:w="3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623D0">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2</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899D8">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27618">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5874C">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2</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C426E">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1</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8582C">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3</w:t>
            </w: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FD33E">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C745B">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4</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D9A27">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3</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D54C6">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3</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A41B9">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E326F">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6</w:t>
            </w:r>
          </w:p>
        </w:tc>
      </w:tr>
      <w:tr w14:paraId="1CBCD3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08906">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5</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208F3D6">
            <w:pPr>
              <w:keepNext w:val="0"/>
              <w:keepLines w:val="0"/>
              <w:widowControl/>
              <w:suppressLineNumbers w:val="0"/>
              <w:spacing w:line="240" w:lineRule="auto"/>
              <w:ind w:left="0" w:leftChars="0" w:firstLine="0" w:firstLineChars="0"/>
              <w:jc w:val="both"/>
              <w:textAlignment w:val="bottom"/>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萨地克于孜乡</w:t>
            </w:r>
          </w:p>
        </w:tc>
        <w:tc>
          <w:tcPr>
            <w:tcW w:w="3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DA54E">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3</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1C647">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4F265">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C3F77">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3</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5A22F">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2</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D9A5B">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51141">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E0036">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2</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06614">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5</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9D93F">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53609">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2CF5A">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5</w:t>
            </w:r>
          </w:p>
        </w:tc>
      </w:tr>
      <w:tr w14:paraId="707A9C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E6F73">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6</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1929210">
            <w:pPr>
              <w:keepNext w:val="0"/>
              <w:keepLines w:val="0"/>
              <w:widowControl/>
              <w:suppressLineNumbers w:val="0"/>
              <w:spacing w:line="240" w:lineRule="auto"/>
              <w:ind w:left="0" w:leftChars="0" w:firstLine="0" w:firstLineChars="0"/>
              <w:jc w:val="both"/>
              <w:textAlignment w:val="bottom"/>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武功乡</w:t>
            </w:r>
          </w:p>
        </w:tc>
        <w:tc>
          <w:tcPr>
            <w:tcW w:w="3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84585">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3</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F000D">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6B007">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3737C">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3</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897E7">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2</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16298">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1</w:t>
            </w: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40038">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7BEA9">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3</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9EEE3">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5</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97442">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1</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FBDC7">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ACA18">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6</w:t>
            </w:r>
          </w:p>
        </w:tc>
      </w:tr>
      <w:tr w14:paraId="00C9F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F58CE">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7</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D608006">
            <w:pPr>
              <w:keepNext w:val="0"/>
              <w:keepLines w:val="0"/>
              <w:widowControl/>
              <w:suppressLineNumbers w:val="0"/>
              <w:spacing w:line="240" w:lineRule="auto"/>
              <w:ind w:left="0" w:leftChars="0" w:firstLine="0" w:firstLineChars="0"/>
              <w:jc w:val="both"/>
              <w:textAlignment w:val="bottom"/>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曲鲁海乡</w:t>
            </w:r>
          </w:p>
        </w:tc>
        <w:tc>
          <w:tcPr>
            <w:tcW w:w="3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46CAB">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1</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DDE56">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2</w:t>
            </w:r>
          </w:p>
        </w:tc>
        <w:tc>
          <w:tcPr>
            <w:tcW w:w="3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8CCBE">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3D930">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3</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330C6">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2</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7310C">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13000">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5B7C8">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2</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0CAAD">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3</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5DC71">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2</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B0692">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15128">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5</w:t>
            </w:r>
          </w:p>
        </w:tc>
      </w:tr>
      <w:tr w14:paraId="671930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52FC6">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8</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C9D8956">
            <w:pPr>
              <w:keepNext w:val="0"/>
              <w:keepLines w:val="0"/>
              <w:widowControl/>
              <w:suppressLineNumbers w:val="0"/>
              <w:spacing w:line="240" w:lineRule="auto"/>
              <w:ind w:left="0" w:leftChars="0" w:firstLine="0" w:firstLineChars="0"/>
              <w:jc w:val="both"/>
              <w:textAlignment w:val="bottom"/>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愉群翁回族乡</w:t>
            </w:r>
          </w:p>
        </w:tc>
        <w:tc>
          <w:tcPr>
            <w:tcW w:w="3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BBD95">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1</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7AD5E">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2</w:t>
            </w:r>
          </w:p>
        </w:tc>
        <w:tc>
          <w:tcPr>
            <w:tcW w:w="3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157FE">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78A42">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3</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B90C7">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7</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AEFA0">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2</w:t>
            </w: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AF446">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A2B6B">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9</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574A2">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8</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47DCA">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4</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E34E5">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27AE6">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12</w:t>
            </w:r>
          </w:p>
        </w:tc>
      </w:tr>
      <w:tr w14:paraId="2C52F3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D32CB">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9</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F9060E8">
            <w:pPr>
              <w:keepNext w:val="0"/>
              <w:keepLines w:val="0"/>
              <w:widowControl/>
              <w:suppressLineNumbers w:val="0"/>
              <w:spacing w:line="240" w:lineRule="auto"/>
              <w:ind w:left="0" w:leftChars="0" w:firstLine="0" w:firstLineChars="0"/>
              <w:jc w:val="both"/>
              <w:textAlignment w:val="bottom"/>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温亚尔镇</w:t>
            </w:r>
          </w:p>
        </w:tc>
        <w:tc>
          <w:tcPr>
            <w:tcW w:w="3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D7013">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666AC">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F18AD">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1</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FAD49">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1</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144E9">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6</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FCD18">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2E765">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E5BDA">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6</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121B5">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6</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3591D">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70A5C">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BE933">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7</w:t>
            </w:r>
          </w:p>
        </w:tc>
      </w:tr>
      <w:tr w14:paraId="6260D8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720F1">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10</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EF61D1B">
            <w:pPr>
              <w:keepNext w:val="0"/>
              <w:keepLines w:val="0"/>
              <w:widowControl/>
              <w:suppressLineNumbers w:val="0"/>
              <w:spacing w:line="240" w:lineRule="auto"/>
              <w:ind w:left="0" w:leftChars="0" w:firstLine="0" w:firstLineChars="0"/>
              <w:jc w:val="both"/>
              <w:textAlignment w:val="bottom"/>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喀什镇</w:t>
            </w:r>
          </w:p>
        </w:tc>
        <w:tc>
          <w:tcPr>
            <w:tcW w:w="3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58DEE">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ADE3E">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2</w:t>
            </w:r>
          </w:p>
        </w:tc>
        <w:tc>
          <w:tcPr>
            <w:tcW w:w="3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8D93D">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3</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D1323">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5</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61E95">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2</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28D13">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3</w:t>
            </w: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050F3">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0BB2B">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5</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1C1FB">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2</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8772F">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5</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F600B">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3</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16735">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10</w:t>
            </w:r>
          </w:p>
        </w:tc>
      </w:tr>
      <w:tr w14:paraId="3DB274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747FB">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11</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8D0F4D4">
            <w:pPr>
              <w:keepNext w:val="0"/>
              <w:keepLines w:val="0"/>
              <w:widowControl/>
              <w:suppressLineNumbers w:val="0"/>
              <w:spacing w:line="240" w:lineRule="auto"/>
              <w:ind w:left="0" w:leftChars="0" w:firstLine="0" w:firstLineChars="0"/>
              <w:jc w:val="both"/>
              <w:textAlignment w:val="bottom"/>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萨木于孜镇</w:t>
            </w:r>
          </w:p>
        </w:tc>
        <w:tc>
          <w:tcPr>
            <w:tcW w:w="3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46335">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1</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FD479">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2</w:t>
            </w:r>
          </w:p>
        </w:tc>
        <w:tc>
          <w:tcPr>
            <w:tcW w:w="3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46874">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1</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47C4E">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4</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70FEC">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2</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AF62D">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3</w:t>
            </w: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C93B0">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E7231">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5</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6941B">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3</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A0669">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5</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0F01D">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8DA85">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9</w:t>
            </w:r>
          </w:p>
        </w:tc>
      </w:tr>
      <w:tr w14:paraId="4B88C9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75C12">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12</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D7563FB">
            <w:pPr>
              <w:keepNext w:val="0"/>
              <w:keepLines w:val="0"/>
              <w:widowControl/>
              <w:suppressLineNumbers w:val="0"/>
              <w:spacing w:line="240" w:lineRule="auto"/>
              <w:ind w:left="0" w:leftChars="0" w:firstLine="0" w:firstLineChars="0"/>
              <w:jc w:val="both"/>
              <w:textAlignment w:val="bottom"/>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维吾尔玉其温镇</w:t>
            </w:r>
          </w:p>
        </w:tc>
        <w:tc>
          <w:tcPr>
            <w:tcW w:w="3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A11FB">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2</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FFC96">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2</w:t>
            </w:r>
          </w:p>
        </w:tc>
        <w:tc>
          <w:tcPr>
            <w:tcW w:w="3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296EF">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20CCD">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4</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FEFBB">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2</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4681C">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1</w:t>
            </w: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B43EC">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E4223">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3</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D2A68">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4</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44CF1">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3</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16E9F">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D52E0">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7</w:t>
            </w:r>
          </w:p>
        </w:tc>
      </w:tr>
      <w:tr w14:paraId="11EB67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A8FE07">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13</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33596C1">
            <w:pPr>
              <w:keepNext w:val="0"/>
              <w:keepLines w:val="0"/>
              <w:widowControl/>
              <w:suppressLineNumbers w:val="0"/>
              <w:spacing w:line="240" w:lineRule="auto"/>
              <w:ind w:left="0" w:leftChars="0" w:firstLine="0" w:firstLineChars="0"/>
              <w:jc w:val="both"/>
              <w:textAlignment w:val="bottom"/>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阿乌利亚乡</w:t>
            </w:r>
          </w:p>
        </w:tc>
        <w:tc>
          <w:tcPr>
            <w:tcW w:w="3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D140C">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9130A">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4</w:t>
            </w:r>
          </w:p>
        </w:tc>
        <w:tc>
          <w:tcPr>
            <w:tcW w:w="3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FF3F7">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205ED">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4</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AE8E6">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4C95A">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1</w:t>
            </w: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70689">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11722">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1</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34045">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832BF">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5</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908DC">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D4BF6">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5</w:t>
            </w:r>
          </w:p>
        </w:tc>
      </w:tr>
      <w:tr w14:paraId="18696A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C5CC5">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14</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CA0025E">
            <w:pPr>
              <w:keepNext w:val="0"/>
              <w:keepLines w:val="0"/>
              <w:widowControl/>
              <w:suppressLineNumbers w:val="0"/>
              <w:spacing w:line="240" w:lineRule="auto"/>
              <w:ind w:left="0" w:leftChars="0" w:firstLine="0" w:firstLineChars="0"/>
              <w:jc w:val="both"/>
              <w:textAlignment w:val="bottom"/>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巴依托海镇</w:t>
            </w:r>
          </w:p>
        </w:tc>
        <w:tc>
          <w:tcPr>
            <w:tcW w:w="3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3E7EA">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BFFFF">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10</w:t>
            </w:r>
          </w:p>
        </w:tc>
        <w:tc>
          <w:tcPr>
            <w:tcW w:w="3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213F7">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1</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C196C">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11</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4964F">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1</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F3774">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7</w:t>
            </w: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E15D3">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5D7AE">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8</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DA427">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1</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3898A">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17</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25068">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7ADBD">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19</w:t>
            </w:r>
          </w:p>
        </w:tc>
      </w:tr>
      <w:tr w14:paraId="5F4B7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E0826">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15</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D5BDCBE">
            <w:pPr>
              <w:keepNext w:val="0"/>
              <w:keepLines w:val="0"/>
              <w:widowControl/>
              <w:suppressLineNumbers w:val="0"/>
              <w:spacing w:line="240" w:lineRule="auto"/>
              <w:ind w:left="0" w:leftChars="0" w:firstLine="0" w:firstLineChars="0"/>
              <w:jc w:val="both"/>
              <w:textAlignment w:val="bottom"/>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英塔木镇</w:t>
            </w:r>
          </w:p>
        </w:tc>
        <w:tc>
          <w:tcPr>
            <w:tcW w:w="3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D6157">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8D9C7">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7</w:t>
            </w:r>
          </w:p>
        </w:tc>
        <w:tc>
          <w:tcPr>
            <w:tcW w:w="3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786A2">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315DE">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7</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0ED9C">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3F917">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3</w:t>
            </w: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91D84">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02B28">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3</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B32C1">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22C3B">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10</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C5C06">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B8CE7">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10</w:t>
            </w:r>
          </w:p>
        </w:tc>
      </w:tr>
      <w:tr w14:paraId="59BD2B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F6A6B">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16</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8CADBB9">
            <w:pPr>
              <w:keepNext w:val="0"/>
              <w:keepLines w:val="0"/>
              <w:widowControl/>
              <w:suppressLineNumbers w:val="0"/>
              <w:spacing w:line="240" w:lineRule="auto"/>
              <w:ind w:left="0" w:leftChars="0" w:firstLine="0" w:firstLineChars="0"/>
              <w:jc w:val="both"/>
              <w:textAlignment w:val="bottom"/>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阿热吾斯塘镇</w:t>
            </w:r>
          </w:p>
        </w:tc>
        <w:tc>
          <w:tcPr>
            <w:tcW w:w="3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3335D">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1</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7519F">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4</w:t>
            </w:r>
          </w:p>
        </w:tc>
        <w:tc>
          <w:tcPr>
            <w:tcW w:w="3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73B56">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99572">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5</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8EF6A">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3</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B80D4">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1</w:t>
            </w: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FC143">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2A7DD">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4</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B39F45">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4</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995BF">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5</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5B2FB">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17248">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9</w:t>
            </w:r>
          </w:p>
        </w:tc>
      </w:tr>
      <w:tr w14:paraId="48218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63FAA">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17</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34D6426">
            <w:pPr>
              <w:keepNext w:val="0"/>
              <w:keepLines w:val="0"/>
              <w:widowControl/>
              <w:suppressLineNumbers w:val="0"/>
              <w:spacing w:line="240" w:lineRule="auto"/>
              <w:ind w:left="0" w:leftChars="0" w:firstLine="0" w:firstLineChars="0"/>
              <w:jc w:val="both"/>
              <w:textAlignment w:val="bottom"/>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麻扎乡</w:t>
            </w:r>
          </w:p>
        </w:tc>
        <w:tc>
          <w:tcPr>
            <w:tcW w:w="3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CDE67">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B5DB6">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2</w:t>
            </w:r>
          </w:p>
        </w:tc>
        <w:tc>
          <w:tcPr>
            <w:tcW w:w="3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4ECDA">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78F6D">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2</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E9AF3">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73993">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73191">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3D5E2">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720A8">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3CF47">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2</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03983">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230A7">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2</w:t>
            </w:r>
          </w:p>
        </w:tc>
      </w:tr>
      <w:tr w14:paraId="6FFF16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A7B9B">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lang w:eastAsia="zh-CN" w:bidi="ar"/>
              </w:rPr>
            </w:pPr>
            <w:r>
              <w:rPr>
                <w:rFonts w:hint="default" w:ascii="Times New Roman" w:hAnsi="Times New Roman" w:eastAsia="宋体" w:cs="Times New Roman"/>
                <w:i w:val="0"/>
                <w:iCs w:val="0"/>
                <w:color w:val="auto"/>
                <w:kern w:val="0"/>
                <w:sz w:val="21"/>
                <w:szCs w:val="21"/>
                <w:highlight w:val="none"/>
                <w:u w:val="none"/>
                <w:lang w:eastAsia="zh-CN" w:bidi="ar"/>
              </w:rPr>
              <w:t>18</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F8EAE4A">
            <w:pPr>
              <w:keepNext w:val="0"/>
              <w:keepLines w:val="0"/>
              <w:widowControl/>
              <w:suppressLineNumbers w:val="0"/>
              <w:spacing w:line="240" w:lineRule="auto"/>
              <w:ind w:left="0" w:leftChars="0" w:firstLine="0" w:firstLineChars="0"/>
              <w:jc w:val="both"/>
              <w:textAlignment w:val="bottom"/>
              <w:rPr>
                <w:rFonts w:hint="eastAsia"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喀拉亚尕奇乡</w:t>
            </w:r>
          </w:p>
        </w:tc>
        <w:tc>
          <w:tcPr>
            <w:tcW w:w="3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450E8">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kern w:val="0"/>
                <w:sz w:val="21"/>
                <w:szCs w:val="21"/>
                <w:highlight w:val="none"/>
                <w:u w:val="none"/>
                <w:lang w:eastAsia="zh-CN" w:bidi="ar"/>
              </w:rPr>
            </w:pPr>
            <w:r>
              <w:rPr>
                <w:rFonts w:hint="eastAsia" w:ascii="Times New Roman" w:hAnsi="Times New Roman" w:eastAsia="宋体" w:cs="Times New Roman"/>
                <w:i w:val="0"/>
                <w:iCs w:val="0"/>
                <w:color w:val="auto"/>
                <w:kern w:val="0"/>
                <w:sz w:val="21"/>
                <w:szCs w:val="21"/>
                <w:highlight w:val="none"/>
                <w:u w:val="none"/>
                <w:lang w:eastAsia="zh-CN" w:bidi="ar"/>
              </w:rPr>
              <w:t>0</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D2191">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kern w:val="0"/>
                <w:sz w:val="21"/>
                <w:szCs w:val="21"/>
                <w:highlight w:val="none"/>
                <w:u w:val="none"/>
                <w:lang w:eastAsia="zh-CN" w:bidi="ar"/>
              </w:rPr>
            </w:pPr>
            <w:r>
              <w:rPr>
                <w:rFonts w:hint="eastAsia" w:ascii="Times New Roman" w:hAnsi="Times New Roman" w:eastAsia="宋体" w:cs="Times New Roman"/>
                <w:i w:val="0"/>
                <w:iCs w:val="0"/>
                <w:color w:val="auto"/>
                <w:kern w:val="0"/>
                <w:sz w:val="21"/>
                <w:szCs w:val="21"/>
                <w:highlight w:val="none"/>
                <w:u w:val="none"/>
                <w:lang w:eastAsia="zh-CN" w:bidi="ar"/>
              </w:rPr>
              <w:t>0</w:t>
            </w:r>
          </w:p>
        </w:tc>
        <w:tc>
          <w:tcPr>
            <w:tcW w:w="3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AF2BD">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F0B27">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6A473">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84BFD">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E970F">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C269A">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D0DC8">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B5518">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8D470">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9BDC6">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r>
      <w:tr w14:paraId="1F9D28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FC11B">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eastAsia="zh-CN" w:bidi="ar"/>
              </w:rPr>
              <w:t>19</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CC16F">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青年农场</w:t>
            </w:r>
          </w:p>
        </w:tc>
        <w:tc>
          <w:tcPr>
            <w:tcW w:w="3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57AC6">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1</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34BA3">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AB17F">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3D1AE">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1</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748E2">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2</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F5E51">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1</w:t>
            </w: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EEDD8">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812B5">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3</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38238">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3</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4204F">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1</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8EC06">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B8966">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4</w:t>
            </w:r>
          </w:p>
        </w:tc>
      </w:tr>
      <w:tr w14:paraId="53B4D8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00C41">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eastAsia="zh-CN" w:bidi="ar"/>
              </w:rPr>
              <w:t>20</w:t>
            </w:r>
          </w:p>
        </w:tc>
        <w:tc>
          <w:tcPr>
            <w:tcW w:w="8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B77B4">
            <w:pPr>
              <w:keepNext w:val="0"/>
              <w:keepLines w:val="0"/>
              <w:widowControl/>
              <w:suppressLineNumbers w:val="0"/>
              <w:spacing w:line="240" w:lineRule="auto"/>
              <w:ind w:left="0" w:leftChars="0" w:firstLine="0" w:firstLineChars="0"/>
              <w:jc w:val="both"/>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多浪农场</w:t>
            </w:r>
          </w:p>
        </w:tc>
        <w:tc>
          <w:tcPr>
            <w:tcW w:w="3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9BCA4">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BE0E5">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2</w:t>
            </w:r>
          </w:p>
        </w:tc>
        <w:tc>
          <w:tcPr>
            <w:tcW w:w="3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8AE5B">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EB1FB">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2</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37D43">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1</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73C75">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2</w:t>
            </w: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E60C1">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5F730">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3</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323B1">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1</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5B3AF">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4</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C834F">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3FE32">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i w:val="0"/>
                <w:iCs w:val="0"/>
                <w:color w:val="auto"/>
                <w:sz w:val="21"/>
                <w:szCs w:val="21"/>
                <w:highlight w:val="none"/>
                <w:u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5</w:t>
            </w:r>
          </w:p>
        </w:tc>
      </w:tr>
      <w:tr w14:paraId="0C2D5F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109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0C3ED">
            <w:pPr>
              <w:keepNext w:val="0"/>
              <w:keepLines w:val="0"/>
              <w:widowControl/>
              <w:suppressLineNumbers w:val="0"/>
              <w:spacing w:line="240" w:lineRule="auto"/>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合计</w:t>
            </w:r>
          </w:p>
        </w:tc>
        <w:tc>
          <w:tcPr>
            <w:tcW w:w="3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CE55C">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b w:val="0"/>
                <w:bCs w:val="0"/>
                <w:i w:val="0"/>
                <w:iCs w:val="0"/>
                <w:color w:val="auto"/>
                <w:sz w:val="21"/>
                <w:szCs w:val="21"/>
                <w:highlight w:val="none"/>
                <w:u w:val="none"/>
                <w:lang w:bidi="ar"/>
              </w:rPr>
            </w:pPr>
            <w:r>
              <w:rPr>
                <w:rFonts w:hint="eastAsia" w:ascii="Times New Roman" w:hAnsi="Times New Roman" w:eastAsia="宋体" w:cs="Times New Roman"/>
                <w:b w:val="0"/>
                <w:bCs w:val="0"/>
                <w:i w:val="0"/>
                <w:iCs w:val="0"/>
                <w:color w:val="auto"/>
                <w:kern w:val="0"/>
                <w:sz w:val="21"/>
                <w:szCs w:val="21"/>
                <w:highlight w:val="none"/>
                <w:u w:val="none"/>
                <w:lang w:val="en-US" w:eastAsia="zh-CN" w:bidi="ar"/>
              </w:rPr>
              <w:t>17</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891ED">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b w:val="0"/>
                <w:bCs w:val="0"/>
                <w:i w:val="0"/>
                <w:iCs w:val="0"/>
                <w:color w:val="auto"/>
                <w:sz w:val="21"/>
                <w:szCs w:val="21"/>
                <w:highlight w:val="none"/>
                <w:u w:val="none"/>
                <w:lang w:bidi="ar"/>
              </w:rPr>
            </w:pPr>
            <w:r>
              <w:rPr>
                <w:rFonts w:hint="eastAsia" w:ascii="Times New Roman" w:hAnsi="Times New Roman" w:eastAsia="宋体" w:cs="Times New Roman"/>
                <w:b w:val="0"/>
                <w:bCs w:val="0"/>
                <w:i w:val="0"/>
                <w:iCs w:val="0"/>
                <w:color w:val="auto"/>
                <w:kern w:val="0"/>
                <w:sz w:val="21"/>
                <w:szCs w:val="21"/>
                <w:highlight w:val="none"/>
                <w:u w:val="none"/>
                <w:lang w:val="en-US" w:eastAsia="zh-CN" w:bidi="ar"/>
              </w:rPr>
              <w:t>42</w:t>
            </w:r>
          </w:p>
        </w:tc>
        <w:tc>
          <w:tcPr>
            <w:tcW w:w="3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9C88A">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b w:val="0"/>
                <w:bCs w:val="0"/>
                <w:i w:val="0"/>
                <w:iCs w:val="0"/>
                <w:color w:val="auto"/>
                <w:sz w:val="21"/>
                <w:szCs w:val="21"/>
                <w:highlight w:val="none"/>
                <w:u w:val="none"/>
                <w:lang w:bidi="ar"/>
              </w:rPr>
            </w:pPr>
            <w:r>
              <w:rPr>
                <w:rFonts w:hint="eastAsia" w:ascii="Times New Roman" w:hAnsi="Times New Roman" w:eastAsia="宋体" w:cs="Times New Roman"/>
                <w:b w:val="0"/>
                <w:bCs w:val="0"/>
                <w:i w:val="0"/>
                <w:iCs w:val="0"/>
                <w:color w:val="auto"/>
                <w:kern w:val="0"/>
                <w:sz w:val="21"/>
                <w:szCs w:val="21"/>
                <w:highlight w:val="none"/>
                <w:u w:val="none"/>
                <w:lang w:val="en-US" w:eastAsia="zh-CN" w:bidi="ar"/>
              </w:rPr>
              <w:t>6</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7EEC8">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b w:val="0"/>
                <w:bCs w:val="0"/>
                <w:i w:val="0"/>
                <w:iCs w:val="0"/>
                <w:color w:val="auto"/>
                <w:sz w:val="21"/>
                <w:szCs w:val="21"/>
                <w:highlight w:val="none"/>
                <w:u w:val="none"/>
                <w:lang w:bidi="ar"/>
              </w:rPr>
            </w:pPr>
            <w:r>
              <w:rPr>
                <w:rFonts w:hint="eastAsia" w:ascii="Times New Roman" w:hAnsi="Times New Roman" w:eastAsia="宋体" w:cs="Times New Roman"/>
                <w:b w:val="0"/>
                <w:bCs w:val="0"/>
                <w:i w:val="0"/>
                <w:iCs w:val="0"/>
                <w:color w:val="auto"/>
                <w:kern w:val="0"/>
                <w:sz w:val="21"/>
                <w:szCs w:val="21"/>
                <w:highlight w:val="none"/>
                <w:u w:val="none"/>
                <w:lang w:val="en-US" w:eastAsia="zh-CN" w:bidi="ar"/>
              </w:rPr>
              <w:t>65</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144B6">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b w:val="0"/>
                <w:bCs w:val="0"/>
                <w:i w:val="0"/>
                <w:iCs w:val="0"/>
                <w:color w:val="auto"/>
                <w:sz w:val="21"/>
                <w:szCs w:val="21"/>
                <w:highlight w:val="none"/>
                <w:u w:val="none"/>
                <w:lang w:bidi="ar"/>
              </w:rPr>
            </w:pPr>
            <w:r>
              <w:rPr>
                <w:rFonts w:hint="eastAsia" w:ascii="Times New Roman" w:hAnsi="Times New Roman" w:eastAsia="宋体" w:cs="Times New Roman"/>
                <w:b w:val="0"/>
                <w:bCs w:val="0"/>
                <w:i w:val="0"/>
                <w:iCs w:val="0"/>
                <w:color w:val="auto"/>
                <w:kern w:val="0"/>
                <w:sz w:val="21"/>
                <w:szCs w:val="21"/>
                <w:highlight w:val="none"/>
                <w:u w:val="none"/>
                <w:lang w:val="en-US" w:eastAsia="zh-CN" w:bidi="ar"/>
              </w:rPr>
              <w:t>44</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426B4">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b w:val="0"/>
                <w:bCs w:val="0"/>
                <w:i w:val="0"/>
                <w:iCs w:val="0"/>
                <w:color w:val="auto"/>
                <w:sz w:val="21"/>
                <w:szCs w:val="21"/>
                <w:highlight w:val="none"/>
                <w:u w:val="none"/>
                <w:lang w:bidi="ar"/>
              </w:rPr>
            </w:pPr>
            <w:r>
              <w:rPr>
                <w:rFonts w:hint="eastAsia" w:ascii="Times New Roman" w:hAnsi="Times New Roman" w:eastAsia="宋体" w:cs="Times New Roman"/>
                <w:b w:val="0"/>
                <w:bCs w:val="0"/>
                <w:i w:val="0"/>
                <w:iCs w:val="0"/>
                <w:color w:val="auto"/>
                <w:kern w:val="0"/>
                <w:sz w:val="21"/>
                <w:szCs w:val="21"/>
                <w:highlight w:val="none"/>
                <w:u w:val="none"/>
                <w:lang w:val="en-US" w:eastAsia="zh-CN" w:bidi="ar"/>
              </w:rPr>
              <w:t>29</w:t>
            </w: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23D80">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b w:val="0"/>
                <w:bCs w:val="0"/>
                <w:i w:val="0"/>
                <w:iCs w:val="0"/>
                <w:color w:val="auto"/>
                <w:sz w:val="21"/>
                <w:szCs w:val="21"/>
                <w:highlight w:val="none"/>
                <w:u w:val="none"/>
                <w:lang w:bidi="ar"/>
              </w:rPr>
            </w:pPr>
            <w:r>
              <w:rPr>
                <w:rFonts w:hint="eastAsia" w:ascii="Times New Roman" w:hAnsi="Times New Roman" w:eastAsia="宋体" w:cs="Times New Roman"/>
                <w:b w:val="0"/>
                <w:bCs w:val="0"/>
                <w:i w:val="0"/>
                <w:iCs w:val="0"/>
                <w:color w:val="auto"/>
                <w:kern w:val="0"/>
                <w:sz w:val="21"/>
                <w:szCs w:val="21"/>
                <w:highlight w:val="none"/>
                <w:u w:val="none"/>
                <w:lang w:val="en-US" w:eastAsia="zh-CN" w:bidi="ar"/>
              </w:rPr>
              <w:t>0</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62359">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b w:val="0"/>
                <w:bCs w:val="0"/>
                <w:i w:val="0"/>
                <w:iCs w:val="0"/>
                <w:color w:val="auto"/>
                <w:sz w:val="21"/>
                <w:szCs w:val="21"/>
                <w:highlight w:val="none"/>
                <w:u w:val="none"/>
                <w:lang w:bidi="ar"/>
              </w:rPr>
            </w:pPr>
            <w:r>
              <w:rPr>
                <w:rFonts w:hint="eastAsia" w:ascii="Times New Roman" w:hAnsi="Times New Roman" w:eastAsia="宋体" w:cs="Times New Roman"/>
                <w:b w:val="0"/>
                <w:bCs w:val="0"/>
                <w:i w:val="0"/>
                <w:iCs w:val="0"/>
                <w:color w:val="auto"/>
                <w:kern w:val="0"/>
                <w:sz w:val="21"/>
                <w:szCs w:val="21"/>
                <w:highlight w:val="none"/>
                <w:u w:val="none"/>
                <w:lang w:val="en-US" w:eastAsia="zh-CN" w:bidi="ar"/>
              </w:rPr>
              <w:t>73</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47087">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b w:val="0"/>
                <w:bCs w:val="0"/>
                <w:i w:val="0"/>
                <w:iCs w:val="0"/>
                <w:color w:val="auto"/>
                <w:sz w:val="21"/>
                <w:szCs w:val="21"/>
                <w:highlight w:val="none"/>
                <w:u w:val="none"/>
                <w:lang w:bidi="ar"/>
              </w:rPr>
            </w:pPr>
            <w:r>
              <w:rPr>
                <w:rFonts w:hint="eastAsia" w:ascii="Times New Roman" w:hAnsi="Times New Roman" w:eastAsia="宋体" w:cs="Times New Roman"/>
                <w:b w:val="0"/>
                <w:bCs w:val="0"/>
                <w:i w:val="0"/>
                <w:iCs w:val="0"/>
                <w:color w:val="auto"/>
                <w:kern w:val="0"/>
                <w:sz w:val="21"/>
                <w:szCs w:val="21"/>
                <w:highlight w:val="none"/>
                <w:u w:val="none"/>
                <w:lang w:val="en-US" w:eastAsia="zh-CN" w:bidi="ar"/>
              </w:rPr>
              <w:t>61</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CB024">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b w:val="0"/>
                <w:bCs w:val="0"/>
                <w:i w:val="0"/>
                <w:iCs w:val="0"/>
                <w:color w:val="auto"/>
                <w:sz w:val="21"/>
                <w:szCs w:val="21"/>
                <w:highlight w:val="none"/>
                <w:u w:val="none"/>
                <w:lang w:bidi="ar"/>
              </w:rPr>
            </w:pPr>
            <w:r>
              <w:rPr>
                <w:rFonts w:hint="eastAsia" w:ascii="Times New Roman" w:hAnsi="Times New Roman" w:eastAsia="宋体" w:cs="Times New Roman"/>
                <w:b w:val="0"/>
                <w:bCs w:val="0"/>
                <w:i w:val="0"/>
                <w:iCs w:val="0"/>
                <w:color w:val="auto"/>
                <w:kern w:val="0"/>
                <w:sz w:val="21"/>
                <w:szCs w:val="21"/>
                <w:highlight w:val="none"/>
                <w:u w:val="none"/>
                <w:lang w:val="en-US" w:eastAsia="zh-CN" w:bidi="ar"/>
              </w:rPr>
              <w:t>71</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984BC">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b w:val="0"/>
                <w:bCs w:val="0"/>
                <w:i w:val="0"/>
                <w:iCs w:val="0"/>
                <w:color w:val="auto"/>
                <w:sz w:val="21"/>
                <w:szCs w:val="21"/>
                <w:highlight w:val="none"/>
                <w:u w:val="none"/>
                <w:lang w:bidi="ar"/>
              </w:rPr>
            </w:pPr>
            <w:r>
              <w:rPr>
                <w:rFonts w:hint="eastAsia" w:ascii="Times New Roman" w:hAnsi="Times New Roman" w:eastAsia="宋体" w:cs="Times New Roman"/>
                <w:b w:val="0"/>
                <w:bCs w:val="0"/>
                <w:i w:val="0"/>
                <w:iCs w:val="0"/>
                <w:color w:val="auto"/>
                <w:kern w:val="0"/>
                <w:sz w:val="21"/>
                <w:szCs w:val="21"/>
                <w:highlight w:val="none"/>
                <w:u w:val="none"/>
                <w:lang w:val="en-US" w:eastAsia="zh-CN" w:bidi="ar"/>
              </w:rPr>
              <w:t>6</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4B270">
            <w:pPr>
              <w:keepNext w:val="0"/>
              <w:keepLines w:val="0"/>
              <w:widowControl/>
              <w:suppressLineNumbers w:val="0"/>
              <w:spacing w:line="240" w:lineRule="auto"/>
              <w:ind w:left="0" w:leftChars="0" w:firstLine="0" w:firstLineChars="0"/>
              <w:jc w:val="center"/>
              <w:textAlignment w:val="center"/>
              <w:rPr>
                <w:rFonts w:hint="eastAsia" w:ascii="Times New Roman" w:hAnsi="Times New Roman" w:eastAsia="宋体" w:cs="Times New Roman"/>
                <w:b w:val="0"/>
                <w:bCs w:val="0"/>
                <w:i w:val="0"/>
                <w:iCs w:val="0"/>
                <w:color w:val="auto"/>
                <w:sz w:val="21"/>
                <w:szCs w:val="21"/>
                <w:highlight w:val="none"/>
                <w:u w:val="none"/>
                <w:lang w:bidi="ar"/>
              </w:rPr>
            </w:pPr>
            <w:r>
              <w:rPr>
                <w:rFonts w:hint="eastAsia" w:ascii="Times New Roman" w:hAnsi="Times New Roman" w:eastAsia="宋体" w:cs="Times New Roman"/>
                <w:b w:val="0"/>
                <w:bCs w:val="0"/>
                <w:i w:val="0"/>
                <w:iCs w:val="0"/>
                <w:color w:val="auto"/>
                <w:kern w:val="0"/>
                <w:sz w:val="21"/>
                <w:szCs w:val="21"/>
                <w:highlight w:val="none"/>
                <w:u w:val="none"/>
                <w:lang w:val="en-US" w:eastAsia="zh-CN" w:bidi="ar"/>
              </w:rPr>
              <w:t>138</w:t>
            </w:r>
          </w:p>
        </w:tc>
      </w:tr>
    </w:tbl>
    <w:p w14:paraId="1C7EABEC">
      <w:pPr>
        <w:bidi w:val="0"/>
        <w:rPr>
          <w:rFonts w:hint="default" w:ascii="Times New Roman" w:hAnsi="Times New Roman" w:eastAsia="宋体" w:cs="Times New Roman"/>
          <w:color w:val="auto"/>
          <w:highlight w:val="none"/>
          <w:lang w:val="en-US" w:eastAsia="zh-CN"/>
        </w:rPr>
        <w:sectPr>
          <w:pgSz w:w="16838" w:h="11906" w:orient="landscape"/>
          <w:pgMar w:top="1800" w:right="1440" w:bottom="1800" w:left="1440" w:header="851" w:footer="907" w:gutter="0"/>
          <w:pgBorders>
            <w:top w:val="none" w:sz="0" w:space="0"/>
            <w:left w:val="none" w:sz="0" w:space="0"/>
            <w:bottom w:val="none" w:sz="0" w:space="0"/>
            <w:right w:val="none" w:sz="0" w:space="0"/>
          </w:pgBorders>
          <w:pgNumType w:fmt="decimal"/>
          <w:cols w:space="425" w:num="1"/>
          <w:docGrid w:type="lines" w:linePitch="312" w:charSpace="0"/>
        </w:sectPr>
      </w:pPr>
    </w:p>
    <w:p w14:paraId="2E6EA61F">
      <w:pPr>
        <w:pStyle w:val="4"/>
        <w:ind w:firstLine="0" w:firstLineChars="0"/>
        <w:rPr>
          <w:rFonts w:hint="default" w:ascii="Times New Roman" w:hAnsi="Times New Roman" w:eastAsia="宋体" w:cs="Times New Roman"/>
          <w:color w:val="auto"/>
          <w:highlight w:val="none"/>
        </w:rPr>
      </w:pPr>
      <w:bookmarkStart w:id="79" w:name="_Toc29169"/>
      <w:bookmarkStart w:id="80" w:name="_Toc30454"/>
      <w:r>
        <w:rPr>
          <w:rFonts w:hint="default" w:ascii="Times New Roman" w:hAnsi="Times New Roman" w:eastAsia="宋体" w:cs="Times New Roman"/>
          <w:color w:val="auto"/>
          <w:highlight w:val="none"/>
        </w:rPr>
        <w:t>附件3：问卷调查分析报告</w:t>
      </w:r>
      <w:bookmarkEnd w:id="79"/>
      <w:bookmarkEnd w:id="80"/>
    </w:p>
    <w:p w14:paraId="6A740EB9">
      <w:pPr>
        <w:pStyle w:val="4"/>
        <w:pageBreakBefore w:val="0"/>
        <w:kinsoku/>
        <w:wordWrap/>
        <w:overflowPunct/>
        <w:topLinePunct w:val="0"/>
        <w:autoSpaceDE/>
        <w:autoSpaceDN/>
        <w:bidi w:val="0"/>
        <w:adjustRightInd w:val="0"/>
        <w:snapToGrid w:val="0"/>
        <w:spacing w:before="0" w:after="0" w:line="360" w:lineRule="auto"/>
        <w:ind w:left="0" w:leftChars="0" w:firstLine="420" w:firstLineChars="200"/>
        <w:textAlignment w:val="auto"/>
        <w:rPr>
          <w:rFonts w:hint="eastAsia" w:ascii="Times New Roman" w:hAnsi="Times New Roman" w:eastAsia="宋体" w:cs="Times New Roman"/>
          <w:b w:val="0"/>
          <w:bCs w:val="0"/>
          <w:color w:val="auto"/>
          <w:kern w:val="0"/>
          <w:sz w:val="21"/>
          <w:szCs w:val="21"/>
          <w:highlight w:val="none"/>
          <w:lang w:val="en-US" w:eastAsia="zh-CN" w:bidi="ar"/>
        </w:rPr>
      </w:pPr>
      <w:r>
        <w:rPr>
          <w:rFonts w:hint="eastAsia" w:ascii="Times New Roman" w:hAnsi="Times New Roman" w:eastAsia="宋体" w:cs="Times New Roman"/>
          <w:b w:val="0"/>
          <w:bCs w:val="0"/>
          <w:color w:val="auto"/>
          <w:kern w:val="0"/>
          <w:sz w:val="21"/>
          <w:szCs w:val="21"/>
          <w:highlight w:val="none"/>
          <w:lang w:val="en-US" w:eastAsia="zh-CN" w:bidi="ar"/>
        </w:rPr>
        <w:t>本次绩效评价的对象为伊宁县农技推广中心部门整体，为客观评价该部门整体的社会效果，绩效评价小组依据公共支出绩效评价“为顾客服务”原理，引入“受益农户满意度”等效益指标，了解群众对伊宁县农技推广中心部门整体的评价情况，对该项目开展满意度问卷调查。问卷调查工作情况如下：</w:t>
      </w:r>
    </w:p>
    <w:p w14:paraId="5F35224C">
      <w:pPr>
        <w:pStyle w:val="4"/>
        <w:pageBreakBefore w:val="0"/>
        <w:numPr>
          <w:ilvl w:val="0"/>
          <w:numId w:val="0"/>
        </w:numPr>
        <w:kinsoku/>
        <w:wordWrap/>
        <w:overflowPunct/>
        <w:topLinePunct w:val="0"/>
        <w:autoSpaceDE/>
        <w:autoSpaceDN/>
        <w:bidi w:val="0"/>
        <w:adjustRightInd w:val="0"/>
        <w:snapToGrid w:val="0"/>
        <w:spacing w:before="0" w:after="0" w:line="360" w:lineRule="auto"/>
        <w:ind w:leftChars="200"/>
        <w:textAlignment w:val="auto"/>
        <w:rPr>
          <w:rFonts w:hint="eastAsia" w:ascii="Times New Roman" w:hAnsi="Times New Roman" w:eastAsia="宋体" w:cs="Times New Roman"/>
          <w:b w:val="0"/>
          <w:bCs w:val="0"/>
          <w:color w:val="auto"/>
          <w:kern w:val="0"/>
          <w:sz w:val="24"/>
          <w:szCs w:val="24"/>
          <w:highlight w:val="none"/>
          <w:lang w:val="en-US" w:eastAsia="zh-CN" w:bidi="ar"/>
        </w:rPr>
      </w:pPr>
      <w:r>
        <w:rPr>
          <w:rFonts w:hint="eastAsia" w:ascii="Times New Roman" w:hAnsi="Times New Roman" w:eastAsia="宋体" w:cs="Times New Roman"/>
          <w:b/>
          <w:bCs/>
          <w:color w:val="auto"/>
          <w:kern w:val="0"/>
          <w:sz w:val="24"/>
          <w:szCs w:val="24"/>
          <w:highlight w:val="none"/>
          <w:lang w:val="en-US" w:eastAsia="zh-CN" w:bidi="ar"/>
        </w:rPr>
        <w:t>1.调研对象</w:t>
      </w:r>
    </w:p>
    <w:p w14:paraId="40FCF679">
      <w:pPr>
        <w:pStyle w:val="4"/>
        <w:pageBreakBefore w:val="0"/>
        <w:kinsoku/>
        <w:wordWrap/>
        <w:overflowPunct/>
        <w:topLinePunct w:val="0"/>
        <w:autoSpaceDE/>
        <w:autoSpaceDN/>
        <w:bidi w:val="0"/>
        <w:adjustRightInd w:val="0"/>
        <w:snapToGrid w:val="0"/>
        <w:spacing w:before="0" w:after="0" w:line="360" w:lineRule="auto"/>
        <w:ind w:left="0" w:leftChars="0" w:firstLine="420" w:firstLineChars="200"/>
        <w:textAlignment w:val="auto"/>
        <w:rPr>
          <w:rFonts w:hint="eastAsia" w:ascii="Times New Roman" w:hAnsi="Times New Roman" w:eastAsia="宋体" w:cs="Times New Roman"/>
          <w:b w:val="0"/>
          <w:bCs w:val="0"/>
          <w:color w:val="auto"/>
          <w:kern w:val="0"/>
          <w:sz w:val="21"/>
          <w:szCs w:val="21"/>
          <w:highlight w:val="none"/>
          <w:lang w:val="en-US" w:eastAsia="zh-CN" w:bidi="ar"/>
        </w:rPr>
      </w:pPr>
      <w:r>
        <w:rPr>
          <w:rFonts w:hint="eastAsia" w:ascii="Times New Roman" w:hAnsi="Times New Roman" w:eastAsia="宋体" w:cs="Times New Roman"/>
          <w:b w:val="0"/>
          <w:bCs w:val="0"/>
          <w:color w:val="auto"/>
          <w:kern w:val="0"/>
          <w:sz w:val="21"/>
          <w:szCs w:val="21"/>
          <w:highlight w:val="none"/>
          <w:lang w:val="en-US" w:eastAsia="zh-CN" w:bidi="ar"/>
        </w:rPr>
        <w:t>本次调研的对象为伊宁县农户20个乡镇（场）农户。</w:t>
      </w:r>
    </w:p>
    <w:p w14:paraId="387087F1">
      <w:pPr>
        <w:pStyle w:val="4"/>
        <w:pageBreakBefore w:val="0"/>
        <w:numPr>
          <w:ilvl w:val="0"/>
          <w:numId w:val="0"/>
        </w:numPr>
        <w:kinsoku/>
        <w:wordWrap/>
        <w:overflowPunct/>
        <w:topLinePunct w:val="0"/>
        <w:autoSpaceDE/>
        <w:autoSpaceDN/>
        <w:bidi w:val="0"/>
        <w:adjustRightInd w:val="0"/>
        <w:snapToGrid w:val="0"/>
        <w:spacing w:before="0" w:after="0" w:line="360" w:lineRule="auto"/>
        <w:ind w:firstLine="482" w:firstLineChars="200"/>
        <w:textAlignment w:val="auto"/>
        <w:rPr>
          <w:rFonts w:hint="eastAsia" w:ascii="Times New Roman" w:hAnsi="Times New Roman" w:eastAsia="宋体" w:cs="Times New Roman"/>
          <w:b w:val="0"/>
          <w:bCs w:val="0"/>
          <w:color w:val="auto"/>
          <w:sz w:val="24"/>
          <w:szCs w:val="24"/>
          <w:highlight w:val="none"/>
        </w:rPr>
      </w:pPr>
      <w:r>
        <w:rPr>
          <w:rFonts w:hint="eastAsia" w:ascii="Times New Roman" w:hAnsi="Times New Roman" w:eastAsia="宋体" w:cs="Times New Roman"/>
          <w:b/>
          <w:bCs/>
          <w:color w:val="auto"/>
          <w:kern w:val="0"/>
          <w:sz w:val="24"/>
          <w:szCs w:val="24"/>
          <w:highlight w:val="none"/>
          <w:lang w:val="en-US" w:eastAsia="zh-CN" w:bidi="ar"/>
        </w:rPr>
        <w:t>2.调研内容</w:t>
      </w:r>
    </w:p>
    <w:p w14:paraId="6EBAC22A">
      <w:pPr>
        <w:pStyle w:val="4"/>
        <w:pageBreakBefore w:val="0"/>
        <w:kinsoku/>
        <w:wordWrap/>
        <w:overflowPunct/>
        <w:topLinePunct w:val="0"/>
        <w:autoSpaceDE/>
        <w:autoSpaceDN/>
        <w:bidi w:val="0"/>
        <w:adjustRightInd w:val="0"/>
        <w:snapToGrid w:val="0"/>
        <w:spacing w:before="0" w:after="0" w:line="360" w:lineRule="auto"/>
        <w:ind w:left="0" w:leftChars="0" w:firstLine="420" w:firstLineChars="200"/>
        <w:textAlignment w:val="auto"/>
        <w:rPr>
          <w:rFonts w:hint="eastAsia" w:ascii="Times New Roman" w:hAnsi="Times New Roman" w:eastAsia="宋体" w:cs="Times New Roman"/>
          <w:b w:val="0"/>
          <w:bCs w:val="0"/>
          <w:color w:val="auto"/>
          <w:kern w:val="0"/>
          <w:sz w:val="21"/>
          <w:szCs w:val="21"/>
          <w:highlight w:val="none"/>
          <w:lang w:val="en-US" w:eastAsia="zh-CN" w:bidi="ar"/>
        </w:rPr>
      </w:pPr>
      <w:r>
        <w:rPr>
          <w:rFonts w:hint="eastAsia" w:ascii="Times New Roman" w:hAnsi="Times New Roman" w:eastAsia="宋体" w:cs="Times New Roman"/>
          <w:b w:val="0"/>
          <w:bCs w:val="0"/>
          <w:color w:val="auto"/>
          <w:kern w:val="0"/>
          <w:sz w:val="21"/>
          <w:szCs w:val="21"/>
          <w:highlight w:val="none"/>
          <w:lang w:val="en-US" w:eastAsia="zh-CN" w:bidi="ar"/>
        </w:rPr>
        <w:t>（1）对伊宁县农技推广中心部门整体实施后的满意度，包括对部门整体提供的农作物重大病虫害预警信息是否满意、通过农技部门提供的培训服务对农民自身素质和科技种田提高程度、对部门整体提供的农业技术服务是否满意等。</w:t>
      </w:r>
    </w:p>
    <w:p w14:paraId="72263779">
      <w:pPr>
        <w:pStyle w:val="4"/>
        <w:pageBreakBefore w:val="0"/>
        <w:kinsoku/>
        <w:wordWrap/>
        <w:overflowPunct/>
        <w:topLinePunct w:val="0"/>
        <w:autoSpaceDE/>
        <w:autoSpaceDN/>
        <w:bidi w:val="0"/>
        <w:adjustRightInd w:val="0"/>
        <w:snapToGrid w:val="0"/>
        <w:spacing w:before="0" w:after="0" w:line="360" w:lineRule="auto"/>
        <w:ind w:left="0" w:leftChars="0" w:firstLine="420" w:firstLineChars="200"/>
        <w:textAlignment w:val="auto"/>
        <w:rPr>
          <w:rFonts w:hint="eastAsia" w:ascii="Times New Roman" w:hAnsi="Times New Roman" w:eastAsia="宋体" w:cs="Times New Roman"/>
          <w:b w:val="0"/>
          <w:bCs w:val="0"/>
          <w:color w:val="auto"/>
          <w:kern w:val="0"/>
          <w:sz w:val="21"/>
          <w:szCs w:val="21"/>
          <w:highlight w:val="none"/>
          <w:lang w:val="en-US" w:eastAsia="zh-CN" w:bidi="ar"/>
        </w:rPr>
      </w:pPr>
      <w:r>
        <w:rPr>
          <w:rFonts w:hint="eastAsia" w:ascii="Times New Roman" w:hAnsi="Times New Roman" w:eastAsia="宋体" w:cs="Times New Roman"/>
          <w:b w:val="0"/>
          <w:bCs w:val="0"/>
          <w:color w:val="auto"/>
          <w:kern w:val="0"/>
          <w:sz w:val="21"/>
          <w:szCs w:val="21"/>
          <w:highlight w:val="none"/>
          <w:lang w:val="en-US" w:eastAsia="zh-CN" w:bidi="ar"/>
        </w:rPr>
        <w:t>（2）对伊宁县农技推广中心的意见和建议，通过开放式问答收集，涵盖各个方面。</w:t>
      </w:r>
    </w:p>
    <w:p w14:paraId="120D11F9">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2" w:firstLineChars="200"/>
        <w:jc w:val="left"/>
        <w:textAlignment w:val="auto"/>
        <w:rPr>
          <w:rFonts w:hint="eastAsia" w:ascii="Times New Roman" w:hAnsi="Times New Roman" w:eastAsia="宋体" w:cs="Times New Roman"/>
          <w:color w:val="auto"/>
          <w:sz w:val="24"/>
          <w:szCs w:val="24"/>
          <w:highlight w:val="none"/>
        </w:rPr>
      </w:pPr>
      <w:r>
        <w:rPr>
          <w:rFonts w:hint="eastAsia" w:ascii="Times New Roman" w:hAnsi="Times New Roman" w:eastAsia="宋体" w:cs="Times New Roman"/>
          <w:b/>
          <w:bCs/>
          <w:color w:val="auto"/>
          <w:kern w:val="0"/>
          <w:sz w:val="24"/>
          <w:szCs w:val="24"/>
          <w:highlight w:val="none"/>
          <w:lang w:val="en-US" w:eastAsia="zh-CN" w:bidi="ar"/>
        </w:rPr>
        <w:t>3.调研方法</w:t>
      </w:r>
    </w:p>
    <w:p w14:paraId="3BCC5851">
      <w:pPr>
        <w:pStyle w:val="4"/>
        <w:pageBreakBefore w:val="0"/>
        <w:kinsoku/>
        <w:wordWrap/>
        <w:overflowPunct/>
        <w:topLinePunct w:val="0"/>
        <w:autoSpaceDE/>
        <w:autoSpaceDN/>
        <w:bidi w:val="0"/>
        <w:adjustRightInd w:val="0"/>
        <w:snapToGrid w:val="0"/>
        <w:spacing w:before="0" w:after="0" w:line="360" w:lineRule="auto"/>
        <w:ind w:left="0" w:leftChars="0" w:firstLine="420" w:firstLineChars="200"/>
        <w:textAlignment w:val="auto"/>
        <w:rPr>
          <w:rFonts w:hint="eastAsia" w:ascii="Times New Roman" w:hAnsi="Times New Roman" w:eastAsia="宋体" w:cs="Times New Roman"/>
          <w:b w:val="0"/>
          <w:bCs w:val="0"/>
          <w:color w:val="auto"/>
          <w:kern w:val="0"/>
          <w:sz w:val="21"/>
          <w:szCs w:val="21"/>
          <w:highlight w:val="none"/>
          <w:lang w:val="en-US" w:eastAsia="zh-CN" w:bidi="ar"/>
        </w:rPr>
      </w:pPr>
      <w:r>
        <w:rPr>
          <w:rFonts w:hint="eastAsia" w:ascii="Times New Roman" w:hAnsi="Times New Roman" w:eastAsia="宋体" w:cs="Times New Roman"/>
          <w:b w:val="0"/>
          <w:bCs w:val="0"/>
          <w:color w:val="auto"/>
          <w:kern w:val="0"/>
          <w:sz w:val="21"/>
          <w:szCs w:val="21"/>
          <w:highlight w:val="none"/>
          <w:lang w:val="en-US" w:eastAsia="zh-CN" w:bidi="ar"/>
        </w:rPr>
        <w:t>问卷调查采取抽样和重点选取的方式进行。在全面调研开展之前会先进行论证，依据论证结果对问卷和抽样方案再进行一次修改和调整。评价过程中还采用了现场勘察、档案法、市场比较法获取相应数据。然后采用定量和定性分析评价、处理数据。</w:t>
      </w:r>
    </w:p>
    <w:p w14:paraId="0BBD7EC6">
      <w:pPr>
        <w:keepNext w:val="0"/>
        <w:keepLines w:val="0"/>
        <w:widowControl/>
        <w:suppressLineNumbers w:val="0"/>
        <w:jc w:val="left"/>
        <w:rPr>
          <w:rFonts w:hint="eastAsia" w:ascii="Times New Roman" w:hAnsi="Times New Roman" w:eastAsia="宋体" w:cs="Times New Roman"/>
          <w:color w:val="auto"/>
          <w:sz w:val="24"/>
          <w:szCs w:val="24"/>
          <w:highlight w:val="none"/>
        </w:rPr>
      </w:pPr>
      <w:r>
        <w:rPr>
          <w:rFonts w:hint="eastAsia" w:ascii="Times New Roman" w:hAnsi="Times New Roman" w:eastAsia="宋体" w:cs="Times New Roman"/>
          <w:b/>
          <w:bCs/>
          <w:color w:val="auto"/>
          <w:kern w:val="0"/>
          <w:sz w:val="24"/>
          <w:szCs w:val="24"/>
          <w:highlight w:val="none"/>
          <w:lang w:val="en-US" w:eastAsia="zh-CN" w:bidi="ar"/>
        </w:rPr>
        <w:t>4.抽样方式</w:t>
      </w:r>
    </w:p>
    <w:p w14:paraId="40E4B898">
      <w:pPr>
        <w:pStyle w:val="4"/>
        <w:pageBreakBefore w:val="0"/>
        <w:kinsoku/>
        <w:wordWrap/>
        <w:overflowPunct/>
        <w:topLinePunct w:val="0"/>
        <w:autoSpaceDE/>
        <w:autoSpaceDN/>
        <w:bidi w:val="0"/>
        <w:adjustRightInd w:val="0"/>
        <w:snapToGrid w:val="0"/>
        <w:spacing w:before="0" w:after="0" w:line="360" w:lineRule="auto"/>
        <w:ind w:left="0" w:leftChars="0" w:firstLine="420" w:firstLineChars="200"/>
        <w:textAlignment w:val="auto"/>
        <w:rPr>
          <w:rFonts w:hint="eastAsia" w:ascii="Times New Roman" w:hAnsi="Times New Roman" w:eastAsia="宋体" w:cs="Times New Roman"/>
          <w:b w:val="0"/>
          <w:bCs w:val="0"/>
          <w:color w:val="auto"/>
          <w:kern w:val="0"/>
          <w:sz w:val="21"/>
          <w:szCs w:val="21"/>
          <w:highlight w:val="none"/>
          <w:lang w:val="en-US" w:eastAsia="zh-CN" w:bidi="ar"/>
        </w:rPr>
      </w:pPr>
      <w:r>
        <w:rPr>
          <w:rFonts w:hint="eastAsia" w:ascii="Times New Roman" w:hAnsi="Times New Roman" w:eastAsia="宋体" w:cs="Times New Roman"/>
          <w:b w:val="0"/>
          <w:bCs w:val="0"/>
          <w:color w:val="auto"/>
          <w:kern w:val="0"/>
          <w:sz w:val="21"/>
          <w:szCs w:val="21"/>
          <w:highlight w:val="none"/>
          <w:lang w:val="en-US" w:eastAsia="zh-CN" w:bidi="ar"/>
        </w:rPr>
        <w:t>为确保问卷调研的全面性和代表性，本次调研问卷调查采取抽样和重点选取的方式进行。问卷调查采取分层随机抽样方式，对2024年度伊宁县乡镇（场）农户随机抽取487人为样本，发放问卷487份。</w:t>
      </w:r>
    </w:p>
    <w:p w14:paraId="11E2285F">
      <w:pPr>
        <w:keepNext w:val="0"/>
        <w:keepLines w:val="0"/>
        <w:widowControl/>
        <w:suppressLineNumbers w:val="0"/>
        <w:jc w:val="left"/>
        <w:rPr>
          <w:rFonts w:hint="eastAsia" w:ascii="Times New Roman" w:hAnsi="Times New Roman" w:eastAsia="宋体" w:cs="Times New Roman"/>
          <w:color w:val="auto"/>
          <w:sz w:val="24"/>
          <w:szCs w:val="24"/>
          <w:highlight w:val="none"/>
        </w:rPr>
      </w:pPr>
      <w:r>
        <w:rPr>
          <w:rFonts w:hint="eastAsia" w:ascii="Times New Roman" w:hAnsi="Times New Roman" w:eastAsia="宋体" w:cs="Times New Roman"/>
          <w:b/>
          <w:bCs/>
          <w:color w:val="auto"/>
          <w:kern w:val="0"/>
          <w:sz w:val="24"/>
          <w:szCs w:val="24"/>
          <w:highlight w:val="none"/>
          <w:lang w:val="en-US" w:eastAsia="zh-CN" w:bidi="ar"/>
        </w:rPr>
        <w:t>5.问卷的发放和回收</w:t>
      </w:r>
    </w:p>
    <w:p w14:paraId="70454806">
      <w:pPr>
        <w:pStyle w:val="4"/>
        <w:pageBreakBefore w:val="0"/>
        <w:kinsoku/>
        <w:wordWrap/>
        <w:overflowPunct/>
        <w:topLinePunct w:val="0"/>
        <w:autoSpaceDE/>
        <w:autoSpaceDN/>
        <w:bidi w:val="0"/>
        <w:adjustRightInd w:val="0"/>
        <w:snapToGrid w:val="0"/>
        <w:spacing w:before="0" w:after="0" w:line="360" w:lineRule="auto"/>
        <w:ind w:left="0" w:leftChars="0" w:firstLine="420" w:firstLineChars="200"/>
        <w:textAlignment w:val="auto"/>
        <w:rPr>
          <w:rFonts w:hint="eastAsia" w:ascii="Times New Roman" w:hAnsi="Times New Roman" w:eastAsia="宋体" w:cs="Times New Roman"/>
          <w:b w:val="0"/>
          <w:bCs w:val="0"/>
          <w:color w:val="auto"/>
          <w:kern w:val="0"/>
          <w:sz w:val="21"/>
          <w:szCs w:val="21"/>
          <w:highlight w:val="none"/>
          <w:lang w:val="en-US" w:eastAsia="zh-CN" w:bidi="ar"/>
        </w:rPr>
      </w:pPr>
      <w:r>
        <w:rPr>
          <w:rFonts w:hint="eastAsia" w:ascii="Times New Roman" w:hAnsi="Times New Roman" w:eastAsia="宋体" w:cs="Times New Roman"/>
          <w:b w:val="0"/>
          <w:bCs w:val="0"/>
          <w:color w:val="auto"/>
          <w:kern w:val="0"/>
          <w:sz w:val="21"/>
          <w:szCs w:val="21"/>
          <w:highlight w:val="none"/>
          <w:lang w:val="en-US" w:eastAsia="zh-CN" w:bidi="ar"/>
        </w:rPr>
        <w:t>为充分采集调研对象的真实想法，保证调研的公平性和科学性，本次问卷调研不记名，在伊宁县农技推广中心的协调配合下，组织安排线上电子问卷的发放与回收。</w:t>
      </w:r>
    </w:p>
    <w:p w14:paraId="79814D6F">
      <w:pPr>
        <w:pStyle w:val="4"/>
        <w:pageBreakBefore w:val="0"/>
        <w:kinsoku/>
        <w:wordWrap/>
        <w:overflowPunct/>
        <w:topLinePunct w:val="0"/>
        <w:autoSpaceDE/>
        <w:autoSpaceDN/>
        <w:bidi w:val="0"/>
        <w:adjustRightInd w:val="0"/>
        <w:snapToGrid w:val="0"/>
        <w:spacing w:before="0" w:after="0" w:line="360" w:lineRule="auto"/>
        <w:ind w:left="0" w:leftChars="0" w:firstLine="420" w:firstLineChars="200"/>
        <w:textAlignment w:val="auto"/>
        <w:rPr>
          <w:rFonts w:hint="eastAsia" w:ascii="Times New Roman" w:hAnsi="Times New Roman" w:eastAsia="宋体" w:cs="Times New Roman"/>
          <w:b w:val="0"/>
          <w:bCs w:val="0"/>
          <w:color w:val="auto"/>
          <w:kern w:val="0"/>
          <w:sz w:val="21"/>
          <w:szCs w:val="21"/>
          <w:highlight w:val="none"/>
          <w:lang w:val="en-US" w:eastAsia="zh-CN" w:bidi="ar"/>
        </w:rPr>
      </w:pPr>
      <w:r>
        <w:rPr>
          <w:rFonts w:hint="eastAsia" w:ascii="Times New Roman" w:hAnsi="Times New Roman" w:eastAsia="宋体" w:cs="Times New Roman"/>
          <w:b w:val="0"/>
          <w:bCs w:val="0"/>
          <w:color w:val="auto"/>
          <w:kern w:val="0"/>
          <w:sz w:val="21"/>
          <w:szCs w:val="21"/>
          <w:highlight w:val="none"/>
          <w:lang w:val="en-US" w:eastAsia="zh-CN" w:bidi="ar"/>
        </w:rPr>
        <w:t>本次调研过程中，评价组实际发放问卷487份，回收问卷487份，问卷回收率为100%，有效问卷487份，有效回收率100%，调研问卷总体满意度为96.52%。根据问卷调查结果反馈，农民群众对伊宁县农技推广中心总体比较满意。本次调研的具体情况如下：</w:t>
      </w:r>
    </w:p>
    <w:tbl>
      <w:tblPr>
        <w:tblStyle w:val="21"/>
        <w:tblW w:w="5021"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703"/>
        <w:gridCol w:w="2947"/>
        <w:gridCol w:w="2908"/>
      </w:tblGrid>
      <w:tr w14:paraId="59A0F5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5000" w:type="pct"/>
            <w:gridSpan w:val="3"/>
            <w:tcBorders>
              <w:top w:val="nil"/>
              <w:left w:val="nil"/>
              <w:bottom w:val="nil"/>
              <w:right w:val="nil"/>
            </w:tcBorders>
            <w:shd w:val="clear" w:color="auto" w:fill="auto"/>
            <w:vAlign w:val="center"/>
          </w:tcPr>
          <w:p w14:paraId="5C3D4204">
            <w:pPr>
              <w:pStyle w:val="4"/>
              <w:pageBreakBefore w:val="0"/>
              <w:kinsoku/>
              <w:wordWrap/>
              <w:overflowPunct/>
              <w:topLinePunct w:val="0"/>
              <w:autoSpaceDE/>
              <w:autoSpaceDN/>
              <w:bidi w:val="0"/>
              <w:adjustRightInd w:val="0"/>
              <w:snapToGrid w:val="0"/>
              <w:spacing w:before="0" w:after="0" w:line="240" w:lineRule="auto"/>
              <w:ind w:left="0" w:leftChars="0" w:firstLine="0" w:firstLineChars="0"/>
              <w:textAlignment w:val="auto"/>
              <w:rPr>
                <w:rFonts w:hint="eastAsia" w:ascii="Times New Roman" w:hAnsi="Times New Roman" w:eastAsia="宋体" w:cs="Times New Roman"/>
                <w:b w:val="0"/>
                <w:bCs w:val="0"/>
                <w:color w:val="auto"/>
                <w:kern w:val="0"/>
                <w:sz w:val="21"/>
                <w:szCs w:val="21"/>
                <w:highlight w:val="none"/>
                <w:lang w:val="en-US" w:eastAsia="zh-CN" w:bidi="ar"/>
              </w:rPr>
            </w:pPr>
            <w:r>
              <w:rPr>
                <w:rFonts w:hint="eastAsia" w:ascii="Times New Roman" w:hAnsi="Times New Roman" w:eastAsia="宋体" w:cs="Times New Roman"/>
                <w:b w:val="0"/>
                <w:bCs w:val="0"/>
                <w:color w:val="auto"/>
                <w:kern w:val="0"/>
                <w:sz w:val="21"/>
                <w:szCs w:val="21"/>
                <w:highlight w:val="none"/>
                <w:lang w:val="en-US" w:eastAsia="zh-CN" w:bidi="ar"/>
              </w:rPr>
              <w:t>（1）您对农技推广中心“良种良法新技术示范推广”工作的总体满意度是？</w:t>
            </w:r>
          </w:p>
        </w:tc>
      </w:tr>
      <w:tr w14:paraId="143D4F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15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09645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选项</w:t>
            </w:r>
          </w:p>
        </w:tc>
        <w:tc>
          <w:tcPr>
            <w:tcW w:w="1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C59A1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反馈数量</w:t>
            </w:r>
          </w:p>
        </w:tc>
        <w:tc>
          <w:tcPr>
            <w:tcW w:w="16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67A54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占比</w:t>
            </w:r>
          </w:p>
        </w:tc>
      </w:tr>
      <w:tr w14:paraId="576019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5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827A6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sz w:val="21"/>
                <w:szCs w:val="21"/>
                <w:highlight w:val="none"/>
                <w:u w:val="none"/>
                <w:lang w:val="en-US" w:eastAsia="zh-CN"/>
              </w:rPr>
              <w:t>非常满意</w:t>
            </w:r>
          </w:p>
        </w:tc>
        <w:tc>
          <w:tcPr>
            <w:tcW w:w="1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B9BCE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427</w:t>
            </w:r>
          </w:p>
        </w:tc>
        <w:tc>
          <w:tcPr>
            <w:tcW w:w="16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A5B85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87.70</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14:paraId="5D9F0F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15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EC244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满意</w:t>
            </w:r>
          </w:p>
        </w:tc>
        <w:tc>
          <w:tcPr>
            <w:tcW w:w="1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C745C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50</w:t>
            </w:r>
          </w:p>
        </w:tc>
        <w:tc>
          <w:tcPr>
            <w:tcW w:w="16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87C43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10.30</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14:paraId="1FF89E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15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48672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一般</w:t>
            </w:r>
          </w:p>
        </w:tc>
        <w:tc>
          <w:tcPr>
            <w:tcW w:w="1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D1A83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8</w:t>
            </w:r>
          </w:p>
        </w:tc>
        <w:tc>
          <w:tcPr>
            <w:tcW w:w="16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14541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1.60%</w:t>
            </w:r>
          </w:p>
        </w:tc>
      </w:tr>
      <w:tr w14:paraId="1B5284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15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ACC03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不满意</w:t>
            </w:r>
          </w:p>
        </w:tc>
        <w:tc>
          <w:tcPr>
            <w:tcW w:w="1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F99C5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0</w:t>
            </w:r>
          </w:p>
        </w:tc>
        <w:tc>
          <w:tcPr>
            <w:tcW w:w="16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7A902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0.00%</w:t>
            </w:r>
          </w:p>
        </w:tc>
      </w:tr>
      <w:tr w14:paraId="51C50A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15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A9EEB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非常不满意</w:t>
            </w:r>
          </w:p>
        </w:tc>
        <w:tc>
          <w:tcPr>
            <w:tcW w:w="1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FE796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2</w:t>
            </w:r>
          </w:p>
        </w:tc>
        <w:tc>
          <w:tcPr>
            <w:tcW w:w="16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1A6AA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0.40%</w:t>
            </w:r>
          </w:p>
        </w:tc>
      </w:tr>
      <w:tr w14:paraId="22AD39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5000" w:type="pct"/>
            <w:gridSpan w:val="3"/>
            <w:tcBorders>
              <w:top w:val="nil"/>
              <w:left w:val="nil"/>
              <w:bottom w:val="nil"/>
              <w:right w:val="nil"/>
            </w:tcBorders>
            <w:shd w:val="clear" w:color="auto" w:fill="auto"/>
            <w:vAlign w:val="center"/>
          </w:tcPr>
          <w:p w14:paraId="650CA721">
            <w:pPr>
              <w:pStyle w:val="4"/>
              <w:pageBreakBefore w:val="0"/>
              <w:kinsoku/>
              <w:wordWrap/>
              <w:overflowPunct/>
              <w:topLinePunct w:val="0"/>
              <w:autoSpaceDE/>
              <w:autoSpaceDN/>
              <w:bidi w:val="0"/>
              <w:adjustRightInd w:val="0"/>
              <w:snapToGrid w:val="0"/>
              <w:spacing w:before="0" w:after="0" w:line="240" w:lineRule="auto"/>
              <w:ind w:left="0" w:leftChars="0" w:firstLine="0" w:firstLineChars="0"/>
              <w:textAlignment w:val="auto"/>
              <w:rPr>
                <w:rFonts w:hint="eastAsia"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b w:val="0"/>
                <w:bCs w:val="0"/>
                <w:color w:val="auto"/>
                <w:kern w:val="0"/>
                <w:sz w:val="21"/>
                <w:szCs w:val="21"/>
                <w:highlight w:val="none"/>
                <w:lang w:val="en-US" w:eastAsia="zh-CN" w:bidi="ar"/>
              </w:rPr>
              <w:t>（2）农技推广</w:t>
            </w:r>
            <w:r>
              <w:rPr>
                <w:rFonts w:hint="eastAsia" w:ascii="Times New Roman" w:hAnsi="Times New Roman" w:eastAsia="宋体" w:cs="Times New Roman"/>
                <w:b w:val="0"/>
                <w:bCs w:val="0"/>
                <w:color w:val="auto"/>
                <w:kern w:val="0"/>
                <w:sz w:val="21"/>
                <w:szCs w:val="21"/>
                <w:highlight w:val="none"/>
                <w:lang w:val="en-US" w:eastAsia="zh-CN" w:bidi="ar"/>
              </w:rPr>
              <w:t>中心</w:t>
            </w:r>
            <w:r>
              <w:rPr>
                <w:rFonts w:hint="default" w:ascii="Times New Roman" w:hAnsi="Times New Roman" w:eastAsia="宋体" w:cs="Times New Roman"/>
                <w:b w:val="0"/>
                <w:bCs w:val="0"/>
                <w:color w:val="auto"/>
                <w:kern w:val="0"/>
                <w:sz w:val="21"/>
                <w:szCs w:val="21"/>
                <w:highlight w:val="none"/>
                <w:lang w:val="en-US" w:eastAsia="zh-CN" w:bidi="ar"/>
              </w:rPr>
              <w:t>在关键农时组织的现场演示、田间日活动，您参加后的收获如何？</w:t>
            </w:r>
          </w:p>
        </w:tc>
      </w:tr>
      <w:tr w14:paraId="4EC8C9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15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DC622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选项</w:t>
            </w:r>
          </w:p>
        </w:tc>
        <w:tc>
          <w:tcPr>
            <w:tcW w:w="1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8F1D3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反馈数量</w:t>
            </w:r>
          </w:p>
        </w:tc>
        <w:tc>
          <w:tcPr>
            <w:tcW w:w="16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D08DD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占比</w:t>
            </w:r>
          </w:p>
        </w:tc>
      </w:tr>
      <w:tr w14:paraId="69EDD4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15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51261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sz w:val="21"/>
                <w:szCs w:val="21"/>
                <w:highlight w:val="none"/>
                <w:u w:val="none"/>
                <w:lang w:val="en-US" w:eastAsia="zh-CN"/>
              </w:rPr>
              <w:t>极大提高科学种田意识</w:t>
            </w:r>
          </w:p>
        </w:tc>
        <w:tc>
          <w:tcPr>
            <w:tcW w:w="1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55DA8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rPr>
            </w:pPr>
            <w:r>
              <w:rPr>
                <w:rFonts w:hint="eastAsia" w:ascii="Times New Roman" w:hAnsi="Times New Roman" w:eastAsia="宋体" w:cs="Times New Roman"/>
                <w:i w:val="0"/>
                <w:iCs w:val="0"/>
                <w:color w:val="auto"/>
                <w:sz w:val="21"/>
                <w:szCs w:val="21"/>
                <w:highlight w:val="none"/>
                <w:u w:val="none"/>
                <w:lang w:val="en-US" w:eastAsia="zh-CN"/>
              </w:rPr>
              <w:t>361</w:t>
            </w:r>
          </w:p>
        </w:tc>
        <w:tc>
          <w:tcPr>
            <w:tcW w:w="16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21499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74.10</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14:paraId="06E40B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15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50377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rPr>
            </w:pPr>
            <w:r>
              <w:rPr>
                <w:rFonts w:hint="default" w:ascii="Times New Roman" w:hAnsi="Times New Roman" w:eastAsia="宋体" w:cs="Times New Roman"/>
                <w:i w:val="0"/>
                <w:iCs w:val="0"/>
                <w:color w:val="auto"/>
                <w:sz w:val="21"/>
                <w:szCs w:val="21"/>
                <w:highlight w:val="none"/>
                <w:u w:val="none"/>
                <w:lang w:val="en-US" w:eastAsia="zh-CN"/>
              </w:rPr>
              <w:t>学到了实用操作技巧</w:t>
            </w:r>
          </w:p>
        </w:tc>
        <w:tc>
          <w:tcPr>
            <w:tcW w:w="1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5C578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rPr>
            </w:pPr>
            <w:r>
              <w:rPr>
                <w:rFonts w:hint="eastAsia" w:ascii="Times New Roman" w:hAnsi="Times New Roman" w:eastAsia="宋体" w:cs="Times New Roman"/>
                <w:i w:val="0"/>
                <w:iCs w:val="0"/>
                <w:color w:val="auto"/>
                <w:sz w:val="21"/>
                <w:szCs w:val="21"/>
                <w:highlight w:val="none"/>
                <w:u w:val="none"/>
                <w:lang w:val="en-US" w:eastAsia="zh-CN"/>
              </w:rPr>
              <w:t>108</w:t>
            </w:r>
          </w:p>
        </w:tc>
        <w:tc>
          <w:tcPr>
            <w:tcW w:w="16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38B4B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22.20</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14:paraId="07E62B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15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14A9F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sz w:val="21"/>
                <w:szCs w:val="21"/>
                <w:highlight w:val="none"/>
                <w:u w:val="none"/>
                <w:lang w:val="en-US" w:eastAsia="zh-CN"/>
              </w:rPr>
              <w:t>仅了解一点信息</w:t>
            </w:r>
          </w:p>
        </w:tc>
        <w:tc>
          <w:tcPr>
            <w:tcW w:w="1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DA3FF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rPr>
            </w:pPr>
            <w:r>
              <w:rPr>
                <w:rFonts w:hint="eastAsia" w:ascii="Times New Roman" w:hAnsi="Times New Roman" w:eastAsia="宋体" w:cs="Times New Roman"/>
                <w:i w:val="0"/>
                <w:iCs w:val="0"/>
                <w:color w:val="auto"/>
                <w:sz w:val="21"/>
                <w:szCs w:val="21"/>
                <w:highlight w:val="none"/>
                <w:u w:val="none"/>
                <w:lang w:val="en-US" w:eastAsia="zh-CN"/>
              </w:rPr>
              <w:t>12</w:t>
            </w:r>
          </w:p>
        </w:tc>
        <w:tc>
          <w:tcPr>
            <w:tcW w:w="16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1C087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2.50%</w:t>
            </w:r>
          </w:p>
        </w:tc>
      </w:tr>
      <w:tr w14:paraId="46A843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15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20981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sz w:val="21"/>
                <w:szCs w:val="21"/>
                <w:highlight w:val="none"/>
                <w:u w:val="none"/>
                <w:lang w:val="en-US" w:eastAsia="zh-CN"/>
              </w:rPr>
              <w:t>收获不大</w:t>
            </w:r>
          </w:p>
        </w:tc>
        <w:tc>
          <w:tcPr>
            <w:tcW w:w="1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E6DF9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sz w:val="21"/>
                <w:szCs w:val="21"/>
                <w:highlight w:val="none"/>
                <w:u w:val="none"/>
                <w:lang w:val="en-US" w:eastAsia="zh-CN"/>
              </w:rPr>
              <w:t>4</w:t>
            </w:r>
          </w:p>
        </w:tc>
        <w:tc>
          <w:tcPr>
            <w:tcW w:w="16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456E6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0.80%</w:t>
            </w:r>
          </w:p>
        </w:tc>
      </w:tr>
      <w:tr w14:paraId="5080B3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15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A916C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rPr>
            </w:pPr>
            <w:r>
              <w:rPr>
                <w:rFonts w:hint="default" w:ascii="Times New Roman" w:hAnsi="Times New Roman" w:eastAsia="宋体" w:cs="Times New Roman"/>
                <w:i w:val="0"/>
                <w:iCs w:val="0"/>
                <w:color w:val="auto"/>
                <w:sz w:val="21"/>
                <w:szCs w:val="21"/>
                <w:highlight w:val="none"/>
                <w:u w:val="none"/>
                <w:lang w:val="en-US" w:eastAsia="zh-CN"/>
              </w:rPr>
              <w:t>从未收到通知</w:t>
            </w:r>
          </w:p>
        </w:tc>
        <w:tc>
          <w:tcPr>
            <w:tcW w:w="1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C8335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sz w:val="21"/>
                <w:szCs w:val="21"/>
                <w:highlight w:val="none"/>
                <w:u w:val="none"/>
                <w:lang w:val="en-US" w:eastAsia="zh-CN"/>
              </w:rPr>
              <w:t>2</w:t>
            </w:r>
          </w:p>
        </w:tc>
        <w:tc>
          <w:tcPr>
            <w:tcW w:w="16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B1CCD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0.40%</w:t>
            </w:r>
          </w:p>
        </w:tc>
      </w:tr>
      <w:tr w14:paraId="2211DF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5000" w:type="pct"/>
            <w:gridSpan w:val="3"/>
            <w:tcBorders>
              <w:top w:val="nil"/>
              <w:left w:val="nil"/>
              <w:bottom w:val="nil"/>
              <w:right w:val="nil"/>
            </w:tcBorders>
            <w:shd w:val="clear" w:color="auto" w:fill="auto"/>
            <w:vAlign w:val="center"/>
          </w:tcPr>
          <w:p w14:paraId="4175F35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lang w:val="en-US"/>
              </w:rPr>
            </w:pPr>
            <w:r>
              <w:rPr>
                <w:rFonts w:hint="default" w:ascii="Times New Roman" w:hAnsi="Times New Roman" w:eastAsia="宋体" w:cs="Times New Roman"/>
                <w:color w:val="auto"/>
                <w:sz w:val="21"/>
                <w:szCs w:val="21"/>
                <w:highlight w:val="none"/>
                <w:lang w:val="en-US" w:eastAsia="zh-CN"/>
              </w:rPr>
              <w:t>（3）针对您粮食高产典型宣传、农业技术指导是否及时、到位？</w:t>
            </w:r>
          </w:p>
        </w:tc>
      </w:tr>
      <w:tr w14:paraId="42BF8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5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21681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选项</w:t>
            </w:r>
          </w:p>
        </w:tc>
        <w:tc>
          <w:tcPr>
            <w:tcW w:w="1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2C6F4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反馈数量</w:t>
            </w:r>
          </w:p>
        </w:tc>
        <w:tc>
          <w:tcPr>
            <w:tcW w:w="16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14ACB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占比</w:t>
            </w:r>
          </w:p>
        </w:tc>
      </w:tr>
      <w:tr w14:paraId="5FE682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15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D498E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rPr>
            </w:pPr>
            <w:r>
              <w:rPr>
                <w:rFonts w:hint="default" w:ascii="Times New Roman" w:hAnsi="Times New Roman" w:eastAsia="宋体" w:cs="Times New Roman"/>
                <w:i w:val="0"/>
                <w:iCs w:val="0"/>
                <w:color w:val="auto"/>
                <w:sz w:val="21"/>
                <w:szCs w:val="21"/>
                <w:highlight w:val="none"/>
                <w:u w:val="none"/>
                <w:lang w:val="en-US" w:eastAsia="zh-CN"/>
              </w:rPr>
              <w:t>培训及时且内容实用</w:t>
            </w:r>
          </w:p>
        </w:tc>
        <w:tc>
          <w:tcPr>
            <w:tcW w:w="1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62647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rPr>
            </w:pPr>
            <w:r>
              <w:rPr>
                <w:rFonts w:hint="eastAsia" w:ascii="Times New Roman" w:hAnsi="Times New Roman" w:eastAsia="宋体" w:cs="Times New Roman"/>
                <w:i w:val="0"/>
                <w:iCs w:val="0"/>
                <w:color w:val="auto"/>
                <w:sz w:val="21"/>
                <w:szCs w:val="21"/>
                <w:highlight w:val="none"/>
                <w:u w:val="none"/>
                <w:lang w:val="en-US" w:eastAsia="zh-CN"/>
              </w:rPr>
              <w:t>424</w:t>
            </w:r>
          </w:p>
        </w:tc>
        <w:tc>
          <w:tcPr>
            <w:tcW w:w="16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1298A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rPr>
            </w:pPr>
            <w:r>
              <w:rPr>
                <w:rFonts w:hint="eastAsia" w:ascii="Times New Roman" w:hAnsi="Times New Roman" w:eastAsia="宋体" w:cs="Times New Roman"/>
                <w:i w:val="0"/>
                <w:iCs w:val="0"/>
                <w:color w:val="auto"/>
                <w:kern w:val="0"/>
                <w:sz w:val="21"/>
                <w:szCs w:val="21"/>
                <w:highlight w:val="none"/>
                <w:u w:val="none"/>
                <w:lang w:val="en-US" w:eastAsia="zh-CN" w:bidi="ar"/>
              </w:rPr>
              <w:t>87.10</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14:paraId="5BC99E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15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F9A81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rPr>
            </w:pPr>
            <w:r>
              <w:rPr>
                <w:rFonts w:hint="default" w:ascii="Times New Roman" w:hAnsi="Times New Roman" w:eastAsia="宋体" w:cs="Times New Roman"/>
                <w:i w:val="0"/>
                <w:iCs w:val="0"/>
                <w:color w:val="auto"/>
                <w:sz w:val="21"/>
                <w:szCs w:val="21"/>
                <w:highlight w:val="none"/>
                <w:u w:val="none"/>
                <w:lang w:val="en-US" w:eastAsia="zh-CN"/>
              </w:rPr>
              <w:t>培训及时但内容一般</w:t>
            </w:r>
          </w:p>
        </w:tc>
        <w:tc>
          <w:tcPr>
            <w:tcW w:w="1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20D76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48</w:t>
            </w:r>
          </w:p>
        </w:tc>
        <w:tc>
          <w:tcPr>
            <w:tcW w:w="16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45F46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rPr>
            </w:pPr>
            <w:r>
              <w:rPr>
                <w:rFonts w:hint="eastAsia" w:ascii="Times New Roman" w:hAnsi="Times New Roman" w:eastAsia="宋体" w:cs="Times New Roman"/>
                <w:i w:val="0"/>
                <w:iCs w:val="0"/>
                <w:color w:val="auto"/>
                <w:kern w:val="0"/>
                <w:sz w:val="21"/>
                <w:szCs w:val="21"/>
                <w:highlight w:val="none"/>
                <w:u w:val="none"/>
                <w:lang w:val="en-US" w:eastAsia="zh-CN" w:bidi="ar"/>
              </w:rPr>
              <w:t>9.90</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14:paraId="4EE86B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15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84F03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rPr>
            </w:pPr>
            <w:r>
              <w:rPr>
                <w:rFonts w:hint="default" w:ascii="Times New Roman" w:hAnsi="Times New Roman" w:eastAsia="宋体" w:cs="Times New Roman"/>
                <w:i w:val="0"/>
                <w:iCs w:val="0"/>
                <w:color w:val="auto"/>
                <w:sz w:val="21"/>
                <w:szCs w:val="21"/>
                <w:highlight w:val="none"/>
                <w:u w:val="none"/>
                <w:lang w:val="en-US" w:eastAsia="zh-CN"/>
              </w:rPr>
              <w:t>偶尔培训，内容偏浅</w:t>
            </w:r>
          </w:p>
        </w:tc>
        <w:tc>
          <w:tcPr>
            <w:tcW w:w="1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DCB0C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4</w:t>
            </w:r>
          </w:p>
        </w:tc>
        <w:tc>
          <w:tcPr>
            <w:tcW w:w="16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66529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rPr>
            </w:pPr>
            <w:r>
              <w:rPr>
                <w:rFonts w:hint="eastAsia" w:ascii="Times New Roman" w:hAnsi="Times New Roman" w:eastAsia="宋体" w:cs="Times New Roman"/>
                <w:i w:val="0"/>
                <w:iCs w:val="0"/>
                <w:color w:val="auto"/>
                <w:kern w:val="0"/>
                <w:sz w:val="21"/>
                <w:szCs w:val="21"/>
                <w:highlight w:val="none"/>
                <w:u w:val="none"/>
                <w:lang w:val="en-US" w:eastAsia="zh-CN" w:bidi="ar"/>
              </w:rPr>
              <w:t>0.80%</w:t>
            </w:r>
          </w:p>
        </w:tc>
      </w:tr>
      <w:tr w14:paraId="746B82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15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B5FC2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rPr>
            </w:pPr>
            <w:r>
              <w:rPr>
                <w:rFonts w:hint="default" w:ascii="Times New Roman" w:hAnsi="Times New Roman" w:eastAsia="宋体" w:cs="Times New Roman"/>
                <w:i w:val="0"/>
                <w:iCs w:val="0"/>
                <w:color w:val="auto"/>
                <w:sz w:val="21"/>
                <w:szCs w:val="21"/>
                <w:highlight w:val="none"/>
                <w:u w:val="none"/>
                <w:lang w:val="en-US" w:eastAsia="zh-CN"/>
              </w:rPr>
              <w:t>培训次数太少</w:t>
            </w:r>
          </w:p>
        </w:tc>
        <w:tc>
          <w:tcPr>
            <w:tcW w:w="1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9D3E1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6</w:t>
            </w:r>
          </w:p>
        </w:tc>
        <w:tc>
          <w:tcPr>
            <w:tcW w:w="16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C816B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rPr>
            </w:pPr>
            <w:r>
              <w:rPr>
                <w:rFonts w:hint="eastAsia" w:ascii="Times New Roman" w:hAnsi="Times New Roman" w:eastAsia="宋体" w:cs="Times New Roman"/>
                <w:i w:val="0"/>
                <w:iCs w:val="0"/>
                <w:color w:val="auto"/>
                <w:kern w:val="0"/>
                <w:sz w:val="21"/>
                <w:szCs w:val="21"/>
                <w:highlight w:val="none"/>
                <w:u w:val="none"/>
                <w:lang w:val="en-US" w:eastAsia="zh-CN" w:bidi="ar"/>
              </w:rPr>
              <w:t>1.20%</w:t>
            </w:r>
          </w:p>
        </w:tc>
      </w:tr>
      <w:tr w14:paraId="4064F2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15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2F1B1F">
            <w:pPr>
              <w:keepNext w:val="0"/>
              <w:keepLines w:val="0"/>
              <w:widowControl/>
              <w:suppressLineNumbers w:val="0"/>
              <w:spacing w:line="240" w:lineRule="auto"/>
              <w:ind w:left="0" w:leftChars="0" w:firstLine="0" w:firstLineChars="0"/>
              <w:jc w:val="left"/>
              <w:rPr>
                <w:rFonts w:hint="default" w:ascii="Times New Roman" w:hAnsi="Times New Roman" w:eastAsia="宋体" w:cs="Times New Roman"/>
                <w:i w:val="0"/>
                <w:iCs w:val="0"/>
                <w:color w:val="auto"/>
                <w:sz w:val="21"/>
                <w:szCs w:val="21"/>
                <w:highlight w:val="none"/>
                <w:u w:val="none"/>
                <w:lang w:val="en-US"/>
              </w:rPr>
            </w:pPr>
            <w:r>
              <w:rPr>
                <w:rFonts w:hint="eastAsia" w:ascii="Times New Roman" w:hAnsi="Times New Roman" w:eastAsia="宋体" w:cs="Times New Roman"/>
                <w:i w:val="0"/>
                <w:iCs w:val="0"/>
                <w:color w:val="auto"/>
                <w:sz w:val="21"/>
                <w:szCs w:val="21"/>
                <w:highlight w:val="none"/>
                <w:u w:val="none"/>
                <w:lang w:val="en-US" w:eastAsia="zh-CN"/>
              </w:rPr>
              <w:t>从未培训或不了解有培训</w:t>
            </w:r>
          </w:p>
        </w:tc>
        <w:tc>
          <w:tcPr>
            <w:tcW w:w="1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D0192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5</w:t>
            </w:r>
          </w:p>
        </w:tc>
        <w:tc>
          <w:tcPr>
            <w:tcW w:w="16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2F2F0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rPr>
            </w:pPr>
            <w:r>
              <w:rPr>
                <w:rFonts w:hint="eastAsia" w:ascii="Times New Roman" w:hAnsi="Times New Roman" w:eastAsia="宋体" w:cs="Times New Roman"/>
                <w:i w:val="0"/>
                <w:iCs w:val="0"/>
                <w:color w:val="auto"/>
                <w:kern w:val="0"/>
                <w:sz w:val="21"/>
                <w:szCs w:val="21"/>
                <w:highlight w:val="none"/>
                <w:u w:val="none"/>
                <w:lang w:val="en-US" w:eastAsia="zh-CN" w:bidi="ar"/>
              </w:rPr>
              <w:t>1.00%</w:t>
            </w:r>
          </w:p>
        </w:tc>
      </w:tr>
      <w:tr w14:paraId="7A9836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5000" w:type="pct"/>
            <w:gridSpan w:val="3"/>
            <w:tcBorders>
              <w:top w:val="nil"/>
              <w:left w:val="nil"/>
              <w:bottom w:val="nil"/>
              <w:right w:val="nil"/>
            </w:tcBorders>
            <w:shd w:val="clear" w:color="auto" w:fill="auto"/>
            <w:vAlign w:val="center"/>
          </w:tcPr>
          <w:p w14:paraId="2CB9CA3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lang w:val="en-US"/>
              </w:rPr>
            </w:pPr>
            <w:r>
              <w:rPr>
                <w:rFonts w:hint="default" w:ascii="Times New Roman" w:hAnsi="Times New Roman" w:eastAsia="宋体" w:cs="Times New Roman"/>
                <w:color w:val="auto"/>
                <w:sz w:val="21"/>
                <w:szCs w:val="21"/>
                <w:highlight w:val="none"/>
                <w:lang w:val="en-US" w:eastAsia="zh-CN"/>
              </w:rPr>
              <w:t>（4）农技推广</w:t>
            </w:r>
            <w:r>
              <w:rPr>
                <w:rFonts w:hint="eastAsia" w:ascii="Times New Roman" w:hAnsi="Times New Roman" w:eastAsia="宋体" w:cs="Times New Roman"/>
                <w:color w:val="auto"/>
                <w:sz w:val="21"/>
                <w:szCs w:val="21"/>
                <w:highlight w:val="none"/>
                <w:lang w:val="en-US" w:eastAsia="zh-CN"/>
              </w:rPr>
              <w:t>中心</w:t>
            </w:r>
            <w:r>
              <w:rPr>
                <w:rFonts w:hint="default" w:ascii="Times New Roman" w:hAnsi="Times New Roman" w:eastAsia="宋体" w:cs="Times New Roman"/>
                <w:color w:val="auto"/>
                <w:sz w:val="21"/>
                <w:szCs w:val="21"/>
                <w:highlight w:val="none"/>
                <w:lang w:val="en-US" w:eastAsia="zh-CN"/>
              </w:rPr>
              <w:t>通过电话、微信群、广播等渠道提供的农业技术相关信息，对您帮助有多大？</w:t>
            </w:r>
          </w:p>
        </w:tc>
      </w:tr>
      <w:tr w14:paraId="2039FC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15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5C766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选项</w:t>
            </w:r>
          </w:p>
        </w:tc>
        <w:tc>
          <w:tcPr>
            <w:tcW w:w="1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E5199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反馈数量</w:t>
            </w:r>
          </w:p>
        </w:tc>
        <w:tc>
          <w:tcPr>
            <w:tcW w:w="16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162D7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占比</w:t>
            </w:r>
          </w:p>
        </w:tc>
      </w:tr>
      <w:tr w14:paraId="1BD921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15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0300E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信息及时准确，直接指导生产</w:t>
            </w:r>
          </w:p>
        </w:tc>
        <w:tc>
          <w:tcPr>
            <w:tcW w:w="1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3E55F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427</w:t>
            </w:r>
          </w:p>
        </w:tc>
        <w:tc>
          <w:tcPr>
            <w:tcW w:w="16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2F6A5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kern w:val="0"/>
                <w:sz w:val="21"/>
                <w:szCs w:val="21"/>
                <w:highlight w:val="none"/>
                <w:u w:val="none"/>
                <w:lang w:val="en-US" w:eastAsia="zh-CN" w:bidi="ar"/>
              </w:rPr>
              <w:t>87.70</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14:paraId="751E9E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15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1AC6B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信息有用但偶尔滞后</w:t>
            </w:r>
          </w:p>
        </w:tc>
        <w:tc>
          <w:tcPr>
            <w:tcW w:w="1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9537B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44</w:t>
            </w:r>
          </w:p>
        </w:tc>
        <w:tc>
          <w:tcPr>
            <w:tcW w:w="16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DCCB4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rPr>
            </w:pPr>
            <w:r>
              <w:rPr>
                <w:rFonts w:hint="eastAsia" w:ascii="Times New Roman" w:hAnsi="Times New Roman" w:eastAsia="宋体" w:cs="Times New Roman"/>
                <w:i w:val="0"/>
                <w:iCs w:val="0"/>
                <w:color w:val="auto"/>
                <w:kern w:val="0"/>
                <w:sz w:val="21"/>
                <w:szCs w:val="21"/>
                <w:highlight w:val="none"/>
                <w:u w:val="none"/>
                <w:lang w:val="en-US" w:eastAsia="zh-CN" w:bidi="ar"/>
              </w:rPr>
              <w:t>9.00</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14:paraId="380A11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15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D0F1A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信息滞后且准确度一般</w:t>
            </w:r>
          </w:p>
        </w:tc>
        <w:tc>
          <w:tcPr>
            <w:tcW w:w="1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A2965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7</w:t>
            </w:r>
          </w:p>
        </w:tc>
        <w:tc>
          <w:tcPr>
            <w:tcW w:w="16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A0EF9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kern w:val="0"/>
                <w:sz w:val="21"/>
                <w:szCs w:val="21"/>
                <w:highlight w:val="none"/>
                <w:u w:val="none"/>
                <w:lang w:val="en-US" w:eastAsia="zh-CN" w:bidi="ar"/>
              </w:rPr>
              <w:t>1.40%</w:t>
            </w:r>
          </w:p>
        </w:tc>
      </w:tr>
      <w:tr w14:paraId="41DCBA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15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5856C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信息量太少</w:t>
            </w:r>
          </w:p>
        </w:tc>
        <w:tc>
          <w:tcPr>
            <w:tcW w:w="1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DC42E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7</w:t>
            </w:r>
          </w:p>
        </w:tc>
        <w:tc>
          <w:tcPr>
            <w:tcW w:w="16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FE004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1.40%</w:t>
            </w:r>
          </w:p>
        </w:tc>
      </w:tr>
      <w:tr w14:paraId="232513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15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2FA53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从未收到或不关心此类信息</w:t>
            </w:r>
          </w:p>
        </w:tc>
        <w:tc>
          <w:tcPr>
            <w:tcW w:w="1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1C0D8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2</w:t>
            </w:r>
          </w:p>
        </w:tc>
        <w:tc>
          <w:tcPr>
            <w:tcW w:w="16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42491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0.40%</w:t>
            </w:r>
          </w:p>
        </w:tc>
      </w:tr>
      <w:tr w14:paraId="5003A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5000" w:type="pct"/>
            <w:gridSpan w:val="3"/>
            <w:tcBorders>
              <w:top w:val="single" w:color="000000" w:sz="4" w:space="0"/>
              <w:left w:val="nil"/>
              <w:bottom w:val="single" w:color="000000" w:sz="4" w:space="0"/>
              <w:right w:val="nil"/>
            </w:tcBorders>
            <w:shd w:val="clear" w:color="auto" w:fill="auto"/>
            <w:vAlign w:val="center"/>
          </w:tcPr>
          <w:p w14:paraId="15FC9F0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color w:val="auto"/>
                <w:sz w:val="21"/>
                <w:szCs w:val="21"/>
                <w:highlight w:val="none"/>
                <w:lang w:val="en-US" w:eastAsia="zh-CN"/>
              </w:rPr>
              <w:t>（5）您认为农技部门提供的农作物重大病虫害预警信息是否满意？</w:t>
            </w:r>
          </w:p>
        </w:tc>
      </w:tr>
      <w:tr w14:paraId="67B3B7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15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BEA44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
                <w:bCs/>
                <w:i w:val="0"/>
                <w:iCs w:val="0"/>
                <w:color w:val="auto"/>
                <w:kern w:val="2"/>
                <w:sz w:val="21"/>
                <w:szCs w:val="21"/>
                <w:highlight w:val="none"/>
                <w:u w:val="none"/>
                <w:lang w:val="en-US" w:eastAsia="zh-CN" w:bidi="ar-SA"/>
              </w:rPr>
            </w:pPr>
            <w:r>
              <w:rPr>
                <w:rFonts w:hint="eastAsia" w:ascii="Times New Roman" w:hAnsi="Times New Roman" w:eastAsia="宋体" w:cs="Times New Roman"/>
                <w:b/>
                <w:bCs/>
                <w:i w:val="0"/>
                <w:iCs w:val="0"/>
                <w:color w:val="auto"/>
                <w:kern w:val="0"/>
                <w:sz w:val="21"/>
                <w:szCs w:val="21"/>
                <w:highlight w:val="none"/>
                <w:u w:val="none"/>
                <w:lang w:val="en-US" w:eastAsia="zh-CN" w:bidi="ar"/>
              </w:rPr>
              <w:t>选项</w:t>
            </w:r>
          </w:p>
        </w:tc>
        <w:tc>
          <w:tcPr>
            <w:tcW w:w="1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EB9A4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
                <w:bCs/>
                <w:i w:val="0"/>
                <w:iCs w:val="0"/>
                <w:color w:val="auto"/>
                <w:kern w:val="2"/>
                <w:sz w:val="21"/>
                <w:szCs w:val="21"/>
                <w:highlight w:val="none"/>
                <w:u w:val="none"/>
                <w:lang w:val="en-US" w:eastAsia="zh-CN" w:bidi="ar-SA"/>
              </w:rPr>
            </w:pPr>
            <w:r>
              <w:rPr>
                <w:rFonts w:hint="eastAsia" w:ascii="Times New Roman" w:hAnsi="Times New Roman" w:eastAsia="宋体" w:cs="Times New Roman"/>
                <w:b/>
                <w:bCs/>
                <w:i w:val="0"/>
                <w:iCs w:val="0"/>
                <w:color w:val="auto"/>
                <w:kern w:val="0"/>
                <w:sz w:val="21"/>
                <w:szCs w:val="21"/>
                <w:highlight w:val="none"/>
                <w:u w:val="none"/>
                <w:lang w:val="en-US" w:eastAsia="zh-CN" w:bidi="ar"/>
              </w:rPr>
              <w:t>反馈数量</w:t>
            </w:r>
          </w:p>
        </w:tc>
        <w:tc>
          <w:tcPr>
            <w:tcW w:w="16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C9114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
                <w:bCs/>
                <w:i w:val="0"/>
                <w:iCs w:val="0"/>
                <w:color w:val="auto"/>
                <w:kern w:val="2"/>
                <w:sz w:val="21"/>
                <w:szCs w:val="21"/>
                <w:highlight w:val="none"/>
                <w:u w:val="none"/>
                <w:lang w:val="en-US" w:eastAsia="zh-CN" w:bidi="ar-SA"/>
              </w:rPr>
            </w:pPr>
            <w:r>
              <w:rPr>
                <w:rFonts w:hint="eastAsia" w:ascii="Times New Roman" w:hAnsi="Times New Roman" w:eastAsia="宋体" w:cs="Times New Roman"/>
                <w:b/>
                <w:bCs/>
                <w:i w:val="0"/>
                <w:iCs w:val="0"/>
                <w:color w:val="auto"/>
                <w:kern w:val="0"/>
                <w:sz w:val="21"/>
                <w:szCs w:val="21"/>
                <w:highlight w:val="none"/>
                <w:u w:val="none"/>
                <w:lang w:val="en-US" w:eastAsia="zh-CN" w:bidi="ar"/>
              </w:rPr>
              <w:t>占比</w:t>
            </w:r>
          </w:p>
        </w:tc>
      </w:tr>
      <w:tr w14:paraId="7E0567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15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B4AB0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sz w:val="21"/>
                <w:szCs w:val="21"/>
                <w:highlight w:val="none"/>
                <w:u w:val="none"/>
                <w:lang w:val="en-US" w:eastAsia="zh-CN"/>
              </w:rPr>
              <w:t>非常满意</w:t>
            </w:r>
          </w:p>
        </w:tc>
        <w:tc>
          <w:tcPr>
            <w:tcW w:w="1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A573A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sz w:val="21"/>
                <w:szCs w:val="21"/>
                <w:highlight w:val="none"/>
                <w:u w:val="none"/>
                <w:lang w:val="en-US" w:eastAsia="zh-CN"/>
              </w:rPr>
              <w:t>419</w:t>
            </w:r>
          </w:p>
        </w:tc>
        <w:tc>
          <w:tcPr>
            <w:tcW w:w="16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E7369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kern w:val="0"/>
                <w:sz w:val="21"/>
                <w:szCs w:val="21"/>
                <w:highlight w:val="none"/>
                <w:u w:val="none"/>
                <w:lang w:val="en-US" w:eastAsia="zh-CN" w:bidi="ar"/>
              </w:rPr>
              <w:t>86.00</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14:paraId="3D2F21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15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81B8B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kern w:val="0"/>
                <w:sz w:val="21"/>
                <w:szCs w:val="21"/>
                <w:highlight w:val="none"/>
                <w:u w:val="none"/>
                <w:lang w:val="en-US" w:eastAsia="zh-CN" w:bidi="ar"/>
              </w:rPr>
              <w:t>满意</w:t>
            </w:r>
          </w:p>
        </w:tc>
        <w:tc>
          <w:tcPr>
            <w:tcW w:w="1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986B1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sz w:val="21"/>
                <w:szCs w:val="21"/>
                <w:highlight w:val="none"/>
                <w:u w:val="none"/>
                <w:lang w:val="en-US" w:eastAsia="zh-CN"/>
              </w:rPr>
              <w:t>54</w:t>
            </w:r>
          </w:p>
        </w:tc>
        <w:tc>
          <w:tcPr>
            <w:tcW w:w="16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0FFBD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kern w:val="0"/>
                <w:sz w:val="21"/>
                <w:szCs w:val="21"/>
                <w:highlight w:val="none"/>
                <w:u w:val="none"/>
                <w:lang w:val="en-US" w:eastAsia="zh-CN" w:bidi="ar"/>
              </w:rPr>
              <w:t>11.10</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14:paraId="7266F7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5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D013A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kern w:val="0"/>
                <w:sz w:val="21"/>
                <w:szCs w:val="21"/>
                <w:highlight w:val="none"/>
                <w:u w:val="none"/>
                <w:lang w:val="en-US" w:eastAsia="zh-CN" w:bidi="ar"/>
              </w:rPr>
              <w:t>一般</w:t>
            </w:r>
          </w:p>
        </w:tc>
        <w:tc>
          <w:tcPr>
            <w:tcW w:w="1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80F1B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sz w:val="21"/>
                <w:szCs w:val="21"/>
                <w:highlight w:val="none"/>
                <w:u w:val="none"/>
                <w:lang w:val="en-US" w:eastAsia="zh-CN"/>
              </w:rPr>
              <w:t>11</w:t>
            </w:r>
          </w:p>
        </w:tc>
        <w:tc>
          <w:tcPr>
            <w:tcW w:w="16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76722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kern w:val="0"/>
                <w:sz w:val="21"/>
                <w:szCs w:val="21"/>
                <w:highlight w:val="none"/>
                <w:u w:val="none"/>
                <w:lang w:val="en-US" w:eastAsia="zh-CN" w:bidi="ar"/>
              </w:rPr>
              <w:t>2.30%</w:t>
            </w:r>
          </w:p>
        </w:tc>
      </w:tr>
      <w:tr w14:paraId="01874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15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177DC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kern w:val="0"/>
                <w:sz w:val="21"/>
                <w:szCs w:val="21"/>
                <w:highlight w:val="none"/>
                <w:u w:val="none"/>
                <w:lang w:val="en-US" w:eastAsia="zh-CN" w:bidi="ar"/>
              </w:rPr>
              <w:t>不满意</w:t>
            </w:r>
          </w:p>
        </w:tc>
        <w:tc>
          <w:tcPr>
            <w:tcW w:w="1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1AECE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sz w:val="21"/>
                <w:szCs w:val="21"/>
                <w:highlight w:val="none"/>
                <w:u w:val="none"/>
                <w:lang w:val="en-US" w:eastAsia="zh-CN"/>
              </w:rPr>
              <w:t>2</w:t>
            </w:r>
          </w:p>
        </w:tc>
        <w:tc>
          <w:tcPr>
            <w:tcW w:w="16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C15B8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kern w:val="0"/>
                <w:sz w:val="21"/>
                <w:szCs w:val="21"/>
                <w:highlight w:val="none"/>
                <w:u w:val="none"/>
                <w:lang w:val="en-US" w:eastAsia="zh-CN" w:bidi="ar"/>
              </w:rPr>
              <w:t>0.40%</w:t>
            </w:r>
          </w:p>
        </w:tc>
      </w:tr>
      <w:tr w14:paraId="4B21A7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15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608F6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kern w:val="0"/>
                <w:sz w:val="21"/>
                <w:szCs w:val="21"/>
                <w:highlight w:val="none"/>
                <w:u w:val="none"/>
                <w:lang w:val="en-US" w:eastAsia="zh-CN" w:bidi="ar"/>
              </w:rPr>
              <w:t>非常不满意</w:t>
            </w:r>
          </w:p>
        </w:tc>
        <w:tc>
          <w:tcPr>
            <w:tcW w:w="1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61997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sz w:val="21"/>
                <w:szCs w:val="21"/>
                <w:highlight w:val="none"/>
                <w:u w:val="none"/>
                <w:lang w:val="en-US" w:eastAsia="zh-CN"/>
              </w:rPr>
              <w:t>1</w:t>
            </w:r>
          </w:p>
        </w:tc>
        <w:tc>
          <w:tcPr>
            <w:tcW w:w="16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2EFD8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0.20%</w:t>
            </w:r>
          </w:p>
        </w:tc>
      </w:tr>
      <w:tr w14:paraId="434933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5000" w:type="pct"/>
            <w:gridSpan w:val="3"/>
            <w:tcBorders>
              <w:top w:val="single" w:color="000000" w:sz="4" w:space="0"/>
              <w:left w:val="nil"/>
              <w:bottom w:val="single" w:color="000000" w:sz="4" w:space="0"/>
              <w:right w:val="nil"/>
            </w:tcBorders>
            <w:shd w:val="clear" w:color="auto" w:fill="auto"/>
            <w:vAlign w:val="center"/>
          </w:tcPr>
          <w:p w14:paraId="50EDA00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color w:val="auto"/>
                <w:sz w:val="21"/>
                <w:szCs w:val="21"/>
                <w:highlight w:val="none"/>
                <w:lang w:val="en-US" w:eastAsia="zh-CN"/>
              </w:rPr>
              <w:t>（6）您对农技推广</w:t>
            </w:r>
            <w:r>
              <w:rPr>
                <w:rFonts w:hint="eastAsia" w:ascii="Times New Roman" w:hAnsi="Times New Roman" w:eastAsia="宋体" w:cs="Times New Roman"/>
                <w:color w:val="auto"/>
                <w:sz w:val="21"/>
                <w:szCs w:val="21"/>
                <w:highlight w:val="none"/>
                <w:lang w:val="en-US" w:eastAsia="zh-CN"/>
              </w:rPr>
              <w:t>中心</w:t>
            </w:r>
            <w:r>
              <w:rPr>
                <w:rFonts w:hint="default" w:ascii="Times New Roman" w:hAnsi="Times New Roman" w:eastAsia="宋体" w:cs="Times New Roman"/>
                <w:color w:val="auto"/>
                <w:sz w:val="21"/>
                <w:szCs w:val="21"/>
                <w:highlight w:val="none"/>
                <w:lang w:val="en-US" w:eastAsia="zh-CN"/>
              </w:rPr>
              <w:t>工作人员服务态度（礼貌、耐心、公平）的总体评价是？</w:t>
            </w:r>
          </w:p>
        </w:tc>
      </w:tr>
      <w:tr w14:paraId="61062C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15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9C67C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
                <w:bCs/>
                <w:i w:val="0"/>
                <w:iCs w:val="0"/>
                <w:color w:val="auto"/>
                <w:kern w:val="2"/>
                <w:sz w:val="21"/>
                <w:szCs w:val="21"/>
                <w:highlight w:val="none"/>
                <w:u w:val="none"/>
                <w:lang w:val="en-US" w:eastAsia="zh-CN" w:bidi="ar-SA"/>
              </w:rPr>
            </w:pPr>
            <w:r>
              <w:rPr>
                <w:rFonts w:hint="default" w:ascii="Times New Roman" w:hAnsi="Times New Roman" w:eastAsia="宋体" w:cs="Times New Roman"/>
                <w:b/>
                <w:bCs/>
                <w:i w:val="0"/>
                <w:iCs w:val="0"/>
                <w:color w:val="auto"/>
                <w:kern w:val="0"/>
                <w:sz w:val="21"/>
                <w:szCs w:val="21"/>
                <w:highlight w:val="none"/>
                <w:u w:val="none"/>
                <w:lang w:val="en-US" w:eastAsia="zh-CN" w:bidi="ar"/>
              </w:rPr>
              <w:t>选项</w:t>
            </w:r>
          </w:p>
        </w:tc>
        <w:tc>
          <w:tcPr>
            <w:tcW w:w="1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A5766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
                <w:bCs/>
                <w:i w:val="0"/>
                <w:iCs w:val="0"/>
                <w:color w:val="auto"/>
                <w:kern w:val="2"/>
                <w:sz w:val="21"/>
                <w:szCs w:val="21"/>
                <w:highlight w:val="none"/>
                <w:u w:val="none"/>
                <w:lang w:val="en-US" w:eastAsia="zh-CN" w:bidi="ar-SA"/>
              </w:rPr>
            </w:pPr>
            <w:r>
              <w:rPr>
                <w:rFonts w:hint="default" w:ascii="Times New Roman" w:hAnsi="Times New Roman" w:eastAsia="宋体" w:cs="Times New Roman"/>
                <w:b/>
                <w:bCs/>
                <w:i w:val="0"/>
                <w:iCs w:val="0"/>
                <w:color w:val="auto"/>
                <w:kern w:val="0"/>
                <w:sz w:val="21"/>
                <w:szCs w:val="21"/>
                <w:highlight w:val="none"/>
                <w:u w:val="none"/>
                <w:lang w:val="en-US" w:eastAsia="zh-CN" w:bidi="ar"/>
              </w:rPr>
              <w:t>反馈数量</w:t>
            </w:r>
          </w:p>
        </w:tc>
        <w:tc>
          <w:tcPr>
            <w:tcW w:w="16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92EDD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b/>
                <w:bCs/>
                <w:i w:val="0"/>
                <w:iCs w:val="0"/>
                <w:color w:val="auto"/>
                <w:kern w:val="2"/>
                <w:sz w:val="21"/>
                <w:szCs w:val="21"/>
                <w:highlight w:val="none"/>
                <w:u w:val="none"/>
                <w:lang w:val="en-US" w:eastAsia="zh-CN" w:bidi="ar-SA"/>
              </w:rPr>
            </w:pPr>
            <w:r>
              <w:rPr>
                <w:rFonts w:hint="default" w:ascii="Times New Roman" w:hAnsi="Times New Roman" w:eastAsia="宋体" w:cs="Times New Roman"/>
                <w:b/>
                <w:bCs/>
                <w:i w:val="0"/>
                <w:iCs w:val="0"/>
                <w:color w:val="auto"/>
                <w:kern w:val="0"/>
                <w:sz w:val="21"/>
                <w:szCs w:val="21"/>
                <w:highlight w:val="none"/>
                <w:u w:val="none"/>
                <w:lang w:val="en-US" w:eastAsia="zh-CN" w:bidi="ar"/>
              </w:rPr>
              <w:t>占比</w:t>
            </w:r>
          </w:p>
        </w:tc>
      </w:tr>
      <w:tr w14:paraId="300351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15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18F3C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sz w:val="21"/>
                <w:szCs w:val="21"/>
                <w:highlight w:val="none"/>
                <w:u w:val="none"/>
                <w:lang w:val="en-US" w:eastAsia="zh-CN"/>
              </w:rPr>
              <w:t>非常满意</w:t>
            </w:r>
          </w:p>
        </w:tc>
        <w:tc>
          <w:tcPr>
            <w:tcW w:w="1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02922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sz w:val="21"/>
                <w:szCs w:val="21"/>
                <w:highlight w:val="none"/>
                <w:u w:val="none"/>
                <w:lang w:val="en-US" w:eastAsia="zh-CN"/>
              </w:rPr>
              <w:t>415</w:t>
            </w:r>
          </w:p>
        </w:tc>
        <w:tc>
          <w:tcPr>
            <w:tcW w:w="16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34A48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kern w:val="0"/>
                <w:sz w:val="21"/>
                <w:szCs w:val="21"/>
                <w:highlight w:val="none"/>
                <w:u w:val="none"/>
                <w:lang w:val="en-US" w:eastAsia="zh-CN" w:bidi="ar"/>
              </w:rPr>
              <w:t>85.20</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14:paraId="4C4051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15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01EBC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kern w:val="0"/>
                <w:sz w:val="21"/>
                <w:szCs w:val="21"/>
                <w:highlight w:val="none"/>
                <w:u w:val="none"/>
                <w:lang w:val="en-US" w:eastAsia="zh-CN" w:bidi="ar"/>
              </w:rPr>
              <w:t>满意</w:t>
            </w:r>
          </w:p>
        </w:tc>
        <w:tc>
          <w:tcPr>
            <w:tcW w:w="1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B2A68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sz w:val="21"/>
                <w:szCs w:val="21"/>
                <w:highlight w:val="none"/>
                <w:u w:val="none"/>
                <w:lang w:val="en-US" w:eastAsia="zh-CN"/>
              </w:rPr>
              <w:t>60</w:t>
            </w:r>
          </w:p>
        </w:tc>
        <w:tc>
          <w:tcPr>
            <w:tcW w:w="16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3EAD4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kern w:val="0"/>
                <w:sz w:val="21"/>
                <w:szCs w:val="21"/>
                <w:highlight w:val="none"/>
                <w:u w:val="none"/>
                <w:lang w:val="en-US" w:eastAsia="zh-CN" w:bidi="ar"/>
              </w:rPr>
              <w:t>12.30</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14:paraId="752912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15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444CD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kern w:val="0"/>
                <w:sz w:val="21"/>
                <w:szCs w:val="21"/>
                <w:highlight w:val="none"/>
                <w:u w:val="none"/>
                <w:lang w:val="en-US" w:eastAsia="zh-CN" w:bidi="ar"/>
              </w:rPr>
              <w:t>一般</w:t>
            </w:r>
          </w:p>
        </w:tc>
        <w:tc>
          <w:tcPr>
            <w:tcW w:w="1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5319F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sz w:val="21"/>
                <w:szCs w:val="21"/>
                <w:highlight w:val="none"/>
                <w:u w:val="none"/>
                <w:lang w:val="en-US" w:eastAsia="zh-CN"/>
              </w:rPr>
              <w:t>9</w:t>
            </w:r>
          </w:p>
        </w:tc>
        <w:tc>
          <w:tcPr>
            <w:tcW w:w="16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2B432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kern w:val="0"/>
                <w:sz w:val="21"/>
                <w:szCs w:val="21"/>
                <w:highlight w:val="none"/>
                <w:u w:val="none"/>
                <w:lang w:val="en-US" w:eastAsia="zh-CN" w:bidi="ar"/>
              </w:rPr>
              <w:t>1.80%</w:t>
            </w:r>
          </w:p>
        </w:tc>
      </w:tr>
      <w:tr w14:paraId="5A5973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15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D8553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kern w:val="0"/>
                <w:sz w:val="21"/>
                <w:szCs w:val="21"/>
                <w:highlight w:val="none"/>
                <w:u w:val="none"/>
                <w:lang w:val="en-US" w:eastAsia="zh-CN" w:bidi="ar"/>
              </w:rPr>
              <w:t>不满意</w:t>
            </w:r>
          </w:p>
        </w:tc>
        <w:tc>
          <w:tcPr>
            <w:tcW w:w="1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46B72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sz w:val="21"/>
                <w:szCs w:val="21"/>
                <w:highlight w:val="none"/>
                <w:u w:val="none"/>
                <w:lang w:val="en-US" w:eastAsia="zh-CN"/>
              </w:rPr>
              <w:t>2</w:t>
            </w:r>
          </w:p>
        </w:tc>
        <w:tc>
          <w:tcPr>
            <w:tcW w:w="16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756B1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kern w:val="0"/>
                <w:sz w:val="21"/>
                <w:szCs w:val="21"/>
                <w:highlight w:val="none"/>
                <w:u w:val="none"/>
                <w:lang w:val="en-US" w:eastAsia="zh-CN" w:bidi="ar"/>
              </w:rPr>
              <w:t>0.40%</w:t>
            </w:r>
          </w:p>
        </w:tc>
      </w:tr>
      <w:tr w14:paraId="639BB6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15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D861E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kern w:val="0"/>
                <w:sz w:val="21"/>
                <w:szCs w:val="21"/>
                <w:highlight w:val="none"/>
                <w:u w:val="none"/>
                <w:lang w:val="en-US" w:eastAsia="zh-CN" w:bidi="ar"/>
              </w:rPr>
              <w:t>非常不满意</w:t>
            </w:r>
          </w:p>
        </w:tc>
        <w:tc>
          <w:tcPr>
            <w:tcW w:w="1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33443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sz w:val="21"/>
                <w:szCs w:val="21"/>
                <w:highlight w:val="none"/>
                <w:u w:val="none"/>
                <w:lang w:val="en-US" w:eastAsia="zh-CN"/>
              </w:rPr>
              <w:t>1</w:t>
            </w:r>
          </w:p>
        </w:tc>
        <w:tc>
          <w:tcPr>
            <w:tcW w:w="16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8B502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kern w:val="0"/>
                <w:sz w:val="21"/>
                <w:szCs w:val="21"/>
                <w:highlight w:val="none"/>
                <w:u w:val="none"/>
                <w:lang w:val="en-US" w:eastAsia="zh-CN" w:bidi="ar"/>
              </w:rPr>
              <w:t>0.20%</w:t>
            </w:r>
          </w:p>
        </w:tc>
      </w:tr>
      <w:tr w14:paraId="40697B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5000" w:type="pct"/>
            <w:gridSpan w:val="3"/>
            <w:tcBorders>
              <w:top w:val="nil"/>
              <w:left w:val="nil"/>
              <w:bottom w:val="nil"/>
              <w:right w:val="nil"/>
            </w:tcBorders>
            <w:shd w:val="clear" w:color="auto" w:fill="auto"/>
            <w:vAlign w:val="center"/>
          </w:tcPr>
          <w:p w14:paraId="6E6E88D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lang w:val="en-US" w:eastAsia="zh-CN"/>
              </w:rPr>
              <w:t>（7）再次感谢您抽出宝贵的时间填写这份问卷！如果您还有其他意见或建议，欢迎在下方空白处填写：</w:t>
            </w:r>
            <w:r>
              <w:rPr>
                <w:rFonts w:hint="eastAsia" w:ascii="Times New Roman" w:hAnsi="Times New Roman" w:eastAsia="宋体" w:cs="Times New Roman"/>
                <w:color w:val="auto"/>
                <w:sz w:val="21"/>
                <w:szCs w:val="21"/>
                <w:highlight w:val="none"/>
                <w:lang w:val="en-US" w:eastAsia="zh-CN"/>
              </w:rPr>
              <w:t>无</w:t>
            </w:r>
          </w:p>
          <w:p w14:paraId="299D70D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Times New Roman" w:hAnsi="Times New Roman" w:eastAsia="宋体" w:cs="Times New Roman"/>
                <w:i w:val="0"/>
                <w:iCs w:val="0"/>
                <w:color w:val="auto"/>
                <w:sz w:val="21"/>
                <w:szCs w:val="21"/>
                <w:highlight w:val="none"/>
                <w:u w:val="none"/>
                <w:lang w:val="en-US" w:eastAsia="zh-CN"/>
              </w:rPr>
            </w:pPr>
          </w:p>
        </w:tc>
      </w:tr>
    </w:tbl>
    <w:p w14:paraId="5953D6D7">
      <w:pPr>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br w:type="page"/>
      </w:r>
    </w:p>
    <w:p w14:paraId="05CDCA7D">
      <w:pPr>
        <w:pStyle w:val="4"/>
        <w:ind w:firstLine="0" w:firstLineChars="0"/>
        <w:rPr>
          <w:rFonts w:hint="eastAsia" w:ascii="Times New Roman" w:hAnsi="Times New Roman" w:eastAsia="宋体" w:cs="Times New Roman"/>
          <w:color w:val="auto"/>
          <w:highlight w:val="none"/>
          <w:lang w:val="en-US" w:eastAsia="zh-CN"/>
        </w:rPr>
      </w:pPr>
      <w:bookmarkStart w:id="81" w:name="_Toc12827"/>
      <w:bookmarkStart w:id="82" w:name="_Toc2434"/>
      <w:r>
        <w:rPr>
          <w:rFonts w:hint="default" w:ascii="Times New Roman" w:hAnsi="Times New Roman" w:eastAsia="宋体" w:cs="Times New Roman"/>
          <w:color w:val="auto"/>
          <w:highlight w:val="none"/>
        </w:rPr>
        <w:t>附件</w:t>
      </w:r>
      <w:r>
        <w:rPr>
          <w:rFonts w:hint="eastAsia" w:ascii="Times New Roman" w:hAnsi="Times New Roman" w:eastAsia="宋体" w:cs="Times New Roman"/>
          <w:color w:val="auto"/>
          <w:highlight w:val="none"/>
          <w:lang w:val="en-US" w:eastAsia="zh-CN"/>
        </w:rPr>
        <w:t>4</w:t>
      </w:r>
      <w:r>
        <w:rPr>
          <w:rFonts w:hint="default" w:ascii="Times New Roman" w:hAnsi="Times New Roman" w:eastAsia="宋体" w:cs="Times New Roman"/>
          <w:color w:val="auto"/>
          <w:highlight w:val="none"/>
        </w:rPr>
        <w:t>：绩效评价报告意见反馈</w:t>
      </w:r>
      <w:bookmarkEnd w:id="81"/>
      <w:r>
        <w:rPr>
          <w:rFonts w:hint="eastAsia" w:ascii="Times New Roman" w:hAnsi="Times New Roman" w:eastAsia="宋体" w:cs="Times New Roman"/>
          <w:color w:val="auto"/>
          <w:highlight w:val="none"/>
          <w:lang w:val="en-US" w:eastAsia="zh-CN"/>
        </w:rPr>
        <w:t>结果</w:t>
      </w:r>
      <w:bookmarkEnd w:id="82"/>
    </w:p>
    <w:p w14:paraId="012D7D4A">
      <w:pPr>
        <w:rPr>
          <w:rFonts w:hint="eastAsia" w:eastAsia="宋体"/>
          <w:lang w:eastAsia="zh-CN"/>
        </w:rPr>
      </w:pPr>
      <w:r>
        <w:rPr>
          <w:rFonts w:hint="eastAsia" w:eastAsia="宋体"/>
          <w:lang w:eastAsia="zh-CN"/>
        </w:rPr>
        <w:drawing>
          <wp:inline distT="0" distB="0" distL="114300" distR="114300">
            <wp:extent cx="5273040" cy="7459980"/>
            <wp:effectExtent l="0" t="0" r="10160" b="7620"/>
            <wp:docPr id="1" name="图片 1" descr="反馈表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反馈表_01"/>
                    <pic:cNvPicPr>
                      <a:picLocks noChangeAspect="1"/>
                    </pic:cNvPicPr>
                  </pic:nvPicPr>
                  <pic:blipFill>
                    <a:blip r:embed="rId14"/>
                    <a:stretch>
                      <a:fillRect/>
                    </a:stretch>
                  </pic:blipFill>
                  <pic:spPr>
                    <a:xfrm>
                      <a:off x="0" y="0"/>
                      <a:ext cx="5273040" cy="7459980"/>
                    </a:xfrm>
                    <a:prstGeom prst="rect">
                      <a:avLst/>
                    </a:prstGeom>
                  </pic:spPr>
                </pic:pic>
              </a:graphicData>
            </a:graphic>
          </wp:inline>
        </w:drawing>
      </w:r>
    </w:p>
    <w:p w14:paraId="3A4019A6">
      <w:pPr>
        <w:pStyle w:val="2"/>
      </w:pPr>
      <w:r>
        <w:rPr>
          <w:rFonts w:hint="eastAsia"/>
          <w:lang w:eastAsia="zh-CN"/>
        </w:rPr>
        <w:drawing>
          <wp:inline distT="0" distB="0" distL="114300" distR="114300">
            <wp:extent cx="5271135" cy="7904480"/>
            <wp:effectExtent l="0" t="0" r="12065" b="7620"/>
            <wp:docPr id="2" name="图片 2" descr="b85acf4e039c2d28e5cf3604a12ba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b85acf4e039c2d28e5cf3604a12ba03"/>
                    <pic:cNvPicPr>
                      <a:picLocks noChangeAspect="1"/>
                    </pic:cNvPicPr>
                  </pic:nvPicPr>
                  <pic:blipFill>
                    <a:blip r:embed="rId15"/>
                    <a:stretch>
                      <a:fillRect/>
                    </a:stretch>
                  </pic:blipFill>
                  <pic:spPr>
                    <a:xfrm>
                      <a:off x="0" y="0"/>
                      <a:ext cx="5271135" cy="7904480"/>
                    </a:xfrm>
                    <a:prstGeom prst="rect">
                      <a:avLst/>
                    </a:prstGeom>
                  </pic:spPr>
                </pic:pic>
              </a:graphicData>
            </a:graphic>
          </wp:inline>
        </w:drawing>
      </w:r>
    </w:p>
    <w:sectPr>
      <w:footerReference r:id="rId12" w:type="default"/>
      <w:pgSz w:w="11906" w:h="16838"/>
      <w:pgMar w:top="1440" w:right="1800" w:bottom="1440" w:left="1800" w:header="851" w:footer="907" w:gutter="0"/>
      <w:pgBorders>
        <w:top w:val="none" w:sz="0" w:space="0"/>
        <w:left w:val="none" w:sz="0" w:space="0"/>
        <w:bottom w:val="none" w:sz="0" w:space="0"/>
        <w:right w:val="none" w:sz="0" w:space="0"/>
      </w:pgBorders>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61A223A-310B-4E54-904D-81C88AF239C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E0F049C1-5865-4A60-94E6-F25F88BB1629}"/>
  </w:font>
  <w:font w:name="仿宋">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等线">
    <w:panose1 w:val="02010600030101010101"/>
    <w:charset w:val="86"/>
    <w:family w:val="auto"/>
    <w:pitch w:val="default"/>
    <w:sig w:usb0="A00002BF" w:usb1="38CF7CFA" w:usb2="00000016" w:usb3="00000000" w:csb0="0004000F" w:csb1="00000000"/>
    <w:embedRegular r:id="rId3" w:fontKey="{677544B5-9E00-4813-A0D6-49FC6533A605}"/>
  </w:font>
  <w:font w:name="楷体_GB2312">
    <w:panose1 w:val="02010609030101010101"/>
    <w:charset w:val="86"/>
    <w:family w:val="modern"/>
    <w:pitch w:val="default"/>
    <w:sig w:usb0="00000001" w:usb1="080E0000" w:usb2="00000000" w:usb3="00000000" w:csb0="00040000" w:csb1="00000000"/>
    <w:embedRegular r:id="rId4" w:fontKey="{AA1A1BA4-BD3A-4D47-9D90-5E920CE2CCF4}"/>
  </w:font>
  <w:font w:name="WPSEMBED1">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437B3">
    <w:pPr>
      <w:pStyle w:val="13"/>
      <w:tabs>
        <w:tab w:val="center" w:pos="4439"/>
        <w:tab w:val="right" w:pos="8999"/>
      </w:tabs>
      <w:ind w:firstLine="360"/>
    </w:pPr>
    <w:r>
      <w:rPr>
        <w:rFonts w:hint="eastAsia"/>
      </w:rPr>
      <w:tab/>
    </w:r>
    <w:r>
      <w:rPr>
        <w:rFonts w:hint="eastAsia"/>
      </w:rPr>
      <w:tab/>
    </w:r>
    <w:r>
      <w:rPr>
        <w:rFonts w:hint="eastAsia"/>
      </w:rPr>
      <w:tab/>
    </w:r>
    <w:r>
      <w:rPr>
        <w:rFonts w:hint="eastAsia"/>
      </w:rPr>
      <w:tab/>
    </w:r>
  </w:p>
  <w:p w14:paraId="355211D4">
    <w:pPr>
      <w:pStyle w:val="13"/>
      <w:ind w:right="72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5DFB65">
    <w:pPr>
      <w:pStyle w:val="13"/>
      <w:ind w:firstLine="0" w:firstLineChars="0"/>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645160" cy="349250"/>
              <wp:effectExtent l="0" t="0" r="0" b="0"/>
              <wp:wrapNone/>
              <wp:docPr id="5" name="文本框 5"/>
              <wp:cNvGraphicFramePr/>
              <a:graphic xmlns:a="http://schemas.openxmlformats.org/drawingml/2006/main">
                <a:graphicData uri="http://schemas.microsoft.com/office/word/2010/wordprocessingShape">
                  <wps:wsp>
                    <wps:cNvSpPr txBox="1"/>
                    <wps:spPr>
                      <a:xfrm>
                        <a:off x="0" y="0"/>
                        <a:ext cx="645160" cy="3492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FC2957">
                          <w:pPr>
                            <w:pStyle w:val="13"/>
                            <w:ind w:firstLine="40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57</w:t>
                          </w:r>
                          <w:r>
                            <w:rPr>
                              <w:sz w:val="21"/>
                              <w:szCs w:val="21"/>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0pt;height:27.5pt;width:50.8pt;mso-position-horizontal:center;mso-position-horizontal-relative:margin;z-index:251661312;mso-width-relative:page;mso-height-relative:page;" filled="f" stroked="f" coordsize="21600,21600" o:gfxdata="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XTXqQdMAAAAEAQAADwAAAAAAAAABACAAAAAiAAAAZHJzL2Rvd25yZXYueG1sUEsBAhQA&#10;FAAAAAgAh07iQKNWirgwAgAAVQQAAA4AAAAAAAAAAQAgAAAAIgEAAGRycy9lMm9Eb2MueG1sUEsF&#10;BgAAAAAGAAYAWQEAAMQFAAAAAA==&#10;">
              <v:fill on="f" focussize="0,0"/>
              <v:stroke on="f" weight="0.5pt"/>
              <v:imagedata o:title=""/>
              <o:lock v:ext="edit" aspectratio="f"/>
              <v:textbox inset="0mm,0mm,0mm,0mm">
                <w:txbxContent>
                  <w:p w14:paraId="01FC2957">
                    <w:pPr>
                      <w:pStyle w:val="13"/>
                      <w:ind w:firstLine="40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57</w:t>
                    </w:r>
                    <w:r>
                      <w:rPr>
                        <w:sz w:val="21"/>
                        <w:szCs w:val="21"/>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695473">
    <w:pPr>
      <w:pStyle w:val="13"/>
      <w:ind w:firstLine="0" w:firstLineChars="0"/>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98AF72">
    <w:pPr>
      <w:pStyle w:val="13"/>
      <w:ind w:firstLine="0" w:firstLineChars="0"/>
      <w:jc w:val="cente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645160" cy="349250"/>
              <wp:effectExtent l="0" t="0" r="0" b="0"/>
              <wp:wrapNone/>
              <wp:docPr id="3" name="文本框 3"/>
              <wp:cNvGraphicFramePr/>
              <a:graphic xmlns:a="http://schemas.openxmlformats.org/drawingml/2006/main">
                <a:graphicData uri="http://schemas.microsoft.com/office/word/2010/wordprocessingShape">
                  <wps:wsp>
                    <wps:cNvSpPr txBox="1"/>
                    <wps:spPr>
                      <a:xfrm>
                        <a:off x="0" y="0"/>
                        <a:ext cx="645160" cy="3492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4BBE91">
                          <w:pPr>
                            <w:pStyle w:val="13"/>
                            <w:ind w:firstLine="400"/>
                            <w:rPr>
                              <w:sz w:val="20"/>
                              <w:szCs w:val="20"/>
                            </w:rPr>
                          </w:pPr>
                          <w:r>
                            <w:rPr>
                              <w:sz w:val="20"/>
                              <w:szCs w:val="20"/>
                            </w:rPr>
                            <w:fldChar w:fldCharType="begin"/>
                          </w:r>
                          <w:r>
                            <w:rPr>
                              <w:sz w:val="20"/>
                              <w:szCs w:val="20"/>
                            </w:rPr>
                            <w:instrText xml:space="preserve"> PAGE  \* MERGEFORMAT </w:instrText>
                          </w:r>
                          <w:r>
                            <w:rPr>
                              <w:sz w:val="20"/>
                              <w:szCs w:val="20"/>
                            </w:rPr>
                            <w:fldChar w:fldCharType="separate"/>
                          </w:r>
                          <w:r>
                            <w:rPr>
                              <w:sz w:val="20"/>
                              <w:szCs w:val="20"/>
                            </w:rPr>
                            <w:t>57</w:t>
                          </w:r>
                          <w:r>
                            <w:rPr>
                              <w:sz w:val="20"/>
                              <w:szCs w:val="20"/>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0pt;height:27.5pt;width:50.8pt;mso-position-horizontal:center;mso-position-horizontal-relative:margin;z-index:251662336;mso-width-relative:page;mso-height-relative:page;" filled="f" stroked="f" coordsize="21600,21600" o:gfxdata="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XTXqQdMAAAAEAQAADwAAAAAAAAABACAAAAAiAAAAZHJzL2Rvd25yZXYueG1sUEsBAhQA&#10;FAAAAAgAh07iQLE7jz8wAgAAVQQAAA4AAAAAAAAAAQAgAAAAIgEAAGRycy9lMm9Eb2MueG1sUEsF&#10;BgAAAAAGAAYAWQEAAMQFAAAAAA==&#10;">
              <v:fill on="f" focussize="0,0"/>
              <v:stroke on="f" weight="0.5pt"/>
              <v:imagedata o:title=""/>
              <o:lock v:ext="edit" aspectratio="f"/>
              <v:textbox inset="0mm,0mm,0mm,0mm">
                <w:txbxContent>
                  <w:p w14:paraId="5B4BBE91">
                    <w:pPr>
                      <w:pStyle w:val="13"/>
                      <w:ind w:firstLine="400"/>
                      <w:rPr>
                        <w:sz w:val="20"/>
                        <w:szCs w:val="20"/>
                      </w:rPr>
                    </w:pPr>
                    <w:r>
                      <w:rPr>
                        <w:sz w:val="20"/>
                        <w:szCs w:val="20"/>
                      </w:rPr>
                      <w:fldChar w:fldCharType="begin"/>
                    </w:r>
                    <w:r>
                      <w:rPr>
                        <w:sz w:val="20"/>
                        <w:szCs w:val="20"/>
                      </w:rPr>
                      <w:instrText xml:space="preserve"> PAGE  \* MERGEFORMAT </w:instrText>
                    </w:r>
                    <w:r>
                      <w:rPr>
                        <w:sz w:val="20"/>
                        <w:szCs w:val="20"/>
                      </w:rPr>
                      <w:fldChar w:fldCharType="separate"/>
                    </w:r>
                    <w:r>
                      <w:rPr>
                        <w:sz w:val="20"/>
                        <w:szCs w:val="20"/>
                      </w:rPr>
                      <w:t>57</w:t>
                    </w:r>
                    <w:r>
                      <w:rPr>
                        <w:sz w:val="20"/>
                        <w:szCs w:val="20"/>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072F4C">
    <w:pPr>
      <w:pStyle w:val="13"/>
      <w:ind w:firstLine="0" w:firstLineChars="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260477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260477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CAEA78">
                          <w:pPr>
                            <w:pStyle w:val="13"/>
                            <w:ind w:firstLine="0" w:firstLineChars="0"/>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237</w:t>
                          </w:r>
                          <w:r>
                            <w:rPr>
                              <w:sz w:val="21"/>
                              <w:szCs w:val="21"/>
                            </w:rP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205.1pt;mso-position-horizontal:center;mso-position-horizontal-relative:margin;z-index:251659264;mso-width-relative:page;mso-height-relative:page;" filled="f" stroked="f" coordsize="21600,21600" o:gfxdata="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HiuTeTUAAAABQEAAA8AAAAAAAAAAQAgAAAAIgAAAGRycy9kb3ducmV2LnhtbFBL&#10;AQIUABQAAAAIAIdO4kCI+bl0MwIAAFcEAAAOAAAAAAAAAAEAIAAAACMBAABkcnMvZTJvRG9jLnht&#10;bFBLBQYAAAAABgAGAFkBAADIBQAAAAA=&#10;">
              <v:fill on="f" focussize="0,0"/>
              <v:stroke on="f" weight="0.5pt"/>
              <v:imagedata o:title=""/>
              <o:lock v:ext="edit" aspectratio="f"/>
              <v:textbox inset="0mm,0mm,0mm,0mm" style="mso-fit-shape-to-text:t;">
                <w:txbxContent>
                  <w:p w14:paraId="0BCAEA78">
                    <w:pPr>
                      <w:pStyle w:val="13"/>
                      <w:ind w:firstLine="0" w:firstLineChars="0"/>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237</w:t>
                    </w:r>
                    <w:r>
                      <w:rPr>
                        <w:sz w:val="21"/>
                        <w:szCs w:val="21"/>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725EA">
    <w:pPr>
      <w:pStyle w:val="13"/>
      <w:ind w:firstLine="0" w:firstLineChars="0"/>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6261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56261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B8B418">
                          <w:pPr>
                            <w:pStyle w:val="13"/>
                            <w:ind w:firstLine="420"/>
                            <w:rPr>
                              <w:rFonts w:eastAsia="宋体"/>
                              <w:sz w:val="21"/>
                              <w:szCs w:val="21"/>
                            </w:rPr>
                          </w:pPr>
                          <w:r>
                            <w:rPr>
                              <w:rFonts w:hint="eastAsia" w:eastAsia="宋体"/>
                              <w:sz w:val="21"/>
                              <w:szCs w:val="21"/>
                            </w:rPr>
                            <w:fldChar w:fldCharType="begin"/>
                          </w:r>
                          <w:r>
                            <w:rPr>
                              <w:rFonts w:hint="eastAsia" w:eastAsia="宋体"/>
                              <w:sz w:val="21"/>
                              <w:szCs w:val="21"/>
                            </w:rPr>
                            <w:instrText xml:space="preserve"> PAGE  \* MERGEFORMAT </w:instrText>
                          </w:r>
                          <w:r>
                            <w:rPr>
                              <w:rFonts w:hint="eastAsia" w:eastAsia="宋体"/>
                              <w:sz w:val="21"/>
                              <w:szCs w:val="21"/>
                            </w:rPr>
                            <w:fldChar w:fldCharType="separate"/>
                          </w:r>
                          <w:r>
                            <w:rPr>
                              <w:rFonts w:eastAsia="宋体"/>
                              <w:sz w:val="21"/>
                              <w:szCs w:val="21"/>
                            </w:rPr>
                            <w:t>256</w:t>
                          </w:r>
                          <w:r>
                            <w:rPr>
                              <w:rFonts w:hint="eastAsia" w:eastAsia="宋体"/>
                              <w:sz w:val="21"/>
                              <w:szCs w:val="21"/>
                            </w:rP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44.3pt;mso-position-horizontal:center;mso-position-horizontal-relative:margin;z-index:251660288;mso-width-relative:page;mso-height-relative:page;" filled="f" stroked="f" coordsize="21600,21600" o:gfxdata="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ZteDZtMAAAAEAQAADwAAAAAAAAABACAAAAAiAAAAZHJzL2Rvd25yZXYueG1sUEsBAhQA&#10;FAAAAAgAh07iQMz+krQwAgAAVgQAAA4AAAAAAAAAAQAgAAAAIgEAAGRycy9lMm9Eb2MueG1sUEsF&#10;BgAAAAAGAAYAWQEAAMQFAAAAAA==&#10;">
              <v:fill on="f" focussize="0,0"/>
              <v:stroke on="f" weight="0.5pt"/>
              <v:imagedata o:title=""/>
              <o:lock v:ext="edit" aspectratio="f"/>
              <v:textbox inset="0mm,0mm,0mm,0mm" style="mso-fit-shape-to-text:t;">
                <w:txbxContent>
                  <w:p w14:paraId="34B8B418">
                    <w:pPr>
                      <w:pStyle w:val="13"/>
                      <w:ind w:firstLine="420"/>
                      <w:rPr>
                        <w:rFonts w:eastAsia="宋体"/>
                        <w:sz w:val="21"/>
                        <w:szCs w:val="21"/>
                      </w:rPr>
                    </w:pPr>
                    <w:r>
                      <w:rPr>
                        <w:rFonts w:hint="eastAsia" w:eastAsia="宋体"/>
                        <w:sz w:val="21"/>
                        <w:szCs w:val="21"/>
                      </w:rPr>
                      <w:fldChar w:fldCharType="begin"/>
                    </w:r>
                    <w:r>
                      <w:rPr>
                        <w:rFonts w:hint="eastAsia" w:eastAsia="宋体"/>
                        <w:sz w:val="21"/>
                        <w:szCs w:val="21"/>
                      </w:rPr>
                      <w:instrText xml:space="preserve"> PAGE  \* MERGEFORMAT </w:instrText>
                    </w:r>
                    <w:r>
                      <w:rPr>
                        <w:rFonts w:hint="eastAsia" w:eastAsia="宋体"/>
                        <w:sz w:val="21"/>
                        <w:szCs w:val="21"/>
                      </w:rPr>
                      <w:fldChar w:fldCharType="separate"/>
                    </w:r>
                    <w:r>
                      <w:rPr>
                        <w:rFonts w:eastAsia="宋体"/>
                        <w:sz w:val="21"/>
                        <w:szCs w:val="21"/>
                      </w:rPr>
                      <w:t>256</w:t>
                    </w:r>
                    <w:r>
                      <w:rPr>
                        <w:rFonts w:hint="eastAsia" w:eastAsia="宋体"/>
                        <w:sz w:val="21"/>
                        <w:szCs w:val="21"/>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955923">
    <w:pPr>
      <w:pStyle w:val="14"/>
      <w:pBdr>
        <w:bottom w:val="none" w:color="auto" w:sz="0" w:space="0"/>
      </w:pBdr>
      <w:adjustRightInd/>
      <w:spacing w:line="240" w:lineRule="auto"/>
      <w:ind w:firstLine="0" w:firstLineChars="0"/>
      <w:jc w:val="right"/>
      <w:rPr>
        <w:rFonts w:ascii="黑体" w:hAnsi="黑体" w:eastAsia="黑体" w:cs="黑体"/>
        <w:b/>
        <w:bCs/>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E197D5">
    <w:pPr>
      <w:pStyle w:val="14"/>
      <w:ind w:firstLine="420"/>
      <w:jc w:val="right"/>
      <w:rPr>
        <w:rFonts w:hint="eastAsia" w:ascii="黑体" w:hAnsi="黑体" w:eastAsia="黑体" w:cs="黑体"/>
        <w:color w:val="auto"/>
        <w:sz w:val="15"/>
        <w:szCs w:val="15"/>
      </w:rPr>
    </w:pPr>
    <w:r>
      <w:rPr>
        <w:rFonts w:hint="eastAsia" w:ascii="黑体" w:hAnsi="黑体" w:eastAsia="黑体" w:cs="黑体"/>
        <w:b/>
        <w:bCs/>
        <w:color w:val="auto"/>
        <w:sz w:val="15"/>
        <w:szCs w:val="15"/>
      </w:rPr>
      <w:t>伊宁县农技推广中心部门整体支出绩效评价报告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F2F874"/>
    <w:multiLevelType w:val="singleLevel"/>
    <w:tmpl w:val="5DF2F874"/>
    <w:lvl w:ilvl="0" w:tentative="0">
      <w:start w:val="1"/>
      <w:numFmt w:val="bullet"/>
      <w:lvlText w:val=""/>
      <w:lvlJc w:val="left"/>
      <w:pPr>
        <w:tabs>
          <w:tab w:val="left" w:pos="420"/>
        </w:tabs>
        <w:ind w:left="84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yN2QyNzY1MGQyMDA0NmQyYjYxNzZhOTdlZDU0MTgifQ=="/>
  </w:docVars>
  <w:rsids>
    <w:rsidRoot w:val="00A03703"/>
    <w:rsid w:val="000C1FF9"/>
    <w:rsid w:val="00144E57"/>
    <w:rsid w:val="0020458F"/>
    <w:rsid w:val="00207014"/>
    <w:rsid w:val="002550B3"/>
    <w:rsid w:val="00351E37"/>
    <w:rsid w:val="0041395F"/>
    <w:rsid w:val="00426245"/>
    <w:rsid w:val="006717A8"/>
    <w:rsid w:val="006C6562"/>
    <w:rsid w:val="00837A57"/>
    <w:rsid w:val="0087085D"/>
    <w:rsid w:val="00976622"/>
    <w:rsid w:val="00A03703"/>
    <w:rsid w:val="00AC59D9"/>
    <w:rsid w:val="00AF0374"/>
    <w:rsid w:val="00B81569"/>
    <w:rsid w:val="00C21558"/>
    <w:rsid w:val="00C32FFE"/>
    <w:rsid w:val="00C42F14"/>
    <w:rsid w:val="00CA14B6"/>
    <w:rsid w:val="00D002E7"/>
    <w:rsid w:val="00D50A30"/>
    <w:rsid w:val="014F219D"/>
    <w:rsid w:val="022630E3"/>
    <w:rsid w:val="02A209F3"/>
    <w:rsid w:val="04051527"/>
    <w:rsid w:val="04542819"/>
    <w:rsid w:val="04842B3B"/>
    <w:rsid w:val="056C24BD"/>
    <w:rsid w:val="05B40080"/>
    <w:rsid w:val="05DE1521"/>
    <w:rsid w:val="06B30E9A"/>
    <w:rsid w:val="06E337F1"/>
    <w:rsid w:val="07C76200"/>
    <w:rsid w:val="09E65C14"/>
    <w:rsid w:val="0A195A3E"/>
    <w:rsid w:val="0BBD444B"/>
    <w:rsid w:val="0C69230C"/>
    <w:rsid w:val="0CCB0A0B"/>
    <w:rsid w:val="0D216439"/>
    <w:rsid w:val="0D2D0758"/>
    <w:rsid w:val="0DC55973"/>
    <w:rsid w:val="0EA06BE9"/>
    <w:rsid w:val="0EC86014"/>
    <w:rsid w:val="0F0E6A19"/>
    <w:rsid w:val="100D394F"/>
    <w:rsid w:val="103C6D1E"/>
    <w:rsid w:val="10616D58"/>
    <w:rsid w:val="10AB3168"/>
    <w:rsid w:val="1172701D"/>
    <w:rsid w:val="11C83272"/>
    <w:rsid w:val="121F5B6C"/>
    <w:rsid w:val="12371157"/>
    <w:rsid w:val="123E14E1"/>
    <w:rsid w:val="12D016B2"/>
    <w:rsid w:val="1340403C"/>
    <w:rsid w:val="13DD2C5B"/>
    <w:rsid w:val="14F12905"/>
    <w:rsid w:val="14F21366"/>
    <w:rsid w:val="15193E4A"/>
    <w:rsid w:val="1821504C"/>
    <w:rsid w:val="183F2B14"/>
    <w:rsid w:val="18631508"/>
    <w:rsid w:val="1882140F"/>
    <w:rsid w:val="18B63758"/>
    <w:rsid w:val="19E61AC7"/>
    <w:rsid w:val="1A1D2807"/>
    <w:rsid w:val="1A2D29E1"/>
    <w:rsid w:val="1BDB5505"/>
    <w:rsid w:val="1CC96E50"/>
    <w:rsid w:val="1D350989"/>
    <w:rsid w:val="1E002EA9"/>
    <w:rsid w:val="1E0F11DA"/>
    <w:rsid w:val="1E384D90"/>
    <w:rsid w:val="1EC71AB5"/>
    <w:rsid w:val="206A2DB4"/>
    <w:rsid w:val="206C5259"/>
    <w:rsid w:val="20831A0C"/>
    <w:rsid w:val="208800D4"/>
    <w:rsid w:val="20BE301F"/>
    <w:rsid w:val="20ED7BF3"/>
    <w:rsid w:val="21EE6B50"/>
    <w:rsid w:val="237D0F54"/>
    <w:rsid w:val="23B14FE2"/>
    <w:rsid w:val="23B34FAC"/>
    <w:rsid w:val="259170F3"/>
    <w:rsid w:val="25AF6319"/>
    <w:rsid w:val="267F6E5D"/>
    <w:rsid w:val="26D80608"/>
    <w:rsid w:val="292B7B62"/>
    <w:rsid w:val="29323FCF"/>
    <w:rsid w:val="2A0A1A58"/>
    <w:rsid w:val="2A635237"/>
    <w:rsid w:val="2AAD1304"/>
    <w:rsid w:val="2C4F1275"/>
    <w:rsid w:val="2CD07DE1"/>
    <w:rsid w:val="2CF55A3F"/>
    <w:rsid w:val="2D0C4766"/>
    <w:rsid w:val="2D6873AB"/>
    <w:rsid w:val="2D7C066F"/>
    <w:rsid w:val="2D825759"/>
    <w:rsid w:val="2D9C62A0"/>
    <w:rsid w:val="2DCF28E9"/>
    <w:rsid w:val="2DD55544"/>
    <w:rsid w:val="2DF36792"/>
    <w:rsid w:val="2E544A25"/>
    <w:rsid w:val="2E5C636E"/>
    <w:rsid w:val="30B17ECF"/>
    <w:rsid w:val="30E64F71"/>
    <w:rsid w:val="32D870DF"/>
    <w:rsid w:val="33484DD4"/>
    <w:rsid w:val="33BD2240"/>
    <w:rsid w:val="34056568"/>
    <w:rsid w:val="340C1162"/>
    <w:rsid w:val="3514407B"/>
    <w:rsid w:val="35D6612D"/>
    <w:rsid w:val="3616349A"/>
    <w:rsid w:val="37732382"/>
    <w:rsid w:val="37823126"/>
    <w:rsid w:val="38FE09B6"/>
    <w:rsid w:val="398D26CB"/>
    <w:rsid w:val="399D73AD"/>
    <w:rsid w:val="3A00591D"/>
    <w:rsid w:val="3A871A61"/>
    <w:rsid w:val="3AD36B98"/>
    <w:rsid w:val="3AEF3BB8"/>
    <w:rsid w:val="3B1E53B3"/>
    <w:rsid w:val="3BD27E25"/>
    <w:rsid w:val="3C3755DF"/>
    <w:rsid w:val="3D7026D9"/>
    <w:rsid w:val="3D803103"/>
    <w:rsid w:val="3DAF0D3F"/>
    <w:rsid w:val="3DB50D85"/>
    <w:rsid w:val="3E3A640A"/>
    <w:rsid w:val="3EDD4F23"/>
    <w:rsid w:val="3F5E7474"/>
    <w:rsid w:val="3FDF2842"/>
    <w:rsid w:val="4006564F"/>
    <w:rsid w:val="42BF231A"/>
    <w:rsid w:val="433A1161"/>
    <w:rsid w:val="4366591E"/>
    <w:rsid w:val="43D50470"/>
    <w:rsid w:val="46804174"/>
    <w:rsid w:val="46911EDD"/>
    <w:rsid w:val="4760507C"/>
    <w:rsid w:val="476615BC"/>
    <w:rsid w:val="479A16AB"/>
    <w:rsid w:val="49516307"/>
    <w:rsid w:val="49AB775A"/>
    <w:rsid w:val="49E56DEB"/>
    <w:rsid w:val="4A434A07"/>
    <w:rsid w:val="4A5259EC"/>
    <w:rsid w:val="4BDC33E8"/>
    <w:rsid w:val="4C52210E"/>
    <w:rsid w:val="4CE840E6"/>
    <w:rsid w:val="4DAB1AD6"/>
    <w:rsid w:val="4E801C3E"/>
    <w:rsid w:val="4F7838B7"/>
    <w:rsid w:val="502E73F3"/>
    <w:rsid w:val="505D7677"/>
    <w:rsid w:val="51B7267B"/>
    <w:rsid w:val="520C3494"/>
    <w:rsid w:val="52A35472"/>
    <w:rsid w:val="535952A1"/>
    <w:rsid w:val="546C1980"/>
    <w:rsid w:val="558570B1"/>
    <w:rsid w:val="563A75D5"/>
    <w:rsid w:val="56794E67"/>
    <w:rsid w:val="57622570"/>
    <w:rsid w:val="58DE2219"/>
    <w:rsid w:val="593F3897"/>
    <w:rsid w:val="5BEB0407"/>
    <w:rsid w:val="5C6B645D"/>
    <w:rsid w:val="5CCB282F"/>
    <w:rsid w:val="5CE429F9"/>
    <w:rsid w:val="5D382BE7"/>
    <w:rsid w:val="5DEE6DAA"/>
    <w:rsid w:val="5E021BF1"/>
    <w:rsid w:val="5EFB03E4"/>
    <w:rsid w:val="5F105C3D"/>
    <w:rsid w:val="5FA82319"/>
    <w:rsid w:val="610E3DC5"/>
    <w:rsid w:val="619B1DE4"/>
    <w:rsid w:val="61FA2BD4"/>
    <w:rsid w:val="627626A2"/>
    <w:rsid w:val="63546B83"/>
    <w:rsid w:val="637C2F7A"/>
    <w:rsid w:val="641C5084"/>
    <w:rsid w:val="64211CCF"/>
    <w:rsid w:val="64723C6F"/>
    <w:rsid w:val="64D04441"/>
    <w:rsid w:val="64FF2692"/>
    <w:rsid w:val="66C832A1"/>
    <w:rsid w:val="685B61AD"/>
    <w:rsid w:val="687F7DF0"/>
    <w:rsid w:val="68AF4FD2"/>
    <w:rsid w:val="68D511B8"/>
    <w:rsid w:val="69224EEB"/>
    <w:rsid w:val="6A780DD8"/>
    <w:rsid w:val="6AAF4400"/>
    <w:rsid w:val="6BA27F58"/>
    <w:rsid w:val="6BE77884"/>
    <w:rsid w:val="6C214491"/>
    <w:rsid w:val="6D716441"/>
    <w:rsid w:val="6D8E15BD"/>
    <w:rsid w:val="6FA5791F"/>
    <w:rsid w:val="7210062A"/>
    <w:rsid w:val="730816B4"/>
    <w:rsid w:val="73A776A3"/>
    <w:rsid w:val="73BA7967"/>
    <w:rsid w:val="73CE6C44"/>
    <w:rsid w:val="73EA1186"/>
    <w:rsid w:val="75A84EC3"/>
    <w:rsid w:val="75D51537"/>
    <w:rsid w:val="76091FD5"/>
    <w:rsid w:val="76514429"/>
    <w:rsid w:val="77064E1D"/>
    <w:rsid w:val="78224434"/>
    <w:rsid w:val="78323D55"/>
    <w:rsid w:val="78E57CE3"/>
    <w:rsid w:val="7A641B08"/>
    <w:rsid w:val="7AA97D8A"/>
    <w:rsid w:val="7B2A7C2F"/>
    <w:rsid w:val="7BF267D8"/>
    <w:rsid w:val="7D181D93"/>
    <w:rsid w:val="7D450DBD"/>
    <w:rsid w:val="7DB87120"/>
    <w:rsid w:val="7E1075B0"/>
    <w:rsid w:val="7E4731C7"/>
    <w:rsid w:val="7EB04601"/>
    <w:rsid w:val="7FC543CA"/>
    <w:rsid w:val="7FD82D8C"/>
    <w:rsid w:val="7FFD4E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9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49"/>
    <w:qFormat/>
    <w:uiPriority w:val="0"/>
    <w:pPr>
      <w:widowControl w:val="0"/>
      <w:adjustRightInd w:val="0"/>
      <w:snapToGrid w:val="0"/>
      <w:spacing w:line="360" w:lineRule="auto"/>
      <w:ind w:firstLine="883" w:firstLineChars="200"/>
      <w:jc w:val="both"/>
    </w:pPr>
    <w:rPr>
      <w:rFonts w:ascii="Times New Roman" w:hAnsi="Times New Roman" w:eastAsia="宋体" w:cs="Times New Roman"/>
      <w:sz w:val="21"/>
      <w:szCs w:val="21"/>
      <w:lang w:val="en-US" w:eastAsia="zh-CN" w:bidi="ar-SA"/>
    </w:rPr>
  </w:style>
  <w:style w:type="paragraph" w:styleId="4">
    <w:name w:val="heading 1"/>
    <w:basedOn w:val="1"/>
    <w:next w:val="1"/>
    <w:qFormat/>
    <w:uiPriority w:val="99"/>
    <w:pPr>
      <w:keepNext/>
      <w:keepLines/>
      <w:outlineLvl w:val="0"/>
    </w:pPr>
    <w:rPr>
      <w:rFonts w:ascii="黑体" w:hAnsi="黑体" w:eastAsia="宋体"/>
      <w:b/>
      <w:bCs/>
      <w:kern w:val="44"/>
      <w:sz w:val="24"/>
      <w:szCs w:val="44"/>
    </w:rPr>
  </w:style>
  <w:style w:type="paragraph" w:styleId="5">
    <w:name w:val="heading 2"/>
    <w:basedOn w:val="1"/>
    <w:next w:val="1"/>
    <w:qFormat/>
    <w:uiPriority w:val="0"/>
    <w:pPr>
      <w:keepNext/>
      <w:keepLines/>
      <w:jc w:val="left"/>
      <w:outlineLvl w:val="1"/>
    </w:pPr>
    <w:rPr>
      <w:rFonts w:ascii="Cambria" w:hAnsi="Cambria" w:eastAsia="宋体" w:cs="Times New Roman"/>
      <w:b/>
      <w:bCs/>
      <w:szCs w:val="32"/>
    </w:rPr>
  </w:style>
  <w:style w:type="paragraph" w:styleId="6">
    <w:name w:val="heading 3"/>
    <w:basedOn w:val="1"/>
    <w:next w:val="7"/>
    <w:qFormat/>
    <w:uiPriority w:val="99"/>
    <w:pPr>
      <w:keepNext/>
      <w:keepLines/>
      <w:spacing w:line="360" w:lineRule="auto"/>
      <w:outlineLvl w:val="2"/>
    </w:pPr>
    <w:rPr>
      <w:rFonts w:ascii="仿宋_GB2312" w:hAnsi="仿宋_GB2312" w:eastAsia="宋体"/>
      <w:b/>
      <w:bCs/>
      <w:szCs w:val="32"/>
    </w:rPr>
  </w:style>
  <w:style w:type="paragraph" w:styleId="9">
    <w:name w:val="heading 4"/>
    <w:basedOn w:val="1"/>
    <w:next w:val="1"/>
    <w:unhideWhenUsed/>
    <w:qFormat/>
    <w:uiPriority w:val="9"/>
    <w:pPr>
      <w:keepNext/>
      <w:keepLines/>
      <w:spacing w:line="360" w:lineRule="auto"/>
      <w:ind w:firstLine="0" w:firstLineChars="0"/>
      <w:jc w:val="center"/>
      <w:outlineLvl w:val="3"/>
    </w:pPr>
    <w:rPr>
      <w:rFonts w:ascii="Arial" w:hAnsi="Arial" w:eastAsia="黑体"/>
      <w:b/>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style>
  <w:style w:type="paragraph" w:styleId="3">
    <w:name w:val="Body Text 2"/>
    <w:basedOn w:val="1"/>
    <w:qFormat/>
    <w:uiPriority w:val="0"/>
    <w:pPr>
      <w:spacing w:after="120" w:line="480" w:lineRule="auto"/>
    </w:pPr>
    <w:rPr>
      <w:rFonts w:ascii="Times New Roman" w:hAnsi="Times New Roman" w:eastAsia="宋体" w:cs="Times New Roman"/>
    </w:rPr>
  </w:style>
  <w:style w:type="paragraph" w:styleId="7">
    <w:name w:val="Normal Indent"/>
    <w:basedOn w:val="1"/>
    <w:next w:val="8"/>
    <w:qFormat/>
    <w:uiPriority w:val="0"/>
    <w:pPr>
      <w:ind w:firstLine="420"/>
    </w:pPr>
    <w:rPr>
      <w:sz w:val="21"/>
    </w:rPr>
  </w:style>
  <w:style w:type="paragraph" w:styleId="8">
    <w:name w:val="toc 4"/>
    <w:basedOn w:val="1"/>
    <w:next w:val="1"/>
    <w:qFormat/>
    <w:uiPriority w:val="0"/>
    <w:pPr>
      <w:ind w:left="1260" w:leftChars="600"/>
    </w:pPr>
  </w:style>
  <w:style w:type="paragraph" w:styleId="10">
    <w:name w:val="annotation text"/>
    <w:basedOn w:val="1"/>
    <w:link w:val="42"/>
    <w:unhideWhenUsed/>
    <w:qFormat/>
    <w:uiPriority w:val="99"/>
    <w:rPr>
      <w:rFonts w:ascii="Calibri" w:hAnsi="Calibri" w:eastAsia="仿宋" w:cs="Times New Roman"/>
      <w:sz w:val="24"/>
      <w:szCs w:val="20"/>
    </w:rPr>
  </w:style>
  <w:style w:type="paragraph" w:styleId="11">
    <w:name w:val="Body Text Indent"/>
    <w:basedOn w:val="1"/>
    <w:qFormat/>
    <w:uiPriority w:val="0"/>
    <w:pPr>
      <w:spacing w:line="360" w:lineRule="auto"/>
      <w:ind w:firstLine="570"/>
    </w:pPr>
    <w:rPr>
      <w:rFonts w:ascii="Times New Roman" w:hAnsi="Times New Roman" w:eastAsia="宋体" w:cs="Times New Roman"/>
      <w:sz w:val="24"/>
    </w:rPr>
  </w:style>
  <w:style w:type="paragraph" w:styleId="12">
    <w:name w:val="Balloon Text"/>
    <w:basedOn w:val="1"/>
    <w:link w:val="44"/>
    <w:semiHidden/>
    <w:unhideWhenUsed/>
    <w:qFormat/>
    <w:uiPriority w:val="99"/>
    <w:pPr>
      <w:spacing w:line="240" w:lineRule="auto"/>
    </w:pPr>
    <w:rPr>
      <w:sz w:val="18"/>
      <w:szCs w:val="18"/>
    </w:rPr>
  </w:style>
  <w:style w:type="paragraph" w:styleId="13">
    <w:name w:val="footer"/>
    <w:basedOn w:val="1"/>
    <w:link w:val="31"/>
    <w:unhideWhenUsed/>
    <w:qFormat/>
    <w:uiPriority w:val="99"/>
    <w:pPr>
      <w:tabs>
        <w:tab w:val="center" w:pos="4153"/>
        <w:tab w:val="right" w:pos="8306"/>
      </w:tabs>
      <w:jc w:val="left"/>
    </w:pPr>
    <w:rPr>
      <w:sz w:val="18"/>
      <w:szCs w:val="18"/>
    </w:rPr>
  </w:style>
  <w:style w:type="paragraph" w:styleId="14">
    <w:name w:val="header"/>
    <w:basedOn w:val="1"/>
    <w:link w:val="30"/>
    <w:unhideWhenUsed/>
    <w:qFormat/>
    <w:uiPriority w:val="99"/>
    <w:pPr>
      <w:pBdr>
        <w:bottom w:val="single" w:color="auto" w:sz="6" w:space="1"/>
      </w:pBdr>
      <w:tabs>
        <w:tab w:val="center" w:pos="4153"/>
        <w:tab w:val="right" w:pos="8306"/>
      </w:tabs>
      <w:jc w:val="center"/>
    </w:pPr>
    <w:rPr>
      <w:sz w:val="18"/>
      <w:szCs w:val="18"/>
    </w:rPr>
  </w:style>
  <w:style w:type="paragraph" w:styleId="15">
    <w:name w:val="toc 1"/>
    <w:basedOn w:val="1"/>
    <w:next w:val="1"/>
    <w:qFormat/>
    <w:uiPriority w:val="39"/>
    <w:pPr>
      <w:tabs>
        <w:tab w:val="right" w:leader="dot" w:pos="9356"/>
      </w:tabs>
      <w:spacing w:line="360" w:lineRule="auto"/>
      <w:ind w:firstLine="0" w:firstLineChars="0"/>
    </w:pPr>
    <w:rPr>
      <w:rFonts w:ascii="黑体" w:hAnsi="黑体" w:cs="仿宋_GB2312" w:eastAsiaTheme="minorEastAsia"/>
      <w:bCs/>
      <w:color w:val="000000"/>
      <w:sz w:val="28"/>
      <w:szCs w:val="28"/>
    </w:rPr>
  </w:style>
  <w:style w:type="paragraph" w:styleId="16">
    <w:name w:val="toc 2"/>
    <w:basedOn w:val="1"/>
    <w:next w:val="1"/>
    <w:semiHidden/>
    <w:unhideWhenUsed/>
    <w:qFormat/>
    <w:uiPriority w:val="39"/>
    <w:pPr>
      <w:ind w:firstLine="663" w:firstLineChars="150"/>
    </w:pPr>
    <w:rPr>
      <w:sz w:val="24"/>
    </w:rPr>
  </w:style>
  <w:style w:type="paragraph" w:styleId="17">
    <w:name w:val="Normal (Web)"/>
    <w:basedOn w:val="1"/>
    <w:semiHidden/>
    <w:unhideWhenUsed/>
    <w:qFormat/>
    <w:uiPriority w:val="99"/>
    <w:pPr>
      <w:spacing w:beforeAutospacing="1" w:afterAutospacing="1"/>
      <w:jc w:val="left"/>
    </w:pPr>
    <w:rPr>
      <w:rFonts w:cs="Times New Roman"/>
      <w:sz w:val="24"/>
    </w:rPr>
  </w:style>
  <w:style w:type="paragraph" w:styleId="18">
    <w:name w:val="annotation subject"/>
    <w:basedOn w:val="10"/>
    <w:next w:val="10"/>
    <w:link w:val="43"/>
    <w:semiHidden/>
    <w:unhideWhenUsed/>
    <w:qFormat/>
    <w:uiPriority w:val="99"/>
    <w:pPr>
      <w:jc w:val="left"/>
    </w:pPr>
    <w:rPr>
      <w:rFonts w:ascii="宋体" w:hAnsi="宋体" w:eastAsia="方正仿宋_GBK" w:cs="宋体"/>
      <w:b/>
      <w:bCs/>
      <w:sz w:val="32"/>
      <w:szCs w:val="21"/>
    </w:rPr>
  </w:style>
  <w:style w:type="paragraph" w:styleId="19">
    <w:name w:val="Body Text First Indent"/>
    <w:basedOn w:val="2"/>
    <w:next w:val="2"/>
    <w:qFormat/>
    <w:uiPriority w:val="0"/>
  </w:style>
  <w:style w:type="paragraph" w:styleId="20">
    <w:name w:val="Body Text First Indent 2"/>
    <w:basedOn w:val="11"/>
    <w:qFormat/>
    <w:uiPriority w:val="0"/>
    <w:pPr>
      <w:ind w:firstLine="420"/>
    </w:pPr>
  </w:style>
  <w:style w:type="table" w:styleId="22">
    <w:name w:val="Table Grid"/>
    <w:basedOn w:val="21"/>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qFormat/>
    <w:uiPriority w:val="0"/>
    <w:rPr>
      <w:b/>
      <w:bCs/>
    </w:rPr>
  </w:style>
  <w:style w:type="character" w:styleId="25">
    <w:name w:val="page number"/>
    <w:basedOn w:val="23"/>
    <w:qFormat/>
    <w:uiPriority w:val="0"/>
  </w:style>
  <w:style w:type="character" w:styleId="26">
    <w:name w:val="annotation reference"/>
    <w:basedOn w:val="23"/>
    <w:semiHidden/>
    <w:unhideWhenUsed/>
    <w:qFormat/>
    <w:uiPriority w:val="99"/>
    <w:rPr>
      <w:sz w:val="21"/>
      <w:szCs w:val="21"/>
    </w:rPr>
  </w:style>
  <w:style w:type="paragraph" w:customStyle="1" w:styleId="27">
    <w:name w:val="Heading3"/>
    <w:basedOn w:val="1"/>
    <w:next w:val="1"/>
    <w:autoRedefine/>
    <w:qFormat/>
    <w:uiPriority w:val="0"/>
    <w:pPr>
      <w:keepNext/>
      <w:keepLines/>
      <w:spacing w:before="260" w:after="260" w:line="416" w:lineRule="auto"/>
      <w:textAlignment w:val="baseline"/>
    </w:pPr>
    <w:rPr>
      <w:b/>
      <w:bCs/>
      <w:sz w:val="32"/>
      <w:szCs w:val="32"/>
    </w:rPr>
  </w:style>
  <w:style w:type="paragraph" w:customStyle="1" w:styleId="28">
    <w:name w:val="text-tag"/>
    <w:basedOn w:val="1"/>
    <w:qFormat/>
    <w:uiPriority w:val="0"/>
    <w:pPr>
      <w:widowControl/>
      <w:spacing w:before="100" w:beforeAutospacing="1" w:after="100" w:afterAutospacing="1"/>
      <w:jc w:val="left"/>
    </w:pPr>
    <w:rPr>
      <w:rFonts w:eastAsia="宋体"/>
      <w:sz w:val="24"/>
      <w:szCs w:val="24"/>
    </w:rPr>
  </w:style>
  <w:style w:type="paragraph" w:customStyle="1" w:styleId="29">
    <w:name w:val="0"/>
    <w:basedOn w:val="1"/>
    <w:qFormat/>
    <w:uiPriority w:val="0"/>
    <w:pPr>
      <w:widowControl/>
      <w:spacing w:line="365" w:lineRule="atLeast"/>
      <w:ind w:left="1"/>
    </w:pPr>
    <w:rPr>
      <w:rFonts w:ascii="Times New Roman" w:hAnsi="Times New Roman" w:eastAsia="宋体" w:cs="Times New Roman"/>
      <w:sz w:val="20"/>
      <w:szCs w:val="20"/>
    </w:rPr>
  </w:style>
  <w:style w:type="character" w:customStyle="1" w:styleId="30">
    <w:name w:val="页眉 Char"/>
    <w:basedOn w:val="23"/>
    <w:link w:val="14"/>
    <w:qFormat/>
    <w:uiPriority w:val="99"/>
    <w:rPr>
      <w:sz w:val="18"/>
      <w:szCs w:val="18"/>
    </w:rPr>
  </w:style>
  <w:style w:type="character" w:customStyle="1" w:styleId="31">
    <w:name w:val="页脚 Char"/>
    <w:basedOn w:val="23"/>
    <w:link w:val="13"/>
    <w:qFormat/>
    <w:uiPriority w:val="99"/>
    <w:rPr>
      <w:sz w:val="18"/>
      <w:szCs w:val="18"/>
    </w:rPr>
  </w:style>
  <w:style w:type="paragraph" w:customStyle="1" w:styleId="32">
    <w:name w:val="闻政-正文二级标题"/>
    <w:basedOn w:val="5"/>
    <w:next w:val="33"/>
    <w:qFormat/>
    <w:uiPriority w:val="3"/>
    <w:pPr>
      <w:spacing w:before="120" w:after="60" w:line="500" w:lineRule="exact"/>
      <w:ind w:left="200" w:leftChars="200" w:firstLine="0" w:firstLineChars="0"/>
    </w:pPr>
    <w:rPr>
      <w:rFonts w:ascii="Times New Roman" w:hAnsi="Times New Roman"/>
      <w:sz w:val="28"/>
    </w:rPr>
  </w:style>
  <w:style w:type="paragraph" w:customStyle="1" w:styleId="33">
    <w:name w:val="闻政-正文段落文字"/>
    <w:basedOn w:val="1"/>
    <w:qFormat/>
    <w:uiPriority w:val="3"/>
    <w:pPr>
      <w:spacing w:line="500" w:lineRule="exact"/>
      <w:ind w:firstLine="200"/>
    </w:pPr>
    <w:rPr>
      <w:rFonts w:ascii="Times New Roman" w:hAnsi="Times New Roman" w:cs="Times New Roman"/>
      <w:szCs w:val="28"/>
    </w:rPr>
  </w:style>
  <w:style w:type="paragraph" w:customStyle="1" w:styleId="34">
    <w:name w:val="闻政-正文一级标题"/>
    <w:basedOn w:val="6"/>
    <w:next w:val="33"/>
    <w:qFormat/>
    <w:uiPriority w:val="3"/>
    <w:pPr>
      <w:spacing w:before="120" w:after="60" w:line="500" w:lineRule="exact"/>
      <w:ind w:firstLine="0" w:firstLineChars="0"/>
      <w:outlineLvl w:val="0"/>
    </w:pPr>
    <w:rPr>
      <w:rFonts w:ascii="黑体" w:hAnsi="黑体" w:eastAsia="黑体"/>
    </w:rPr>
  </w:style>
  <w:style w:type="paragraph" w:styleId="35">
    <w:name w:val="List Paragraph"/>
    <w:basedOn w:val="1"/>
    <w:qFormat/>
    <w:uiPriority w:val="34"/>
    <w:pPr>
      <w:ind w:firstLine="420"/>
    </w:pPr>
  </w:style>
  <w:style w:type="paragraph" w:customStyle="1" w:styleId="36">
    <w:name w:val="正文 A"/>
    <w:qFormat/>
    <w:uiPriority w:val="99"/>
    <w:pPr>
      <w:widowControl w:val="0"/>
      <w:spacing w:before="50" w:after="50" w:line="360" w:lineRule="auto"/>
    </w:pPr>
    <w:rPr>
      <w:rFonts w:ascii="Times New Roman" w:hAnsi="Arial Unicode MS" w:eastAsia="Times New Roman" w:cs="Arial Unicode MS"/>
      <w:color w:val="000000"/>
      <w:kern w:val="2"/>
      <w:sz w:val="28"/>
      <w:szCs w:val="28"/>
      <w:u w:color="000000"/>
      <w:lang w:val="en-US" w:eastAsia="zh-CN" w:bidi="ar-SA"/>
    </w:rPr>
  </w:style>
  <w:style w:type="paragraph" w:customStyle="1" w:styleId="37">
    <w:name w:val="WPSOffice手动目录 1"/>
    <w:qFormat/>
    <w:uiPriority w:val="0"/>
    <w:rPr>
      <w:rFonts w:ascii="Times New Roman" w:hAnsi="Times New Roman" w:eastAsia="宋体" w:cs="Times New Roman"/>
      <w:lang w:val="en-US" w:eastAsia="zh-CN" w:bidi="ar-SA"/>
    </w:rPr>
  </w:style>
  <w:style w:type="paragraph" w:customStyle="1" w:styleId="38">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39">
    <w:name w:val="无间隔1"/>
    <w:qFormat/>
    <w:uiPriority w:val="1"/>
    <w:pPr>
      <w:widowControl w:val="0"/>
      <w:spacing w:line="660" w:lineRule="exact"/>
      <w:ind w:firstLine="560" w:firstLineChars="200"/>
    </w:pPr>
    <w:rPr>
      <w:rFonts w:ascii="仿宋_GB2312" w:hAnsi="Calibri" w:eastAsia="仿宋_GB2312" w:cs="Times New Roman"/>
      <w:kern w:val="10"/>
      <w:sz w:val="28"/>
      <w:szCs w:val="28"/>
      <w:lang w:val="en-US" w:eastAsia="zh-CN" w:bidi="en-US"/>
    </w:rPr>
  </w:style>
  <w:style w:type="character" w:customStyle="1" w:styleId="40">
    <w:name w:val="font01"/>
    <w:basedOn w:val="23"/>
    <w:qFormat/>
    <w:uiPriority w:val="0"/>
    <w:rPr>
      <w:rFonts w:hint="eastAsia" w:ascii="宋体" w:hAnsi="宋体" w:eastAsia="宋体" w:cs="宋体"/>
      <w:color w:val="000000"/>
      <w:sz w:val="20"/>
      <w:szCs w:val="20"/>
      <w:u w:val="none"/>
    </w:rPr>
  </w:style>
  <w:style w:type="character" w:customStyle="1" w:styleId="41">
    <w:name w:val="font41"/>
    <w:basedOn w:val="23"/>
    <w:qFormat/>
    <w:uiPriority w:val="0"/>
    <w:rPr>
      <w:rFonts w:hint="eastAsia" w:ascii="宋体" w:hAnsi="宋体" w:eastAsia="宋体" w:cs="宋体"/>
      <w:color w:val="000000"/>
      <w:sz w:val="20"/>
      <w:szCs w:val="20"/>
      <w:u w:val="none"/>
    </w:rPr>
  </w:style>
  <w:style w:type="character" w:customStyle="1" w:styleId="42">
    <w:name w:val="批注文字 Char"/>
    <w:basedOn w:val="23"/>
    <w:link w:val="10"/>
    <w:qFormat/>
    <w:uiPriority w:val="99"/>
    <w:rPr>
      <w:rFonts w:ascii="Calibri" w:hAnsi="Calibri" w:eastAsia="仿宋"/>
      <w:sz w:val="24"/>
    </w:rPr>
  </w:style>
  <w:style w:type="character" w:customStyle="1" w:styleId="43">
    <w:name w:val="批注主题 Char"/>
    <w:basedOn w:val="42"/>
    <w:link w:val="18"/>
    <w:semiHidden/>
    <w:qFormat/>
    <w:uiPriority w:val="99"/>
    <w:rPr>
      <w:rFonts w:ascii="宋体" w:hAnsi="宋体" w:eastAsia="方正仿宋_GBK" w:cs="宋体"/>
      <w:b/>
      <w:bCs/>
      <w:sz w:val="32"/>
      <w:szCs w:val="21"/>
    </w:rPr>
  </w:style>
  <w:style w:type="character" w:customStyle="1" w:styleId="44">
    <w:name w:val="批注框文本 Char"/>
    <w:basedOn w:val="23"/>
    <w:link w:val="12"/>
    <w:semiHidden/>
    <w:qFormat/>
    <w:uiPriority w:val="99"/>
    <w:rPr>
      <w:rFonts w:ascii="宋体" w:hAnsi="宋体" w:eastAsia="方正仿宋_GBK" w:cs="宋体"/>
      <w:sz w:val="18"/>
      <w:szCs w:val="18"/>
    </w:rPr>
  </w:style>
  <w:style w:type="character" w:customStyle="1" w:styleId="45">
    <w:name w:val="font11"/>
    <w:basedOn w:val="23"/>
    <w:qFormat/>
    <w:uiPriority w:val="0"/>
    <w:rPr>
      <w:rFonts w:hint="eastAsia" w:ascii="宋体" w:hAnsi="宋体" w:eastAsia="宋体" w:cs="宋体"/>
      <w:b/>
      <w:bCs/>
      <w:color w:val="000000"/>
      <w:sz w:val="28"/>
      <w:szCs w:val="28"/>
      <w:u w:val="none"/>
    </w:rPr>
  </w:style>
  <w:style w:type="character" w:customStyle="1" w:styleId="46">
    <w:name w:val="font21"/>
    <w:basedOn w:val="23"/>
    <w:qFormat/>
    <w:uiPriority w:val="0"/>
    <w:rPr>
      <w:rFonts w:hint="eastAsia" w:ascii="宋体" w:hAnsi="宋体" w:eastAsia="宋体" w:cs="宋体"/>
      <w:b/>
      <w:bCs/>
      <w:color w:val="000000"/>
      <w:sz w:val="22"/>
      <w:szCs w:val="22"/>
      <w:u w:val="none"/>
    </w:rPr>
  </w:style>
  <w:style w:type="character" w:customStyle="1" w:styleId="47">
    <w:name w:val="font31"/>
    <w:basedOn w:val="23"/>
    <w:qFormat/>
    <w:uiPriority w:val="0"/>
    <w:rPr>
      <w:rFonts w:hint="default" w:ascii="Times New Roman" w:hAnsi="Times New Roman" w:cs="Times New Roman"/>
      <w:b/>
      <w:bCs/>
      <w:color w:val="000000"/>
      <w:sz w:val="20"/>
      <w:szCs w:val="20"/>
      <w:u w:val="none"/>
    </w:rPr>
  </w:style>
  <w:style w:type="character" w:customStyle="1" w:styleId="48">
    <w:name w:val="font71"/>
    <w:basedOn w:val="23"/>
    <w:qFormat/>
    <w:uiPriority w:val="0"/>
    <w:rPr>
      <w:rFonts w:hint="default" w:ascii="Times New Roman" w:hAnsi="Times New Roman" w:cs="Times New Roman"/>
      <w:b/>
      <w:bCs/>
      <w:color w:val="000000"/>
      <w:sz w:val="20"/>
      <w:szCs w:val="20"/>
      <w:u w:val="none"/>
    </w:rPr>
  </w:style>
  <w:style w:type="character" w:customStyle="1" w:styleId="49">
    <w:name w:val="NormalCharacter"/>
    <w:link w:val="1"/>
    <w:autoRedefine/>
    <w:semiHidden/>
    <w:qFormat/>
    <w:uiPriority w:val="0"/>
    <w:rPr>
      <w:rFonts w:ascii="Times New Roman" w:hAnsi="Times New Roman" w:eastAsia="宋体" w:cs="Times New Roman"/>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2.jpeg"/><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41</Pages>
  <Words>5026</Words>
  <Characters>5827</Characters>
  <Lines>1155</Lines>
  <Paragraphs>325</Paragraphs>
  <TotalTime>104</TotalTime>
  <ScaleCrop>false</ScaleCrop>
  <LinksUpToDate>false</LinksUpToDate>
  <CharactersWithSpaces>5936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2020-09-22T07:41:00Z</dcterms:created>
  <dc:creator>Lenovo</dc:creator>
  <cp:lastModifiedBy>孙婕</cp:lastModifiedBy>
  <dcterms:modified xsi:type="dcterms:W3CDTF">2025-09-07T14:15:37Z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3DE1D03D991043DBB18165BD83CF0042_13</vt:lpwstr>
  </property>
  <property fmtid="{D5CDD505-2E9C-101B-9397-08002B2CF9AE}" pid="4" name="KSOTemplateDocerSaveRecord">
    <vt:lpwstr>eyJoZGlkIjoiZjNiYTgwNzYyZDQ4ZTA3ZGVkYjdkY2Y3ODg5MTgwZGYiLCJ1c2VySWQiOiI0MzE2MTM5MTcifQ==</vt:lpwstr>
  </property>
</Properties>
</file>