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highlight w:val="none"/>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highlight w:val="none"/>
        </w:rPr>
      </w:pPr>
    </w:p>
    <w:p w14:paraId="3EADF377">
      <w:pPr>
        <w:pageBreakBefore w:val="0"/>
        <w:pBdr>
          <w:bottom w:val="dotDotDash" w:color="auto" w:sz="24" w:space="10"/>
        </w:pBdr>
        <w:kinsoku/>
        <w:wordWrap/>
        <w:overflowPunct/>
        <w:topLinePunct w:val="0"/>
        <w:autoSpaceDE/>
        <w:autoSpaceDN/>
        <w:bidi w:val="0"/>
        <w:adjustRightInd w:val="0"/>
        <w:snapToGrid w:val="0"/>
        <w:spacing w:before="156" w:beforeLines="50" w:after="157" w:afterLines="50" w:line="240" w:lineRule="auto"/>
        <w:ind w:firstLine="0" w:firstLineChars="0"/>
        <w:jc w:val="center"/>
        <w:textAlignment w:val="center"/>
        <w:rPr>
          <w:rFonts w:hint="eastAsia" w:eastAsia="黑体"/>
          <w:b/>
          <w:color w:val="auto"/>
          <w:sz w:val="44"/>
          <w:szCs w:val="22"/>
          <w:highlight w:val="none"/>
          <w:lang w:val="en-US" w:eastAsia="zh-CN"/>
        </w:rPr>
      </w:pPr>
      <w:r>
        <w:rPr>
          <w:rFonts w:hint="eastAsia" w:eastAsia="黑体"/>
          <w:b/>
          <w:color w:val="auto"/>
          <w:sz w:val="44"/>
          <w:szCs w:val="22"/>
          <w:highlight w:val="none"/>
          <w:lang w:val="en-US" w:eastAsia="zh-CN"/>
        </w:rPr>
        <w:t>伊宁县文化体育广播电视和旅游局</w:t>
      </w:r>
    </w:p>
    <w:p w14:paraId="5FBF8F80">
      <w:pPr>
        <w:pageBreakBefore w:val="0"/>
        <w:pBdr>
          <w:bottom w:val="dotDotDash" w:color="auto" w:sz="24" w:space="10"/>
        </w:pBdr>
        <w:kinsoku/>
        <w:wordWrap/>
        <w:overflowPunct/>
        <w:topLinePunct w:val="0"/>
        <w:autoSpaceDE/>
        <w:autoSpaceDN/>
        <w:bidi w:val="0"/>
        <w:adjustRightInd w:val="0"/>
        <w:snapToGrid w:val="0"/>
        <w:spacing w:before="156" w:beforeLines="50" w:after="157" w:afterLines="50" w:line="240" w:lineRule="auto"/>
        <w:ind w:firstLine="0" w:firstLineChars="0"/>
        <w:jc w:val="center"/>
        <w:textAlignment w:val="center"/>
        <w:rPr>
          <w:rFonts w:hint="default" w:eastAsia="黑体"/>
          <w:b/>
          <w:color w:val="auto"/>
          <w:sz w:val="44"/>
          <w:szCs w:val="22"/>
          <w:highlight w:val="none"/>
          <w:lang w:val="en-US" w:eastAsia="zh-CN"/>
        </w:rPr>
      </w:pPr>
      <w:r>
        <w:rPr>
          <w:rFonts w:hint="eastAsia" w:eastAsia="黑体"/>
          <w:b/>
          <w:color w:val="auto"/>
          <w:sz w:val="44"/>
          <w:szCs w:val="22"/>
          <w:highlight w:val="none"/>
          <w:lang w:val="en-US" w:eastAsia="zh-CN"/>
        </w:rPr>
        <w:t>伊宁县全民健身场地设施项目</w:t>
      </w:r>
    </w:p>
    <w:p w14:paraId="46AF5042">
      <w:pPr>
        <w:pageBreakBefore w:val="0"/>
        <w:kinsoku/>
        <w:wordWrap/>
        <w:overflowPunct/>
        <w:topLinePunct w:val="0"/>
        <w:autoSpaceDE/>
        <w:autoSpaceDN/>
        <w:bidi w:val="0"/>
        <w:adjustRightInd/>
        <w:snapToGrid w:val="0"/>
        <w:spacing w:before="0" w:after="0" w:line="360" w:lineRule="auto"/>
        <w:ind w:firstLine="0" w:firstLineChars="0"/>
        <w:jc w:val="center"/>
        <w:rPr>
          <w:rFonts w:eastAsia="黑体"/>
          <w:color w:val="auto"/>
          <w:sz w:val="44"/>
          <w:szCs w:val="44"/>
          <w:highlight w:val="none"/>
        </w:rPr>
      </w:pPr>
      <w:r>
        <w:rPr>
          <w:rFonts w:eastAsia="黑体"/>
          <w:color w:val="auto"/>
          <w:spacing w:val="23"/>
          <w:kern w:val="0"/>
          <w:sz w:val="44"/>
          <w:szCs w:val="44"/>
          <w:highlight w:val="none"/>
          <w:fitText w:val="2872" w:id="1924366299"/>
        </w:rPr>
        <w:t>绩效评价报</w:t>
      </w:r>
      <w:r>
        <w:rPr>
          <w:rFonts w:eastAsia="黑体"/>
          <w:color w:val="auto"/>
          <w:spacing w:val="1"/>
          <w:kern w:val="0"/>
          <w:sz w:val="44"/>
          <w:szCs w:val="44"/>
          <w:highlight w:val="none"/>
          <w:fitText w:val="2872" w:id="1924366299"/>
        </w:rPr>
        <w:t>告</w:t>
      </w:r>
    </w:p>
    <w:p w14:paraId="4665743B">
      <w:pPr>
        <w:pageBreakBefore w:val="0"/>
        <w:kinsoku/>
        <w:wordWrap/>
        <w:overflowPunct/>
        <w:topLinePunct w:val="0"/>
        <w:autoSpaceDE/>
        <w:autoSpaceDN/>
        <w:bidi w:val="0"/>
        <w:adjustRightInd/>
        <w:snapToGrid w:val="0"/>
        <w:spacing w:before="0" w:after="0" w:line="360" w:lineRule="auto"/>
        <w:ind w:firstLine="0" w:firstLineChars="0"/>
        <w:jc w:val="center"/>
        <w:rPr>
          <w:color w:val="auto"/>
          <w:highlight w:val="none"/>
        </w:rPr>
      </w:pPr>
      <w:r>
        <w:rPr>
          <w:rFonts w:hint="eastAsia" w:eastAsia="黑体"/>
          <w:color w:val="auto"/>
          <w:highlight w:val="none"/>
        </w:rPr>
        <w:t>驰天会咨字[2025]1-0147号</w:t>
      </w:r>
    </w:p>
    <w:p w14:paraId="7B01BBEE">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7DEF80D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6CDDF738">
      <w:pPr>
        <w:pageBreakBefore w:val="0"/>
        <w:kinsoku/>
        <w:wordWrap/>
        <w:overflowPunct/>
        <w:topLinePunct w:val="0"/>
        <w:autoSpaceDE/>
        <w:autoSpaceDN/>
        <w:bidi w:val="0"/>
        <w:adjustRightInd/>
        <w:snapToGrid w:val="0"/>
        <w:spacing w:before="0" w:after="0" w:line="360" w:lineRule="auto"/>
        <w:ind w:firstLine="0" w:firstLineChars="0"/>
        <w:jc w:val="both"/>
        <w:rPr>
          <w:b/>
          <w:color w:val="auto"/>
          <w:sz w:val="32"/>
          <w:szCs w:val="22"/>
          <w:highlight w:val="none"/>
        </w:rPr>
      </w:pPr>
    </w:p>
    <w:p w14:paraId="6F24607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0A28AE8B">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p>
    <w:p w14:paraId="34E93FB9">
      <w:pPr>
        <w:pageBreakBefore w:val="0"/>
        <w:kinsoku/>
        <w:wordWrap/>
        <w:overflowPunct/>
        <w:topLinePunct w:val="0"/>
        <w:autoSpaceDE/>
        <w:autoSpaceDN/>
        <w:bidi w:val="0"/>
        <w:adjustRightInd/>
        <w:snapToGrid w:val="0"/>
        <w:spacing w:before="0" w:after="0" w:line="360" w:lineRule="auto"/>
        <w:ind w:firstLine="0" w:firstLineChars="0"/>
        <w:rPr>
          <w:b/>
          <w:color w:val="auto"/>
          <w:sz w:val="32"/>
          <w:szCs w:val="22"/>
          <w:highlight w:val="none"/>
        </w:rPr>
      </w:pPr>
    </w:p>
    <w:p w14:paraId="73060623">
      <w:pPr>
        <w:pStyle w:val="2"/>
        <w:pageBreakBefore w:val="0"/>
        <w:kinsoku/>
        <w:wordWrap/>
        <w:overflowPunct/>
        <w:topLinePunct w:val="0"/>
        <w:autoSpaceDE/>
        <w:autoSpaceDN/>
        <w:bidi w:val="0"/>
        <w:snapToGrid w:val="0"/>
        <w:spacing w:before="0" w:after="0" w:line="360" w:lineRule="auto"/>
        <w:ind w:firstLine="643"/>
        <w:rPr>
          <w:b/>
          <w:color w:val="auto"/>
          <w:sz w:val="32"/>
          <w:szCs w:val="22"/>
          <w:highlight w:val="none"/>
        </w:rPr>
      </w:pPr>
    </w:p>
    <w:p w14:paraId="4E728259">
      <w:pPr>
        <w:pStyle w:val="3"/>
        <w:spacing w:line="360" w:lineRule="auto"/>
        <w:rPr>
          <w:color w:val="auto"/>
          <w:highlight w:val="none"/>
        </w:rPr>
      </w:pPr>
    </w:p>
    <w:p w14:paraId="7227AFBE">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215C2F70">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0454EF87">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5DDF17C0">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5F2D1FE1">
      <w:pPr>
        <w:pStyle w:val="3"/>
        <w:pageBreakBefore w:val="0"/>
        <w:kinsoku/>
        <w:wordWrap/>
        <w:overflowPunct/>
        <w:topLinePunct w:val="0"/>
        <w:autoSpaceDE/>
        <w:autoSpaceDN/>
        <w:bidi w:val="0"/>
        <w:snapToGrid w:val="0"/>
        <w:spacing w:before="0" w:after="0" w:line="360" w:lineRule="auto"/>
        <w:ind w:firstLine="420"/>
        <w:rPr>
          <w:color w:val="auto"/>
          <w:highlight w:val="none"/>
        </w:rPr>
      </w:pPr>
    </w:p>
    <w:p w14:paraId="1EC68202">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highlight w:val="none"/>
        </w:rPr>
      </w:pPr>
      <w:r>
        <w:rPr>
          <w:b/>
          <w:color w:val="auto"/>
          <w:sz w:val="32"/>
          <w:szCs w:val="22"/>
          <w:highlight w:val="none"/>
        </w:rPr>
        <w:t>新疆驰远天合有限责任会计师事务所</w:t>
      </w:r>
    </w:p>
    <w:p w14:paraId="517D1E4B">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sz w:val="28"/>
          <w:szCs w:val="28"/>
          <w:highlight w:val="none"/>
        </w:rPr>
      </w:pPr>
      <w:r>
        <w:rPr>
          <w:rFonts w:eastAsia="等线"/>
          <w:b/>
          <w:color w:val="auto"/>
          <w:sz w:val="28"/>
          <w:szCs w:val="28"/>
          <w:highlight w:val="none"/>
        </w:rPr>
        <w:t>XIN JIANG CHI YUAN TIAN HE</w:t>
      </w:r>
    </w:p>
    <w:p w14:paraId="633CE8E1">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highlight w:val="none"/>
        </w:rPr>
      </w:pPr>
      <w:r>
        <w:rPr>
          <w:rFonts w:eastAsia="等线"/>
          <w:b/>
          <w:color w:val="auto"/>
          <w:highlight w:val="none"/>
        </w:rPr>
        <w:t>Certified Public Accountants Co.,Ltd.</w:t>
      </w:r>
    </w:p>
    <w:p w14:paraId="11CAA934">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7B1C134F">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highlight w:val="none"/>
        </w:rPr>
      </w:pPr>
    </w:p>
    <w:p w14:paraId="3E197C77">
      <w:pPr>
        <w:pageBreakBefore w:val="0"/>
        <w:kinsoku/>
        <w:wordWrap/>
        <w:overflowPunct/>
        <w:topLinePunct w:val="0"/>
        <w:autoSpaceDE/>
        <w:autoSpaceDN/>
        <w:bidi w:val="0"/>
        <w:snapToGrid/>
        <w:spacing w:line="240" w:lineRule="auto"/>
        <w:ind w:firstLine="0" w:firstLineChars="0"/>
        <w:rPr>
          <w:rFonts w:eastAsia="黑体"/>
          <w:bCs/>
          <w:color w:val="auto"/>
          <w:sz w:val="24"/>
          <w:szCs w:val="24"/>
          <w:highlight w:val="none"/>
        </w:rPr>
      </w:pPr>
      <w:r>
        <w:rPr>
          <w:rFonts w:eastAsia="黑体"/>
          <w:bCs/>
          <w:color w:val="auto"/>
          <w:sz w:val="24"/>
          <w:szCs w:val="24"/>
          <w:highlight w:val="none"/>
        </w:rPr>
        <w:br w:type="page"/>
      </w:r>
    </w:p>
    <w:p w14:paraId="4328EEFC">
      <w:pPr>
        <w:pageBreakBefore w:val="0"/>
        <w:kinsoku/>
        <w:wordWrap/>
        <w:overflowPunct/>
        <w:topLinePunct w:val="0"/>
        <w:autoSpaceDE/>
        <w:autoSpaceDN/>
        <w:bidi w:val="0"/>
        <w:snapToGrid w:val="0"/>
        <w:spacing w:line="360" w:lineRule="auto"/>
        <w:ind w:firstLine="0" w:firstLineChars="0"/>
        <w:rPr>
          <w:rFonts w:hint="default" w:eastAsia="黑体"/>
          <w:bCs/>
          <w:color w:val="auto"/>
          <w:sz w:val="24"/>
          <w:szCs w:val="24"/>
          <w:highlight w:val="none"/>
          <w:lang w:val="en-US" w:eastAsia="zh-CN"/>
        </w:rPr>
      </w:pPr>
      <w:r>
        <w:rPr>
          <w:rFonts w:eastAsia="黑体"/>
          <w:bCs/>
          <w:color w:val="auto"/>
          <w:sz w:val="24"/>
          <w:szCs w:val="24"/>
          <w:highlight w:val="none"/>
        </w:rPr>
        <w:t>项目名称：</w:t>
      </w:r>
      <w:r>
        <w:rPr>
          <w:rFonts w:hint="eastAsia" w:eastAsia="黑体" w:cs="Times New Roman"/>
          <w:b w:val="0"/>
          <w:bCs/>
          <w:color w:val="auto"/>
          <w:sz w:val="24"/>
          <w:szCs w:val="24"/>
          <w:highlight w:val="none"/>
          <w:lang w:val="en-US" w:eastAsia="zh-CN"/>
        </w:rPr>
        <w:t>伊宁县</w:t>
      </w:r>
      <w:r>
        <w:rPr>
          <w:rFonts w:hint="default" w:ascii="Times New Roman" w:hAnsi="Times New Roman" w:eastAsia="黑体" w:cs="Times New Roman"/>
          <w:b w:val="0"/>
          <w:bCs/>
          <w:color w:val="auto"/>
          <w:sz w:val="24"/>
          <w:szCs w:val="24"/>
          <w:highlight w:val="none"/>
          <w:lang w:val="en-US" w:eastAsia="zh-CN"/>
        </w:rPr>
        <w:t>全民健身场地设施项目</w:t>
      </w:r>
    </w:p>
    <w:p w14:paraId="2F749B7E">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委托单位：</w:t>
      </w:r>
      <w:r>
        <w:rPr>
          <w:rFonts w:hint="eastAsia" w:eastAsia="黑体" w:cs="Times New Roman"/>
          <w:b w:val="0"/>
          <w:bCs/>
          <w:color w:val="auto"/>
          <w:sz w:val="24"/>
          <w:szCs w:val="24"/>
          <w:highlight w:val="none"/>
          <w:lang w:val="en-US" w:eastAsia="zh-CN"/>
        </w:rPr>
        <w:t>伊宁县财政局</w:t>
      </w:r>
    </w:p>
    <w:p w14:paraId="2E699E67">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评价机构：新疆驰远天合有限责任会计师事务所</w:t>
      </w:r>
    </w:p>
    <w:p w14:paraId="140DB964">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机构负责人：孙卫红</w:t>
      </w:r>
    </w:p>
    <w:p w14:paraId="60872358">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联系方式：0991-2835917、0991-2831583</w:t>
      </w:r>
    </w:p>
    <w:p w14:paraId="221EAD1D">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通讯地址：新疆乌鲁木齐市天山区新华南路9号汇源大厦13楼</w:t>
      </w:r>
    </w:p>
    <w:p w14:paraId="49CCA3BB">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r>
        <w:rPr>
          <w:rFonts w:eastAsia="黑体"/>
          <w:bCs/>
          <w:color w:val="auto"/>
          <w:sz w:val="24"/>
          <w:szCs w:val="24"/>
          <w:highlight w:val="none"/>
        </w:rPr>
        <w:t>邮政编码：830004</w:t>
      </w:r>
    </w:p>
    <w:p w14:paraId="0502DC30">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p>
    <w:p w14:paraId="20572F87">
      <w:pPr>
        <w:pageBreakBefore w:val="0"/>
        <w:widowControl/>
        <w:kinsoku/>
        <w:wordWrap/>
        <w:overflowPunct/>
        <w:topLinePunct w:val="0"/>
        <w:autoSpaceDE/>
        <w:autoSpaceDN/>
        <w:bidi w:val="0"/>
        <w:snapToGrid w:val="0"/>
        <w:spacing w:line="360" w:lineRule="auto"/>
        <w:ind w:firstLine="0" w:firstLineChars="0"/>
        <w:rPr>
          <w:rFonts w:eastAsia="黑体"/>
          <w:bCs/>
          <w:color w:val="auto"/>
          <w:sz w:val="24"/>
          <w:szCs w:val="24"/>
          <w:highlight w:val="none"/>
        </w:rPr>
      </w:pPr>
    </w:p>
    <w:p w14:paraId="237DA615">
      <w:pPr>
        <w:pageBreakBefore w:val="0"/>
        <w:widowControl/>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highlight w:val="none"/>
        </w:rPr>
      </w:pPr>
      <w:r>
        <w:rPr>
          <w:rFonts w:ascii="Times New Roman" w:hAnsi="Times New Roman" w:eastAsia="黑体" w:cs="Times New Roman"/>
          <w:bCs/>
          <w:color w:val="auto"/>
          <w:sz w:val="24"/>
          <w:szCs w:val="24"/>
          <w:highlight w:val="none"/>
        </w:rPr>
        <w:t>项目评价小组成员：</w:t>
      </w:r>
    </w:p>
    <w:p w14:paraId="15AA758B">
      <w:pPr>
        <w:pageBreakBefore w:val="0"/>
        <w:widowControl/>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highlight w:val="none"/>
        </w:rPr>
      </w:pPr>
      <w:r>
        <w:rPr>
          <w:rFonts w:hint="eastAsia" w:ascii="Times New Roman" w:hAnsi="Times New Roman" w:eastAsia="黑体" w:cs="Times New Roman"/>
          <w:bCs/>
          <w:color w:val="auto"/>
          <w:sz w:val="24"/>
          <w:szCs w:val="24"/>
          <w:highlight w:val="none"/>
        </w:rPr>
        <w:t>项目</w:t>
      </w:r>
      <w:r>
        <w:rPr>
          <w:rFonts w:ascii="Times New Roman" w:hAnsi="Times New Roman" w:eastAsia="黑体" w:cs="Times New Roman"/>
          <w:bCs/>
          <w:color w:val="auto"/>
          <w:sz w:val="24"/>
          <w:szCs w:val="24"/>
          <w:highlight w:val="none"/>
        </w:rPr>
        <w:t>主评人：</w:t>
      </w:r>
      <w:r>
        <w:rPr>
          <w:rFonts w:hint="eastAsia" w:ascii="Times New Roman" w:hAnsi="Times New Roman" w:eastAsia="黑体" w:cs="Times New Roman"/>
          <w:bCs/>
          <w:color w:val="auto"/>
          <w:sz w:val="24"/>
          <w:szCs w:val="24"/>
          <w:highlight w:val="none"/>
        </w:rPr>
        <w:t>冯延萍  注册会计师、注册评估师</w:t>
      </w:r>
    </w:p>
    <w:p w14:paraId="77990E50">
      <w:pPr>
        <w:pageBreakBefore w:val="0"/>
        <w:widowControl/>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highlight w:val="none"/>
        </w:rPr>
      </w:pPr>
      <w:r>
        <w:rPr>
          <w:rFonts w:hint="eastAsia" w:ascii="Times New Roman" w:hAnsi="Times New Roman" w:eastAsia="黑体" w:cs="Times New Roman"/>
          <w:bCs/>
          <w:color w:val="auto"/>
          <w:sz w:val="24"/>
          <w:szCs w:val="24"/>
          <w:highlight w:val="none"/>
        </w:rPr>
        <w:t>报告</w:t>
      </w:r>
      <w:r>
        <w:rPr>
          <w:rFonts w:ascii="Times New Roman" w:hAnsi="Times New Roman" w:eastAsia="黑体" w:cs="Times New Roman"/>
          <w:bCs/>
          <w:color w:val="auto"/>
          <w:sz w:val="24"/>
          <w:szCs w:val="24"/>
          <w:highlight w:val="none"/>
        </w:rPr>
        <w:t>复核人：</w:t>
      </w:r>
      <w:r>
        <w:rPr>
          <w:rFonts w:hint="eastAsia" w:ascii="Times New Roman" w:hAnsi="Times New Roman" w:eastAsia="黑体" w:cs="Times New Roman"/>
          <w:bCs/>
          <w:color w:val="auto"/>
          <w:sz w:val="24"/>
          <w:szCs w:val="24"/>
          <w:highlight w:val="none"/>
        </w:rPr>
        <w:t xml:space="preserve">腊晓林  </w:t>
      </w:r>
      <w:r>
        <w:rPr>
          <w:rFonts w:hint="eastAsia" w:ascii="Times New Roman" w:hAnsi="Times New Roman" w:eastAsia="黑体" w:cs="Times New Roman"/>
          <w:bCs/>
          <w:color w:val="auto"/>
          <w:sz w:val="24"/>
          <w:szCs w:val="24"/>
          <w:highlight w:val="none"/>
          <w:lang w:val="en-US" w:eastAsia="zh-CN"/>
        </w:rPr>
        <w:t>咨询</w:t>
      </w:r>
      <w:r>
        <w:rPr>
          <w:rFonts w:hint="eastAsia" w:eastAsia="黑体" w:cs="Times New Roman"/>
          <w:bCs/>
          <w:color w:val="auto"/>
          <w:sz w:val="24"/>
          <w:szCs w:val="24"/>
          <w:highlight w:val="none"/>
          <w:lang w:val="en-US" w:eastAsia="zh-CN"/>
        </w:rPr>
        <w:t>工程</w:t>
      </w:r>
      <w:r>
        <w:rPr>
          <w:rFonts w:hint="eastAsia" w:ascii="Times New Roman" w:hAnsi="Times New Roman" w:eastAsia="黑体" w:cs="Times New Roman"/>
          <w:bCs/>
          <w:color w:val="auto"/>
          <w:sz w:val="24"/>
          <w:szCs w:val="24"/>
          <w:highlight w:val="none"/>
          <w:lang w:val="en-US" w:eastAsia="zh-CN"/>
        </w:rPr>
        <w:t>师</w:t>
      </w:r>
    </w:p>
    <w:p w14:paraId="17B05843">
      <w:pPr>
        <w:pageBreakBefore w:val="0"/>
        <w:widowControl/>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highlight w:val="none"/>
        </w:rPr>
      </w:pPr>
      <w:r>
        <w:rPr>
          <w:rFonts w:hint="eastAsia" w:ascii="Times New Roman" w:hAnsi="Times New Roman" w:eastAsia="黑体" w:cs="Times New Roman"/>
          <w:bCs/>
          <w:color w:val="auto"/>
          <w:sz w:val="24"/>
          <w:szCs w:val="24"/>
          <w:highlight w:val="none"/>
        </w:rPr>
        <w:t>项目负责人</w:t>
      </w:r>
      <w:r>
        <w:rPr>
          <w:rFonts w:ascii="Times New Roman" w:hAnsi="Times New Roman" w:eastAsia="黑体" w:cs="Times New Roman"/>
          <w:bCs/>
          <w:color w:val="auto"/>
          <w:sz w:val="24"/>
          <w:szCs w:val="24"/>
          <w:highlight w:val="none"/>
        </w:rPr>
        <w:t>：</w:t>
      </w:r>
      <w:r>
        <w:rPr>
          <w:rFonts w:hint="eastAsia" w:ascii="Times New Roman" w:hAnsi="Times New Roman" w:eastAsia="黑体" w:cs="Times New Roman"/>
          <w:bCs/>
          <w:color w:val="auto"/>
          <w:sz w:val="24"/>
          <w:szCs w:val="24"/>
          <w:highlight w:val="none"/>
          <w:lang w:val="en-US" w:eastAsia="zh-CN"/>
        </w:rPr>
        <w:t>张 珊   中级经济师</w:t>
      </w:r>
    </w:p>
    <w:p w14:paraId="659F41A2">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highlight w:val="none"/>
          <w:lang w:val="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fmt="upperRoman" w:start="1"/>
          <w:cols w:space="720" w:num="1"/>
          <w:docGrid w:type="lines" w:linePitch="312" w:charSpace="0"/>
        </w:sectPr>
      </w:pPr>
      <w:r>
        <w:rPr>
          <w:rFonts w:hint="eastAsia" w:ascii="Times New Roman" w:hAnsi="Times New Roman" w:eastAsia="黑体" w:cs="Times New Roman"/>
          <w:bCs/>
          <w:color w:val="auto"/>
          <w:sz w:val="24"/>
          <w:szCs w:val="24"/>
          <w:highlight w:val="none"/>
        </w:rPr>
        <w:t>项目组成员</w:t>
      </w:r>
      <w:r>
        <w:rPr>
          <w:rFonts w:ascii="Times New Roman" w:hAnsi="Times New Roman" w:eastAsia="黑体" w:cs="Times New Roman"/>
          <w:bCs/>
          <w:color w:val="auto"/>
          <w:sz w:val="24"/>
          <w:szCs w:val="24"/>
          <w:highlight w:val="none"/>
        </w:rPr>
        <w:t>：</w:t>
      </w:r>
      <w:r>
        <w:rPr>
          <w:rFonts w:hint="eastAsia" w:ascii="Times New Roman" w:hAnsi="Times New Roman" w:eastAsia="黑体" w:cs="Times New Roman"/>
          <w:bCs/>
          <w:color w:val="auto"/>
          <w:sz w:val="24"/>
          <w:szCs w:val="24"/>
          <w:highlight w:val="none"/>
          <w:lang w:val="en-US" w:eastAsia="zh-CN"/>
        </w:rPr>
        <w:t>孙 婕</w:t>
      </w:r>
    </w:p>
    <w:p w14:paraId="4C4BBAD0">
      <w:pPr>
        <w:pStyle w:val="4"/>
        <w:pageBreakBefore w:val="0"/>
        <w:kinsoku/>
        <w:wordWrap/>
        <w:overflowPunct/>
        <w:topLinePunct w:val="0"/>
        <w:autoSpaceDE/>
        <w:autoSpaceDN/>
        <w:bidi w:val="0"/>
        <w:snapToGrid w:val="0"/>
        <w:spacing w:before="0" w:after="0" w:line="360" w:lineRule="auto"/>
        <w:ind w:firstLine="0" w:firstLineChars="0"/>
        <w:jc w:val="center"/>
        <w:rPr>
          <w:color w:val="auto"/>
          <w:szCs w:val="32"/>
        </w:rPr>
      </w:pPr>
      <w:bookmarkStart w:id="0" w:name="_Toc10292"/>
      <w:bookmarkStart w:id="1" w:name="_Toc17859"/>
      <w:bookmarkStart w:id="2" w:name="_Toc27606"/>
      <w:bookmarkStart w:id="3" w:name="_Toc9680"/>
      <w:bookmarkStart w:id="4" w:name="_Toc17354"/>
      <w:bookmarkStart w:id="5" w:name="_Toc16666"/>
      <w:bookmarkStart w:id="6" w:name="_Toc29504"/>
      <w:bookmarkStart w:id="7" w:name="_Toc13486"/>
      <w:bookmarkStart w:id="8" w:name="_Toc26712"/>
      <w:r>
        <w:rPr>
          <w:color w:val="auto"/>
          <w:szCs w:val="32"/>
        </w:rPr>
        <w:t>报告摘要</w:t>
      </w:r>
      <w:bookmarkEnd w:id="0"/>
      <w:bookmarkEnd w:id="1"/>
      <w:bookmarkEnd w:id="2"/>
      <w:bookmarkEnd w:id="3"/>
      <w:bookmarkEnd w:id="4"/>
      <w:bookmarkEnd w:id="5"/>
      <w:bookmarkEnd w:id="6"/>
      <w:bookmarkEnd w:id="7"/>
      <w:bookmarkEnd w:id="8"/>
    </w:p>
    <w:p w14:paraId="3FA28312">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受</w:t>
      </w:r>
      <w:r>
        <w:rPr>
          <w:rFonts w:hint="eastAsia" w:ascii="Times New Roman" w:hAnsi="Times New Roman" w:eastAsia="宋体" w:cs="Times New Roman"/>
          <w:color w:val="auto"/>
          <w:highlight w:val="none"/>
          <w:lang w:val="en-US" w:eastAsia="zh-CN"/>
        </w:rPr>
        <w:t>伊宁县财政局</w:t>
      </w:r>
      <w:r>
        <w:rPr>
          <w:rFonts w:ascii="Times New Roman" w:hAnsi="Times New Roman" w:eastAsia="宋体" w:cs="Times New Roman"/>
          <w:color w:val="auto"/>
          <w:highlight w:val="none"/>
        </w:rPr>
        <w:t>委托，新疆驰远天合有限责任会计师事务所以第三方社会评价机构的身份，对</w:t>
      </w:r>
      <w:r>
        <w:rPr>
          <w:rFonts w:hint="eastAsia" w:ascii="Times New Roman" w:hAnsi="Times New Roman" w:eastAsia="宋体" w:cs="Times New Roman"/>
          <w:color w:val="auto"/>
          <w:highlight w:val="none"/>
          <w:lang w:val="en-US" w:eastAsia="zh-CN"/>
        </w:rPr>
        <w:t>2024</w:t>
      </w:r>
      <w:r>
        <w:rPr>
          <w:rFonts w:ascii="Times New Roman" w:hAnsi="Times New Roman" w:eastAsia="宋体" w:cs="Times New Roman"/>
          <w:color w:val="auto"/>
          <w:highlight w:val="none"/>
        </w:rPr>
        <w:t>年度</w:t>
      </w:r>
      <w:r>
        <w:rPr>
          <w:rFonts w:hint="eastAsia" w:ascii="Times New Roman" w:hAnsi="Times New Roman" w:eastAsia="宋体" w:cs="Times New Roman"/>
          <w:color w:val="auto"/>
          <w:highlight w:val="none"/>
          <w:lang w:val="en-US" w:eastAsia="zh-CN"/>
        </w:rPr>
        <w:t>伊宁县文化体育广播电视和旅游局</w:t>
      </w:r>
      <w:r>
        <w:rPr>
          <w:rFonts w:ascii="Times New Roman" w:hAnsi="Times New Roman" w:eastAsia="宋体" w:cs="Times New Roman"/>
          <w:color w:val="auto"/>
          <w:highlight w:val="none"/>
        </w:rPr>
        <w:t>实施的</w:t>
      </w:r>
      <w:r>
        <w:rPr>
          <w:rFonts w:hint="eastAsia" w:ascii="Times New Roman" w:hAnsi="Times New Roman" w:eastAsia="宋体" w:cs="Times New Roman"/>
          <w:color w:val="auto"/>
          <w:highlight w:val="none"/>
          <w:lang w:val="en-US" w:eastAsia="zh-CN"/>
        </w:rPr>
        <w:t>伊宁县全民健身场地设施项目</w:t>
      </w:r>
      <w:r>
        <w:rPr>
          <w:rFonts w:ascii="Times New Roman" w:hAnsi="Times New Roman" w:eastAsia="宋体" w:cs="Times New Roman"/>
          <w:color w:val="auto"/>
          <w:highlight w:val="none"/>
        </w:rPr>
        <w:t>开展了绩效评价工作并形成绩效评价报告，评价情况如下：</w:t>
      </w:r>
    </w:p>
    <w:p w14:paraId="770AD5BE">
      <w:pPr>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一、基本情况</w:t>
      </w:r>
    </w:p>
    <w:p w14:paraId="23895353">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（一）项目背景</w:t>
      </w:r>
    </w:p>
    <w:p w14:paraId="0F527B41">
      <w:pPr>
        <w:pageBreakBefore w:val="0"/>
        <w:kinsoku/>
        <w:wordWrap/>
        <w:overflowPunct/>
        <w:topLinePunct w:val="0"/>
        <w:autoSpaceDE/>
        <w:autoSpaceDN/>
        <w:bidi w:val="0"/>
        <w:snapToGrid w:val="0"/>
        <w:spacing w:line="360" w:lineRule="auto"/>
        <w:ind w:firstLine="420"/>
        <w:rPr>
          <w:rFonts w:ascii="Times New Roman" w:hAnsi="Times New Roman" w:eastAsia="宋体" w:cs="Times New Roman"/>
          <w:b/>
          <w:bCs/>
          <w:color w:val="auto"/>
          <w:highlight w:val="none"/>
        </w:rPr>
      </w:pPr>
      <w:r>
        <w:rPr>
          <w:rFonts w:hint="default" w:ascii="Times New Roman" w:hAnsi="Times New Roman" w:eastAsia="宋体" w:cs="Times New Roman"/>
          <w:color w:val="auto"/>
          <w:highlight w:val="none"/>
          <w:lang w:val="en-US" w:eastAsia="zh-CN"/>
        </w:rPr>
        <w:t>国家高度重视体育事业发展，将全民健身上升为国家战略</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健康中国2030”规划纲要》《体育强国建设纲要》等政策明确要求完善全民健身公共服务体系，特别是“十四五”期间出台的全民健身设施补短板相关方案，推动各地将场地建设纳入重点民生工程。随着居民生活水平提高，健康意识显著增强，参与健身的人群大幅扩大，但现有场地数量、类型、分布难以满足多样化需求（如城乡差异、功能单一等），供需矛盾突出，成为立项的核心现实动因。部分地区体育场地老化破损、数量不足，人均体育场地面积与国际水平仍有差距，且存在“重建设、轻管理”“重城市、轻农村”等问题，无法适应群众对高品质健身环境的需求，</w:t>
      </w:r>
      <w:r>
        <w:rPr>
          <w:rFonts w:hint="eastAsia" w:ascii="Times New Roman" w:hAnsi="Times New Roman" w:eastAsia="宋体" w:cs="Times New Roman"/>
          <w:color w:val="auto"/>
          <w:highlight w:val="none"/>
          <w:lang w:val="en-US" w:eastAsia="zh-CN"/>
        </w:rPr>
        <w:t>亟须通过</w:t>
      </w:r>
      <w:r>
        <w:rPr>
          <w:rFonts w:hint="default" w:ascii="Times New Roman" w:hAnsi="Times New Roman" w:eastAsia="宋体" w:cs="Times New Roman"/>
          <w:color w:val="auto"/>
          <w:highlight w:val="none"/>
          <w:lang w:val="en-US" w:eastAsia="zh-CN"/>
        </w:rPr>
        <w:t>新建、改建项目补齐短板。全民健身场地建设是民生工程的重要组成部分，既能提升居民健康水平、减少医疗支出，也能丰富群众文化生活、促进社会和谐。同时，场地建设可助力乡村振兴、</w:t>
      </w:r>
      <w:r>
        <w:rPr>
          <w:rFonts w:hint="eastAsia" w:ascii="Times New Roman" w:hAnsi="Times New Roman" w:eastAsia="宋体" w:cs="Times New Roman"/>
          <w:color w:val="auto"/>
          <w:highlight w:val="none"/>
          <w:lang w:val="en-US" w:eastAsia="zh-CN"/>
        </w:rPr>
        <w:t>新型城镇化战略</w:t>
      </w:r>
      <w:r>
        <w:rPr>
          <w:rFonts w:hint="default" w:ascii="Times New Roman" w:hAnsi="Times New Roman" w:eastAsia="宋体" w:cs="Times New Roman"/>
          <w:color w:val="auto"/>
          <w:highlight w:val="none"/>
          <w:lang w:val="en-US" w:eastAsia="zh-CN"/>
        </w:rPr>
        <w:t>，推动城乡公共服务均等化。</w:t>
      </w:r>
    </w:p>
    <w:p w14:paraId="2DFD6E9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（二）项目概况</w:t>
      </w:r>
    </w:p>
    <w:p w14:paraId="1373CF94">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项目名称：</w:t>
      </w:r>
      <w:r>
        <w:rPr>
          <w:rFonts w:hint="eastAsia" w:ascii="Times New Roman" w:hAnsi="Times New Roman" w:eastAsia="宋体" w:cs="Times New Roman"/>
          <w:color w:val="auto"/>
          <w:highlight w:val="none"/>
          <w:lang w:val="en-US" w:eastAsia="zh-CN"/>
        </w:rPr>
        <w:t>伊宁县</w:t>
      </w:r>
      <w:r>
        <w:rPr>
          <w:rFonts w:hint="default" w:ascii="Times New Roman" w:hAnsi="Times New Roman" w:eastAsia="宋体" w:cs="Times New Roman"/>
          <w:color w:val="auto"/>
          <w:highlight w:val="none"/>
          <w:lang w:val="en-US" w:eastAsia="zh-CN"/>
        </w:rPr>
        <w:t>全民健身场地设施</w:t>
      </w:r>
      <w:r>
        <w:rPr>
          <w:rFonts w:hint="eastAsia" w:ascii="Times New Roman" w:hAnsi="Times New Roman" w:eastAsia="宋体" w:cs="Times New Roman"/>
          <w:color w:val="auto"/>
          <w:highlight w:val="none"/>
          <w:lang w:val="en-US" w:eastAsia="zh-CN"/>
        </w:rPr>
        <w:t>项目</w:t>
      </w:r>
      <w:r>
        <w:rPr>
          <w:rFonts w:hint="default" w:ascii="Times New Roman" w:hAnsi="Times New Roman" w:eastAsia="宋体" w:cs="Times New Roman"/>
          <w:color w:val="auto"/>
          <w:highlight w:val="none"/>
          <w:lang w:val="en-US" w:eastAsia="zh-CN"/>
        </w:rPr>
        <w:t>（以下简称“该项目”或“项目”）</w:t>
      </w:r>
    </w:p>
    <w:p w14:paraId="7D84ECD0">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none"/>
          <w:lang w:val="en-US" w:eastAsia="zh-Hans"/>
        </w:rPr>
      </w:pPr>
      <w:r>
        <w:rPr>
          <w:rFonts w:hint="eastAsia" w:ascii="Times New Roman" w:hAnsi="Times New Roman" w:eastAsia="宋体" w:cs="Times New Roman"/>
          <w:color w:val="auto"/>
          <w:highlight w:val="none"/>
          <w:lang w:val="en-US" w:eastAsia="zh-CN"/>
        </w:rPr>
        <w:t>项目实施单位：</w:t>
      </w:r>
      <w:r>
        <w:rPr>
          <w:rFonts w:hint="default" w:ascii="Times New Roman" w:hAnsi="Times New Roman" w:eastAsia="宋体" w:cs="Times New Roman"/>
          <w:color w:val="auto"/>
          <w:highlight w:val="none"/>
          <w:lang w:val="en-US" w:eastAsia="zh-CN"/>
        </w:rPr>
        <w:t>伊宁县文化体育广播电视和旅游局</w:t>
      </w:r>
    </w:p>
    <w:p w14:paraId="0638C283">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Hans"/>
        </w:rPr>
        <w:t>项目内容：</w:t>
      </w:r>
      <w:r>
        <w:rPr>
          <w:rFonts w:hint="eastAsia" w:ascii="Times New Roman" w:hAnsi="Times New Roman" w:eastAsia="宋体" w:cs="Times New Roman"/>
          <w:color w:val="auto"/>
          <w:kern w:val="2"/>
          <w:sz w:val="21"/>
          <w:szCs w:val="22"/>
          <w:highlight w:val="none"/>
          <w:lang w:val="en-US" w:eastAsia="zh-CN" w:bidi="ar-SA"/>
        </w:rPr>
        <w:t>1.在伊宁县吉里于孜镇上肉孜买提于孜村建设五人制笼式足球场1块，总面积为1,080.00平方米；标准篮球场1块，总面积为798.00平方米。2.在伊宁县阿热吾斯塘镇托万克村建设标准篮球场1块，总面积789.00平方米。</w:t>
      </w:r>
    </w:p>
    <w:p w14:paraId="4AF89CC0">
      <w:pPr>
        <w:pageBreakBefore w:val="0"/>
        <w:kinsoku/>
        <w:wordWrap/>
        <w:overflowPunct/>
        <w:topLinePunct w:val="0"/>
        <w:autoSpaceDE/>
        <w:autoSpaceDN/>
        <w:bidi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预算安排</w:t>
      </w:r>
      <w:r>
        <w:rPr>
          <w:rFonts w:hint="default" w:ascii="Times New Roman" w:hAnsi="Times New Roman" w:eastAsia="宋体" w:cs="Times New Roman"/>
          <w:color w:val="auto"/>
          <w:highlight w:val="none"/>
          <w:lang w:val="en-US" w:eastAsia="zh-CN"/>
        </w:rPr>
        <w:t>情况：</w:t>
      </w:r>
      <w:r>
        <w:rPr>
          <w:rFonts w:hint="eastAsia" w:ascii="Times New Roman" w:hAnsi="Times New Roman" w:eastAsia="宋体" w:cs="Times New Roman"/>
          <w:color w:val="auto"/>
          <w:highlight w:val="none"/>
          <w:lang w:val="en-US" w:eastAsia="zh-CN"/>
        </w:rPr>
        <w:t>项目总投资100.00万元，资金来源为中央集中彩票公益金支持体育事业专项资金</w:t>
      </w:r>
      <w:r>
        <w:rPr>
          <w:rFonts w:hint="default" w:ascii="Times New Roman" w:hAnsi="Times New Roman" w:eastAsia="宋体" w:cs="Times New Roman"/>
          <w:color w:val="auto"/>
          <w:highlight w:val="none"/>
          <w:lang w:val="en-US" w:eastAsia="zh-CN"/>
        </w:rPr>
        <w:t>。</w:t>
      </w:r>
    </w:p>
    <w:p w14:paraId="5F43792E">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项目建设周期：</w:t>
      </w:r>
      <w:r>
        <w:rPr>
          <w:rFonts w:hint="eastAsia" w:ascii="Times New Roman" w:hAnsi="Times New Roman" w:eastAsia="宋体" w:cs="Times New Roman"/>
          <w:color w:val="auto"/>
          <w:kern w:val="2"/>
          <w:sz w:val="21"/>
          <w:szCs w:val="22"/>
          <w:highlight w:val="none"/>
          <w:lang w:val="en-US" w:eastAsia="zh-CN" w:bidi="ar-SA"/>
        </w:rPr>
        <w:t>2024年5月-2024年10月</w:t>
      </w:r>
    </w:p>
    <w:p w14:paraId="65D86CA4">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（三）资金使用情况</w:t>
      </w:r>
    </w:p>
    <w:p w14:paraId="55EB9764">
      <w:pPr>
        <w:pageBreakBefore w:val="0"/>
        <w:kinsoku/>
        <w:wordWrap/>
        <w:overflowPunct/>
        <w:topLinePunct w:val="0"/>
        <w:autoSpaceDE/>
        <w:autoSpaceDN/>
        <w:bidi w:val="0"/>
        <w:snapToGrid w:val="0"/>
        <w:spacing w:before="0" w:after="0" w:line="360" w:lineRule="auto"/>
        <w:ind w:firstLine="422"/>
        <w:rPr>
          <w:rFonts w:hint="eastAsia"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该项目预算资金总额为100.00万元，</w:t>
      </w:r>
      <w:r>
        <w:rPr>
          <w:rFonts w:hint="eastAsia" w:eastAsia="宋体" w:cs="Times New Roman"/>
          <w:color w:val="auto"/>
          <w:highlight w:val="none"/>
          <w:lang w:val="en-US" w:eastAsia="zh-CN"/>
        </w:rPr>
        <w:t>资金均来源</w:t>
      </w:r>
      <w:r>
        <w:rPr>
          <w:rFonts w:hint="eastAsia" w:ascii="Times New Roman" w:hAnsi="Times New Roman" w:eastAsia="宋体" w:cs="Times New Roman"/>
          <w:color w:val="auto"/>
          <w:highlight w:val="none"/>
          <w:lang w:val="en-US" w:eastAsia="zh-CN"/>
        </w:rPr>
        <w:t>为中央集中彩票公益金支持体育事业专项资金</w:t>
      </w:r>
      <w:r>
        <w:rPr>
          <w:rFonts w:hint="eastAsia" w:eastAsia="宋体" w:cs="Times New Roman"/>
          <w:color w:val="auto"/>
          <w:highlight w:val="none"/>
          <w:lang w:val="en-US" w:eastAsia="zh-CN"/>
        </w:rPr>
        <w:t>。</w:t>
      </w:r>
    </w:p>
    <w:p w14:paraId="60520E8F">
      <w:pPr>
        <w:pageBreakBefore w:val="0"/>
        <w:kinsoku/>
        <w:wordWrap/>
        <w:overflowPunct/>
        <w:topLinePunct w:val="0"/>
        <w:autoSpaceDE/>
        <w:autoSpaceDN/>
        <w:bidi w:val="0"/>
        <w:snapToGrid w:val="0"/>
        <w:spacing w:before="0" w:after="0" w:line="360" w:lineRule="auto"/>
        <w:ind w:firstLine="422"/>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截至2024年12月31日</w:t>
      </w:r>
      <w:r>
        <w:rPr>
          <w:rFonts w:hint="eastAsia" w:eastAsia="宋体" w:cs="Times New Roman"/>
          <w:color w:val="auto"/>
          <w:highlight w:val="none"/>
          <w:lang w:val="en-US" w:eastAsia="zh-CN"/>
        </w:rPr>
        <w:t>，项目实际到位</w:t>
      </w:r>
      <w:r>
        <w:rPr>
          <w:rFonts w:hint="eastAsia" w:ascii="Times New Roman" w:hAnsi="Times New Roman" w:eastAsia="宋体" w:cs="Times New Roman"/>
          <w:color w:val="auto"/>
          <w:highlight w:val="none"/>
          <w:lang w:val="en-US" w:eastAsia="zh-CN"/>
        </w:rPr>
        <w:t>中央集中彩票公益金支持体育事业专项资金100.00万元，资金到位率为100.00%；实际支出</w:t>
      </w:r>
      <w:r>
        <w:rPr>
          <w:rFonts w:hint="eastAsia" w:eastAsia="宋体" w:cs="Times New Roman"/>
          <w:color w:val="auto"/>
          <w:highlight w:val="none"/>
          <w:lang w:val="en-US" w:eastAsia="zh-CN"/>
        </w:rPr>
        <w:t>99.15</w:t>
      </w:r>
      <w:r>
        <w:rPr>
          <w:rFonts w:hint="eastAsia" w:ascii="Times New Roman" w:hAnsi="Times New Roman" w:eastAsia="宋体" w:cs="Times New Roman"/>
          <w:color w:val="auto"/>
          <w:highlight w:val="none"/>
          <w:lang w:val="en-US" w:eastAsia="zh-CN"/>
        </w:rPr>
        <w:t>万元，预算资金执行率为</w:t>
      </w:r>
      <w:r>
        <w:rPr>
          <w:rFonts w:hint="eastAsia" w:eastAsia="宋体" w:cs="Times New Roman"/>
          <w:color w:val="auto"/>
          <w:highlight w:val="none"/>
          <w:lang w:val="en-US" w:eastAsia="zh-CN"/>
        </w:rPr>
        <w:t>99.15</w:t>
      </w:r>
      <w:r>
        <w:rPr>
          <w:rFonts w:hint="eastAsia" w:ascii="Times New Roman" w:hAnsi="Times New Roman" w:eastAsia="宋体" w:cs="Times New Roman"/>
          <w:color w:val="auto"/>
          <w:highlight w:val="none"/>
          <w:lang w:val="en-US" w:eastAsia="zh-CN"/>
        </w:rPr>
        <w:t>%。</w:t>
      </w:r>
    </w:p>
    <w:p w14:paraId="163FF204">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hint="eastAsia" w:ascii="Times New Roman" w:hAnsi="Times New Roman" w:eastAsia="宋体" w:cs="Times New Roman"/>
          <w:b/>
          <w:bCs/>
          <w:color w:val="auto"/>
          <w:sz w:val="24"/>
          <w:szCs w:val="28"/>
          <w:highlight w:val="none"/>
          <w:lang w:val="en-US" w:eastAsia="zh-CN"/>
        </w:rPr>
        <w:t>二</w:t>
      </w:r>
      <w:r>
        <w:rPr>
          <w:rFonts w:ascii="Times New Roman" w:hAnsi="Times New Roman" w:eastAsia="宋体" w:cs="Times New Roman"/>
          <w:b/>
          <w:bCs/>
          <w:color w:val="auto"/>
          <w:sz w:val="24"/>
          <w:szCs w:val="28"/>
          <w:highlight w:val="none"/>
        </w:rPr>
        <w:t>、评价结论</w:t>
      </w:r>
    </w:p>
    <w:p w14:paraId="1C7FBC00">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lang w:val="zh-TW" w:eastAsia="zh-TW"/>
        </w:rPr>
        <w:t>通过调研、数据分析、访谈等方式，根据工作方案确定的指标体系及评分标准，对“</w:t>
      </w:r>
      <w:r>
        <w:rPr>
          <w:rFonts w:hint="eastAsia" w:ascii="Times New Roman" w:hAnsi="Times New Roman" w:eastAsia="宋体" w:cs="Times New Roman"/>
          <w:color w:val="auto"/>
          <w:highlight w:val="none"/>
          <w:lang w:val="en-US" w:eastAsia="zh-CN"/>
        </w:rPr>
        <w:t>伊宁县全民健身场地设施项目</w:t>
      </w:r>
      <w:r>
        <w:rPr>
          <w:rFonts w:ascii="Times New Roman" w:hAnsi="Times New Roman" w:eastAsia="宋体" w:cs="Times New Roman"/>
          <w:color w:val="auto"/>
          <w:highlight w:val="none"/>
          <w:lang w:val="zh-TW" w:eastAsia="zh-TW"/>
        </w:rPr>
        <w:t>”绩效进行客观评价</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该</w:t>
      </w:r>
      <w:r>
        <w:rPr>
          <w:rFonts w:ascii="Times New Roman" w:hAnsi="Times New Roman" w:eastAsia="宋体" w:cs="Times New Roman"/>
          <w:color w:val="auto"/>
          <w:highlight w:val="none"/>
        </w:rPr>
        <w:t>项目最终得分为</w:t>
      </w:r>
      <w:r>
        <w:rPr>
          <w:rFonts w:hint="eastAsia" w:eastAsia="宋体" w:cs="Times New Roman"/>
          <w:color w:val="auto"/>
          <w:sz w:val="21"/>
          <w:szCs w:val="21"/>
          <w:highlight w:val="none"/>
          <w:lang w:val="en-US" w:eastAsia="zh-CN"/>
        </w:rPr>
        <w:t>89.50</w:t>
      </w:r>
      <w:r>
        <w:rPr>
          <w:rFonts w:ascii="Times New Roman" w:hAnsi="Times New Roman" w:eastAsia="宋体" w:cs="Times New Roman"/>
          <w:color w:val="auto"/>
          <w:highlight w:val="none"/>
        </w:rPr>
        <w:t>分，评价级别属于“</w:t>
      </w:r>
      <w:r>
        <w:rPr>
          <w:rFonts w:hint="eastAsia" w:eastAsia="宋体" w:cs="Times New Roman"/>
          <w:color w:val="auto"/>
          <w:highlight w:val="none"/>
          <w:lang w:val="en-US" w:eastAsia="zh-CN"/>
        </w:rPr>
        <w:t>良</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各部分权重和绩效分值如下表：</w:t>
      </w:r>
    </w:p>
    <w:p w14:paraId="64A56A7F">
      <w:pPr>
        <w:pStyle w:val="29"/>
        <w:pageBreakBefore w:val="0"/>
        <w:kinsoku/>
        <w:wordWrap/>
        <w:overflowPunct/>
        <w:topLinePunct w:val="0"/>
        <w:autoSpaceDE/>
        <w:autoSpaceDN/>
        <w:bidi w:val="0"/>
        <w:snapToGrid w:val="0"/>
        <w:spacing w:before="0" w:after="0" w:line="360" w:lineRule="auto"/>
        <w:jc w:val="center"/>
        <w:rPr>
          <w:rFonts w:ascii="Times New Roman" w:hAnsi="Times New Roman" w:eastAsia="宋体" w:cs="Times New Roman"/>
          <w:bCs/>
          <w:color w:val="auto"/>
          <w:sz w:val="21"/>
          <w:szCs w:val="21"/>
          <w:highlight w:val="none"/>
        </w:rPr>
      </w:pPr>
      <w:r>
        <w:rPr>
          <w:rFonts w:ascii="Times New Roman" w:hAnsi="Times New Roman" w:eastAsia="宋体" w:cs="Times New Roman"/>
          <w:bCs/>
          <w:color w:val="auto"/>
          <w:sz w:val="21"/>
          <w:szCs w:val="21"/>
          <w:highlight w:val="none"/>
          <w:lang w:val="zh-TW" w:eastAsia="zh-TW"/>
        </w:rPr>
        <w:t>表</w:t>
      </w:r>
      <w:r>
        <w:rPr>
          <w:rFonts w:ascii="Times New Roman" w:hAnsi="Times New Roman" w:eastAsia="宋体" w:cs="Times New Roman"/>
          <w:bCs/>
          <w:color w:val="auto"/>
          <w:sz w:val="21"/>
          <w:szCs w:val="21"/>
          <w:highlight w:val="none"/>
          <w:lang w:val="zh-TW"/>
        </w:rPr>
        <w:t>：</w:t>
      </w:r>
      <w:r>
        <w:rPr>
          <w:rFonts w:hint="eastAsia" w:ascii="Times New Roman" w:hAnsi="Times New Roman" w:eastAsia="宋体" w:cs="Times New Roman"/>
          <w:bCs/>
          <w:color w:val="auto"/>
          <w:sz w:val="21"/>
          <w:szCs w:val="21"/>
          <w:highlight w:val="none"/>
          <w:lang w:val="en-US" w:eastAsia="zh-CN"/>
        </w:rPr>
        <w:t>伊宁县全民健身场地设施项目</w:t>
      </w:r>
      <w:r>
        <w:rPr>
          <w:rFonts w:ascii="Times New Roman" w:hAnsi="Times New Roman" w:eastAsia="宋体" w:cs="Times New Roman"/>
          <w:bCs/>
          <w:color w:val="auto"/>
          <w:sz w:val="21"/>
          <w:szCs w:val="21"/>
          <w:highlight w:val="none"/>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14:paraId="6160A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9AC22DF">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D74A9E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149A4C2">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11B652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AAC87C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BB6381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3B6AD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D88C5D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08DF8E1">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15.00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B2B862">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25.00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51E8D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06CF1C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2B73BC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100.00</w:t>
            </w:r>
          </w:p>
        </w:tc>
      </w:tr>
      <w:tr w14:paraId="7F12D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C87F56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D63665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1386E34">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16.50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9682854">
            <w:pPr>
              <w:pStyle w:val="2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1D79CA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B4B34C2">
            <w:pPr>
              <w:pStyle w:val="2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eastAsia="宋体" w:cs="Times New Roman"/>
                <w:color w:val="auto"/>
                <w:sz w:val="21"/>
                <w:szCs w:val="21"/>
                <w:highlight w:val="none"/>
                <w:lang w:val="en-US" w:eastAsia="zh-CN"/>
              </w:rPr>
              <w:t>89.50</w:t>
            </w:r>
          </w:p>
        </w:tc>
      </w:tr>
      <w:tr w14:paraId="08ACD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F2885C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F0637AF">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sz w:val="21"/>
                <w:szCs w:val="21"/>
                <w:highlight w:val="none"/>
                <w:lang w:val="en-US" w:eastAsia="zh-CN"/>
              </w:rPr>
              <w:t>6.67</w:t>
            </w:r>
            <w:r>
              <w:rPr>
                <w:rFonts w:hint="eastAsia" w:ascii="Times New Roman" w:hAnsi="Times New Roman" w:eastAsia="宋体" w:cs="Times New Roman"/>
                <w:color w:val="auto"/>
                <w:sz w:val="21"/>
                <w:szCs w:val="21"/>
                <w:highlight w:val="none"/>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37227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66</w:t>
            </w:r>
            <w:r>
              <w:rPr>
                <w:rFonts w:hint="eastAsia" w:ascii="Times New Roman" w:hAnsi="Times New Roman" w:eastAsia="宋体" w:cs="Times New Roman"/>
                <w:color w:val="auto"/>
                <w:sz w:val="21"/>
                <w:szCs w:val="21"/>
                <w:highlight w:val="none"/>
              </w:rPr>
              <w:t>.00%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6AA539E">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100.00</w:t>
            </w:r>
            <w:r>
              <w:rPr>
                <w:rFonts w:hint="eastAsia" w:ascii="Times New Roman" w:hAnsi="Times New Roman" w:eastAsia="宋体" w:cs="Times New Roman"/>
                <w:color w:val="auto"/>
                <w:sz w:val="21"/>
                <w:szCs w:val="21"/>
                <w:highlight w:val="none"/>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C2177AD">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100.00</w:t>
            </w:r>
            <w:r>
              <w:rPr>
                <w:rFonts w:hint="eastAsia" w:ascii="Times New Roman" w:hAnsi="Times New Roman" w:eastAsia="宋体" w:cs="Times New Roman"/>
                <w:color w:val="auto"/>
                <w:sz w:val="21"/>
                <w:szCs w:val="21"/>
                <w:highlight w:val="none"/>
              </w:rPr>
              <w:t>%</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9EC3CEB">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89.50</w:t>
            </w:r>
            <w:r>
              <w:rPr>
                <w:rFonts w:hint="eastAsia" w:ascii="Times New Roman" w:hAnsi="Times New Roman" w:eastAsia="宋体" w:cs="Times New Roman"/>
                <w:color w:val="auto"/>
                <w:sz w:val="21"/>
                <w:szCs w:val="21"/>
                <w:highlight w:val="none"/>
              </w:rPr>
              <w:t>%</w:t>
            </w:r>
          </w:p>
        </w:tc>
      </w:tr>
    </w:tbl>
    <w:p w14:paraId="222B6EA2">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lang w:val="zh-TW"/>
        </w:rPr>
      </w:pPr>
    </w:p>
    <w:p w14:paraId="13F90668">
      <w:pPr>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sz w:val="24"/>
          <w:szCs w:val="28"/>
          <w:highlight w:val="none"/>
        </w:rPr>
      </w:pPr>
      <w:r>
        <w:rPr>
          <w:rFonts w:hint="eastAsia" w:ascii="Times New Roman" w:hAnsi="Times New Roman" w:eastAsia="宋体" w:cs="Times New Roman"/>
          <w:b/>
          <w:bCs/>
          <w:color w:val="auto"/>
          <w:sz w:val="24"/>
          <w:szCs w:val="28"/>
          <w:highlight w:val="none"/>
          <w:lang w:val="en-US" w:eastAsia="zh-CN"/>
        </w:rPr>
        <w:t>三</w:t>
      </w:r>
      <w:r>
        <w:rPr>
          <w:rFonts w:ascii="Times New Roman" w:hAnsi="Times New Roman" w:eastAsia="宋体" w:cs="Times New Roman"/>
          <w:b/>
          <w:bCs/>
          <w:color w:val="auto"/>
          <w:sz w:val="24"/>
          <w:szCs w:val="28"/>
          <w:highlight w:val="none"/>
        </w:rPr>
        <w:t>、取得的业绩、存在的问题和改进的建议</w:t>
      </w:r>
    </w:p>
    <w:p w14:paraId="6DC69897">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（一）主要经验及做法</w:t>
      </w:r>
    </w:p>
    <w:p w14:paraId="7C3BB27A">
      <w:pPr>
        <w:pStyle w:val="5"/>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b w:val="0"/>
          <w:bCs w:val="0"/>
          <w:color w:val="auto"/>
          <w:kern w:val="2"/>
          <w:sz w:val="21"/>
          <w:szCs w:val="21"/>
          <w:highlight w:val="none"/>
          <w:lang w:val="en-US" w:eastAsia="zh-CN" w:bidi="ar-SA"/>
        </w:rPr>
      </w:pPr>
      <w:bookmarkStart w:id="9" w:name="_Toc18691"/>
      <w:bookmarkStart w:id="10" w:name="_Toc29587"/>
      <w:r>
        <w:rPr>
          <w:rFonts w:hint="eastAsia" w:ascii="Times New Roman" w:hAnsi="Times New Roman" w:eastAsia="宋体" w:cs="Times New Roman"/>
          <w:b w:val="0"/>
          <w:bCs w:val="0"/>
          <w:color w:val="auto"/>
          <w:kern w:val="2"/>
          <w:sz w:val="21"/>
          <w:szCs w:val="21"/>
          <w:highlight w:val="none"/>
          <w:lang w:val="en-US" w:eastAsia="zh-CN" w:bidi="ar-SA"/>
        </w:rPr>
        <w:t>在该项目实施过程中，项目主管单位积极落实《关于提前下达2024年中央集中彩票公益金支持体育事业专项资金预算的通知》（伊州财教〔2023〕52号）文件要求，组织实施伊宁县吉里于孜镇上肉孜买提于孜村、阿热吾斯塘镇托万克村全民健身场地设施的建设，确保中央集中彩票公益金支持体育事业专项资金用到体育公益事业，满足人民群众日益增长的健身需求，改善人民生活品质，推进体育强国建设。</w:t>
      </w:r>
      <w:bookmarkEnd w:id="9"/>
    </w:p>
    <w:bookmarkEnd w:id="10"/>
    <w:p w14:paraId="2E01C27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（二）存在的问题</w:t>
      </w:r>
    </w:p>
    <w:p w14:paraId="39B08D80">
      <w:pPr>
        <w:pStyle w:val="9"/>
        <w:numPr>
          <w:ilvl w:val="0"/>
          <w:numId w:val="0"/>
        </w:numPr>
        <w:spacing w:line="360" w:lineRule="auto"/>
        <w:ind w:firstLine="422" w:firstLineChars="200"/>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1.财务会计核算不够规范</w:t>
      </w:r>
    </w:p>
    <w:p w14:paraId="42179773">
      <w:pPr>
        <w:pStyle w:val="9"/>
        <w:numPr>
          <w:ilvl w:val="0"/>
          <w:numId w:val="0"/>
        </w:numPr>
        <w:spacing w:line="360" w:lineRule="auto"/>
        <w:ind w:firstLine="420" w:firstLineChars="200"/>
        <w:rPr>
          <w:rFonts w:hint="default" w:ascii="Times New Roman" w:hAnsi="Times New Roman" w:eastAsia="宋体"/>
          <w:color w:val="auto"/>
          <w:sz w:val="21"/>
          <w:szCs w:val="21"/>
          <w:highlight w:val="none"/>
          <w:lang w:val="en-US" w:eastAsia="zh-CN"/>
        </w:rPr>
      </w:pPr>
      <w:r>
        <w:rPr>
          <w:rFonts w:hint="eastAsia" w:ascii="Times New Roman" w:hAnsi="Times New Roman" w:eastAsia="宋体" w:cs="Times New Roman"/>
          <w:color w:val="auto"/>
          <w:sz w:val="21"/>
          <w:szCs w:val="21"/>
          <w:highlight w:val="none"/>
        </w:rPr>
        <w:t>经查阅项目记账凭证，该项目将发生的工程款费用计入商品和服务费用支出，未按照《政府会计制度》规定通过“在建工程”科目归集项目建设支出并于资产完工后转入“固定资产”科目。</w:t>
      </w:r>
    </w:p>
    <w:p w14:paraId="3A767DC6">
      <w:pPr>
        <w:pStyle w:val="9"/>
        <w:numPr>
          <w:ilvl w:val="0"/>
          <w:numId w:val="0"/>
        </w:numPr>
        <w:spacing w:line="360" w:lineRule="auto"/>
        <w:ind w:firstLine="422" w:firstLineChars="200"/>
        <w:rPr>
          <w:rFonts w:hint="default"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2.</w:t>
      </w:r>
      <w:r>
        <w:rPr>
          <w:rFonts w:hint="eastAsia" w:ascii="Times New Roman" w:hAnsi="Times New Roman" w:eastAsia="宋体"/>
          <w:b/>
          <w:bCs/>
          <w:color w:val="auto"/>
          <w:sz w:val="21"/>
          <w:szCs w:val="21"/>
          <w:highlight w:val="none"/>
          <w:lang w:val="en-US" w:eastAsia="zh-CN"/>
        </w:rPr>
        <w:t>项目合同管理不规范</w:t>
      </w:r>
    </w:p>
    <w:p w14:paraId="603B9E17">
      <w:pPr>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default" w:eastAsia="宋体" w:cs="Times New Roman"/>
          <w:color w:val="auto"/>
          <w:sz w:val="21"/>
          <w:szCs w:val="21"/>
          <w:highlight w:val="none"/>
          <w:lang w:val="en-US" w:eastAsia="zh-CN"/>
        </w:rPr>
        <w:t>一是，</w:t>
      </w:r>
      <w:r>
        <w:rPr>
          <w:rFonts w:hint="default" w:ascii="Times New Roman" w:hAnsi="Times New Roman" w:eastAsia="宋体" w:cs="Times New Roman"/>
          <w:b w:val="0"/>
          <w:bCs w:val="0"/>
          <w:color w:val="auto"/>
          <w:kern w:val="2"/>
          <w:sz w:val="21"/>
          <w:szCs w:val="21"/>
          <w:highlight w:val="none"/>
          <w:lang w:val="en-US" w:eastAsia="zh-CN" w:bidi="ar-SA"/>
        </w:rPr>
        <w:t>项目未按合同约定支付款项</w:t>
      </w:r>
      <w:r>
        <w:rPr>
          <w:rFonts w:hint="default"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sz w:val="21"/>
          <w:szCs w:val="21"/>
          <w:highlight w:val="none"/>
          <w:lang w:val="en-US" w:eastAsia="zh-CN"/>
        </w:rPr>
        <w:t>该项目于</w:t>
      </w:r>
      <w:r>
        <w:rPr>
          <w:rFonts w:hint="eastAsia" w:ascii="Times New Roman" w:hAnsi="Times New Roman" w:eastAsia="宋体" w:cs="Times New Roman"/>
          <w:color w:val="auto"/>
          <w:sz w:val="21"/>
          <w:szCs w:val="21"/>
          <w:highlight w:val="none"/>
          <w:lang w:val="en-US" w:eastAsia="zh-CN"/>
        </w:rPr>
        <w:t>2024年9月21日通过</w:t>
      </w:r>
      <w:r>
        <w:rPr>
          <w:rFonts w:hint="default" w:ascii="Times New Roman" w:hAnsi="Times New Roman" w:eastAsia="宋体" w:cs="Times New Roman"/>
          <w:color w:val="auto"/>
          <w:sz w:val="21"/>
          <w:szCs w:val="21"/>
          <w:highlight w:val="none"/>
        </w:rPr>
        <w:t>竣工</w:t>
      </w:r>
      <w:r>
        <w:rPr>
          <w:rFonts w:hint="eastAsia" w:ascii="Times New Roman" w:hAnsi="Times New Roman" w:eastAsia="宋体" w:cs="Times New Roman"/>
          <w:color w:val="auto"/>
          <w:sz w:val="21"/>
          <w:szCs w:val="21"/>
          <w:highlight w:val="none"/>
          <w:lang w:val="en-US" w:eastAsia="zh-CN"/>
        </w:rPr>
        <w:t>结算审核，结算审核金额为99.15万元，</w:t>
      </w:r>
      <w:r>
        <w:rPr>
          <w:rFonts w:hint="default" w:ascii="Times New Roman" w:hAnsi="Times New Roman" w:eastAsia="宋体" w:cs="Times New Roman"/>
          <w:color w:val="auto"/>
          <w:sz w:val="21"/>
          <w:szCs w:val="21"/>
          <w:highlight w:val="none"/>
          <w:lang w:val="en-US" w:eastAsia="zh-CN"/>
        </w:rPr>
        <w:t>截至2024年1</w:t>
      </w: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月30日，项目实施单位已完成支付施工费用</w:t>
      </w:r>
      <w:r>
        <w:rPr>
          <w:rFonts w:hint="eastAsia" w:ascii="Times New Roman" w:hAnsi="Times New Roman" w:eastAsia="宋体" w:cs="Times New Roman"/>
          <w:color w:val="auto"/>
          <w:sz w:val="21"/>
          <w:szCs w:val="21"/>
          <w:highlight w:val="none"/>
          <w:lang w:val="en-US" w:eastAsia="zh-CN"/>
        </w:rPr>
        <w:t>99.15</w:t>
      </w:r>
      <w:r>
        <w:rPr>
          <w:rFonts w:hint="default" w:ascii="Times New Roman" w:hAnsi="Times New Roman" w:eastAsia="宋体" w:cs="Times New Roman"/>
          <w:color w:val="auto"/>
          <w:sz w:val="21"/>
          <w:szCs w:val="21"/>
          <w:highlight w:val="none"/>
          <w:lang w:val="en-US" w:eastAsia="zh-CN"/>
        </w:rPr>
        <w:t>万元，</w:t>
      </w:r>
      <w:r>
        <w:rPr>
          <w:rFonts w:hint="eastAsia" w:eastAsia="宋体" w:cs="Times New Roman"/>
          <w:color w:val="auto"/>
          <w:sz w:val="21"/>
          <w:szCs w:val="21"/>
          <w:highlight w:val="none"/>
          <w:lang w:val="en-US" w:eastAsia="zh-CN"/>
        </w:rPr>
        <w:t>合同实际执行进度为100.00%，与</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施工合同</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关于付款周期的约定：“合同签订之日起</w:t>
      </w:r>
      <w:r>
        <w:rPr>
          <w:rFonts w:hint="eastAsia" w:ascii="Times New Roman" w:hAnsi="Times New Roman" w:eastAsia="宋体" w:cs="Times New Roman"/>
          <w:color w:val="auto"/>
          <w:sz w:val="21"/>
          <w:szCs w:val="21"/>
          <w:highlight w:val="none"/>
          <w:lang w:val="en-US" w:eastAsia="zh-CN"/>
        </w:rPr>
        <w:t>7</w:t>
      </w:r>
      <w:r>
        <w:rPr>
          <w:rFonts w:hint="default" w:ascii="Times New Roman" w:hAnsi="Times New Roman" w:eastAsia="宋体" w:cs="Times New Roman"/>
          <w:color w:val="auto"/>
          <w:sz w:val="21"/>
          <w:szCs w:val="21"/>
          <w:highlight w:val="none"/>
          <w:lang w:val="en-US" w:eastAsia="zh-CN"/>
        </w:rPr>
        <w:t>日内，甲方向乙方支付合同总款的30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工程施工进度完成至50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%时，甲方向乙方支付合同总款的20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工程竣工并经甲方验收合格后，甲方向乙方支付合同总款的47</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剩余3</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%为工程质量保证金，自工程验收合格之日起2年的工程质量保质期限届满，无任何质量问题时，由甲方一次性向乙方付清。”</w:t>
      </w:r>
      <w:r>
        <w:rPr>
          <w:rFonts w:hint="eastAsia" w:eastAsia="宋体" w:cs="Times New Roman"/>
          <w:color w:val="auto"/>
          <w:sz w:val="21"/>
          <w:szCs w:val="21"/>
          <w:highlight w:val="none"/>
          <w:lang w:val="en-US" w:eastAsia="zh-CN"/>
        </w:rPr>
        <w:t>不符</w:t>
      </w:r>
      <w:r>
        <w:rPr>
          <w:rFonts w:hint="eastAsia" w:ascii="Times New Roman" w:hAnsi="Times New Roman" w:eastAsia="宋体" w:cs="Times New Roman"/>
          <w:color w:val="auto"/>
          <w:sz w:val="21"/>
          <w:szCs w:val="21"/>
          <w:highlight w:val="none"/>
          <w:lang w:val="en-US" w:eastAsia="zh-CN"/>
        </w:rPr>
        <w:t>。</w:t>
      </w:r>
    </w:p>
    <w:p w14:paraId="74332502">
      <w:pPr>
        <w:numPr>
          <w:ilvl w:val="0"/>
          <w:numId w:val="0"/>
        </w:numPr>
        <w:spacing w:line="360" w:lineRule="auto"/>
        <w:ind w:firstLine="420" w:firstLineChars="20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二是</w:t>
      </w:r>
      <w:r>
        <w:rPr>
          <w:rFonts w:hint="eastAsia" w:eastAsia="宋体" w:cs="Times New Roman"/>
          <w:color w:val="auto"/>
          <w:sz w:val="21"/>
          <w:szCs w:val="21"/>
          <w:highlight w:val="none"/>
          <w:lang w:val="en-US" w:eastAsia="zh-CN"/>
        </w:rPr>
        <w:t>，</w:t>
      </w:r>
      <w:r>
        <w:rPr>
          <w:rFonts w:hint="eastAsia" w:ascii="Times New Roman" w:hAnsi="Times New Roman" w:eastAsia="宋体" w:cs="Times New Roman"/>
          <w:b w:val="0"/>
          <w:bCs w:val="0"/>
          <w:color w:val="auto"/>
          <w:kern w:val="2"/>
          <w:sz w:val="21"/>
          <w:szCs w:val="21"/>
          <w:highlight w:val="none"/>
          <w:lang w:val="en-US" w:eastAsia="zh-CN" w:bidi="ar-SA"/>
        </w:rPr>
        <w:t>根据</w:t>
      </w:r>
      <w:r>
        <w:rPr>
          <w:rFonts w:hint="eastAsia" w:ascii="Times New Roman" w:hAnsi="Times New Roman" w:eastAsia="宋体" w:cs="Times New Roman"/>
          <w:color w:val="auto"/>
          <w:kern w:val="2"/>
          <w:sz w:val="21"/>
          <w:szCs w:val="21"/>
          <w:highlight w:val="none"/>
          <w:lang w:val="en-US" w:eastAsia="zh-CN" w:bidi="ar-SA"/>
        </w:rPr>
        <w:t>伊宁县文化体育广播电视和旅游局提供的</w:t>
      </w:r>
      <w:r>
        <w:rPr>
          <w:rFonts w:hint="eastAsia" w:ascii="Times New Roman" w:hAnsi="Times New Roman" w:eastAsia="宋体" w:cs="Times New Roman"/>
          <w:b w:val="0"/>
          <w:bCs w:val="0"/>
          <w:color w:val="auto"/>
          <w:kern w:val="2"/>
          <w:sz w:val="21"/>
          <w:szCs w:val="21"/>
          <w:highlight w:val="none"/>
          <w:lang w:val="en-US" w:eastAsia="zh-CN" w:bidi="ar-SA"/>
        </w:rPr>
        <w:t>《情况说明》</w:t>
      </w:r>
      <w:r>
        <w:rPr>
          <w:rFonts w:hint="eastAsia" w:eastAsia="宋体" w:cs="Times New Roman"/>
          <w:b w:val="0"/>
          <w:bCs w:val="0"/>
          <w:color w:val="auto"/>
          <w:kern w:val="2"/>
          <w:sz w:val="21"/>
          <w:szCs w:val="21"/>
          <w:highlight w:val="none"/>
          <w:lang w:val="en-US" w:eastAsia="zh-CN" w:bidi="ar-SA"/>
        </w:rPr>
        <w:t>可知，</w:t>
      </w:r>
      <w:r>
        <w:rPr>
          <w:rFonts w:hint="eastAsia" w:ascii="Times New Roman" w:hAnsi="Times New Roman" w:eastAsia="宋体" w:cs="Times New Roman"/>
          <w:color w:val="auto"/>
          <w:sz w:val="21"/>
          <w:szCs w:val="21"/>
          <w:highlight w:val="none"/>
          <w:lang w:val="en-US" w:eastAsia="zh-CN"/>
        </w:rPr>
        <w:t>设计、监理、审计结算单位</w:t>
      </w:r>
      <w:r>
        <w:rPr>
          <w:rFonts w:hint="eastAsia" w:eastAsia="宋体" w:cs="Times New Roman"/>
          <w:color w:val="auto"/>
          <w:sz w:val="21"/>
          <w:szCs w:val="21"/>
          <w:highlight w:val="none"/>
          <w:lang w:val="en-US" w:eastAsia="zh-CN"/>
        </w:rPr>
        <w:t>实际为</w:t>
      </w:r>
      <w:r>
        <w:rPr>
          <w:rFonts w:ascii="Times New Roman" w:hAnsi="Times New Roman" w:eastAsia="宋体" w:cs="Times New Roman"/>
          <w:color w:val="auto"/>
          <w:sz w:val="21"/>
          <w:szCs w:val="21"/>
          <w:highlight w:val="none"/>
        </w:rPr>
        <w:t>项目实施单位</w:t>
      </w:r>
      <w:r>
        <w:rPr>
          <w:rFonts w:hint="eastAsia" w:eastAsia="宋体" w:cs="Times New Roman"/>
          <w:color w:val="auto"/>
          <w:sz w:val="21"/>
          <w:szCs w:val="21"/>
          <w:highlight w:val="none"/>
          <w:lang w:val="en-US" w:eastAsia="zh-CN"/>
        </w:rPr>
        <w:t>无偿提供服务</w:t>
      </w:r>
      <w:r>
        <w:rPr>
          <w:rFonts w:hint="eastAsia" w:ascii="Times New Roman" w:hAnsi="Times New Roman" w:eastAsia="宋体" w:cs="Times New Roman"/>
          <w:color w:val="auto"/>
          <w:sz w:val="21"/>
          <w:szCs w:val="21"/>
          <w:highlight w:val="none"/>
          <w:lang w:val="en-US" w:eastAsia="zh-CN"/>
        </w:rPr>
        <w:t>，</w:t>
      </w:r>
      <w:r>
        <w:rPr>
          <w:rFonts w:hint="eastAsia" w:eastAsia="宋体" w:cs="Times New Roman"/>
          <w:color w:val="auto"/>
          <w:sz w:val="21"/>
          <w:szCs w:val="21"/>
          <w:highlight w:val="none"/>
          <w:lang w:val="en-US" w:eastAsia="zh-CN"/>
        </w:rPr>
        <w:t>但</w:t>
      </w:r>
      <w:r>
        <w:rPr>
          <w:rFonts w:hint="eastAsia" w:ascii="Times New Roman" w:hAnsi="Times New Roman" w:eastAsia="宋体" w:cs="Times New Roman"/>
          <w:b w:val="0"/>
          <w:bCs w:val="0"/>
          <w:color w:val="auto"/>
          <w:kern w:val="2"/>
          <w:sz w:val="21"/>
          <w:szCs w:val="21"/>
          <w:highlight w:val="none"/>
          <w:lang w:val="en-US" w:eastAsia="zh-CN" w:bidi="ar-SA"/>
        </w:rPr>
        <w:t>缺失有法律效力的</w:t>
      </w:r>
      <w:r>
        <w:rPr>
          <w:rFonts w:hint="eastAsia" w:eastAsia="宋体" w:cs="Times New Roman"/>
          <w:b w:val="0"/>
          <w:bCs w:val="0"/>
          <w:color w:val="auto"/>
          <w:kern w:val="2"/>
          <w:sz w:val="21"/>
          <w:szCs w:val="21"/>
          <w:highlight w:val="none"/>
          <w:lang w:val="en-US" w:eastAsia="zh-CN" w:bidi="ar-SA"/>
        </w:rPr>
        <w:t>业务</w:t>
      </w:r>
      <w:r>
        <w:rPr>
          <w:rFonts w:hint="eastAsia" w:ascii="Times New Roman" w:hAnsi="Times New Roman" w:eastAsia="宋体" w:cs="Times New Roman"/>
          <w:color w:val="auto"/>
          <w:szCs w:val="21"/>
          <w:highlight w:val="none"/>
          <w:lang w:val="en-US" w:eastAsia="zh-CN"/>
        </w:rPr>
        <w:t>委托</w:t>
      </w:r>
      <w:r>
        <w:rPr>
          <w:rFonts w:hint="eastAsia" w:eastAsia="宋体" w:cs="Times New Roman"/>
          <w:color w:val="auto"/>
          <w:szCs w:val="21"/>
          <w:highlight w:val="none"/>
          <w:lang w:val="en-US" w:eastAsia="zh-CN"/>
        </w:rPr>
        <w:t>协议</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未</w:t>
      </w:r>
      <w:r>
        <w:rPr>
          <w:rFonts w:hint="eastAsia" w:eastAsia="宋体" w:cs="Times New Roman"/>
          <w:color w:val="auto"/>
          <w:sz w:val="21"/>
          <w:szCs w:val="21"/>
          <w:highlight w:val="none"/>
          <w:lang w:val="en-US" w:eastAsia="zh-CN"/>
        </w:rPr>
        <w:t>能</w:t>
      </w:r>
      <w:r>
        <w:rPr>
          <w:rFonts w:hint="eastAsia" w:ascii="Times New Roman" w:hAnsi="Times New Roman" w:eastAsia="宋体" w:cs="Times New Roman"/>
          <w:color w:val="auto"/>
          <w:sz w:val="21"/>
          <w:szCs w:val="21"/>
          <w:highlight w:val="none"/>
          <w:lang w:val="en-US" w:eastAsia="zh-CN"/>
        </w:rPr>
        <w:t>对项目</w:t>
      </w:r>
      <w:r>
        <w:rPr>
          <w:rFonts w:ascii="Times New Roman" w:hAnsi="Times New Roman" w:eastAsia="宋体" w:cs="Times New Roman"/>
          <w:color w:val="auto"/>
          <w:sz w:val="21"/>
          <w:szCs w:val="21"/>
          <w:highlight w:val="none"/>
        </w:rPr>
        <w:t>履约责任、服务标准、交付要求及争议解决方式等核心事项形成有效约束。</w:t>
      </w:r>
    </w:p>
    <w:p w14:paraId="700C4EEB">
      <w:pPr>
        <w:pStyle w:val="9"/>
        <w:numPr>
          <w:ilvl w:val="0"/>
          <w:numId w:val="0"/>
        </w:numPr>
        <w:spacing w:line="360" w:lineRule="auto"/>
        <w:ind w:left="0" w:leftChars="0" w:firstLine="422" w:firstLineChars="200"/>
        <w:rPr>
          <w:rFonts w:hint="eastAsia"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3.</w:t>
      </w:r>
      <w:r>
        <w:rPr>
          <w:rFonts w:hint="eastAsia" w:ascii="Times New Roman" w:hAnsi="Times New Roman" w:eastAsia="宋体"/>
          <w:b/>
          <w:bCs/>
          <w:color w:val="auto"/>
          <w:sz w:val="21"/>
          <w:szCs w:val="21"/>
          <w:highlight w:val="none"/>
          <w:lang w:val="en-US" w:eastAsia="zh-CN"/>
        </w:rPr>
        <w:t>项目实施过程管理不到位，未及时办理竣工结算</w:t>
      </w:r>
    </w:p>
    <w:p w14:paraId="3530721D">
      <w:pPr>
        <w:numPr>
          <w:ilvl w:val="-1"/>
          <w:numId w:val="0"/>
        </w:numPr>
        <w:spacing w:line="360" w:lineRule="auto"/>
        <w:ind w:firstLine="420" w:firstLineChars="20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一是</w:t>
      </w:r>
      <w:r>
        <w:rPr>
          <w:rFonts w:hint="eastAsia" w:eastAsia="宋体" w:cs="Times New Roman"/>
          <w:color w:val="auto"/>
          <w:sz w:val="21"/>
          <w:szCs w:val="21"/>
          <w:highlight w:val="none"/>
          <w:lang w:val="en-US" w:eastAsia="zh-CN"/>
        </w:rPr>
        <w:t>，项目提供可研报告的投资预算编制内容不完整。</w:t>
      </w:r>
      <w:r>
        <w:rPr>
          <w:rFonts w:hint="eastAsia" w:ascii="Times New Roman" w:hAnsi="Times New Roman" w:eastAsia="宋体" w:cs="Times New Roman"/>
          <w:color w:val="auto"/>
          <w:highlight w:val="none"/>
          <w:lang w:val="en-US" w:eastAsia="zh-CN"/>
        </w:rPr>
        <w:t>根据</w:t>
      </w:r>
      <w:r>
        <w:rPr>
          <w:rFonts w:hint="eastAsia" w:ascii="Times New Roman" w:hAnsi="Times New Roman" w:eastAsia="宋体" w:cs="Times New Roman"/>
          <w:color w:val="auto"/>
          <w:highlight w:val="none"/>
        </w:rPr>
        <w:t>《伊宁县全民健身场地建设项目可行性研究报告》</w:t>
      </w:r>
      <w:r>
        <w:rPr>
          <w:rFonts w:hint="eastAsia" w:ascii="Times New Roman" w:hAnsi="Times New Roman" w:eastAsia="宋体" w:cs="Times New Roman"/>
          <w:color w:val="auto"/>
          <w:highlight w:val="none"/>
          <w:lang w:val="en-US" w:eastAsia="zh-CN"/>
        </w:rPr>
        <w:t>预算编制包括</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本项目投资估算包括工程费用、工程建设其他费用、工程预备费等</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缺少关于预算编制的工程量估算表以及具体费用的构成明细</w:t>
      </w:r>
      <w:r>
        <w:rPr>
          <w:rFonts w:hint="eastAsia" w:ascii="Times New Roman" w:hAnsi="Times New Roman" w:eastAsia="宋体" w:cs="Times New Roman"/>
          <w:b w:val="0"/>
          <w:bCs w:val="0"/>
          <w:color w:val="auto"/>
          <w:kern w:val="2"/>
          <w:sz w:val="21"/>
          <w:szCs w:val="21"/>
          <w:highlight w:val="none"/>
          <w:lang w:val="en-US" w:eastAsia="zh-CN" w:bidi="ar-SA"/>
        </w:rPr>
        <w:t>。</w:t>
      </w:r>
    </w:p>
    <w:p w14:paraId="69CF78C5">
      <w:pPr>
        <w:pStyle w:val="9"/>
        <w:numPr>
          <w:ilvl w:val="0"/>
          <w:numId w:val="0"/>
        </w:numPr>
        <w:spacing w:line="360" w:lineRule="auto"/>
        <w:ind w:firstLine="420" w:firstLineChars="200"/>
        <w:rPr>
          <w:rFonts w:hint="eastAsia" w:ascii="Times New Roman" w:hAnsi="Times New Roman" w:eastAsia="宋体"/>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二是，</w:t>
      </w:r>
      <w:r>
        <w:rPr>
          <w:rFonts w:hint="eastAsia" w:ascii="Times New Roman" w:hAnsi="Times New Roman" w:eastAsia="宋体" w:cs="Times New Roman"/>
          <w:color w:val="auto"/>
          <w:sz w:val="21"/>
          <w:szCs w:val="21"/>
          <w:highlight w:val="none"/>
        </w:rPr>
        <w:t>工程竣工验收程序不够严谨</w:t>
      </w:r>
      <w:r>
        <w:rPr>
          <w:rFonts w:hint="eastAsia" w:ascii="Times New Roman" w:hAnsi="Times New Roman" w:eastAsia="宋体" w:cs="Times New Roman"/>
          <w:color w:val="auto"/>
          <w:sz w:val="21"/>
          <w:szCs w:val="21"/>
          <w:highlight w:val="none"/>
          <w:lang w:eastAsia="zh-CN"/>
        </w:rPr>
        <w:t>。经查看《吉里于孜镇上肉孜买提于孜村工程竣工验收记录表》，吉里于孜镇上肉孜买提于孜村、阿热吾斯塘镇托万克村两个村的验收内容整合至同一份验收单中，经查看</w:t>
      </w:r>
      <w:r>
        <w:rPr>
          <w:rFonts w:hint="eastAsia" w:ascii="Times New Roman" w:hAnsi="Times New Roman" w:eastAsia="宋体" w:cs="Times New Roman"/>
          <w:color w:val="auto"/>
          <w:sz w:val="21"/>
          <w:szCs w:val="21"/>
          <w:highlight w:val="none"/>
        </w:rPr>
        <w:t>《阿热吾斯塘镇托万克村竣工验收记录表》未填写验收日期。</w:t>
      </w:r>
    </w:p>
    <w:p w14:paraId="33C95D7E">
      <w:pPr>
        <w:pStyle w:val="9"/>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olor w:val="auto"/>
          <w:sz w:val="21"/>
          <w:szCs w:val="21"/>
          <w:highlight w:val="none"/>
          <w:lang w:val="en-US" w:eastAsia="zh-CN"/>
        </w:rPr>
        <w:t>三</w:t>
      </w:r>
      <w:r>
        <w:rPr>
          <w:rFonts w:hint="eastAsia" w:ascii="Times New Roman" w:hAnsi="Times New Roman" w:eastAsia="宋体" w:cs="Times New Roman"/>
          <w:color w:val="auto"/>
          <w:sz w:val="21"/>
          <w:szCs w:val="21"/>
          <w:highlight w:val="none"/>
          <w:lang w:val="en-US" w:eastAsia="zh-CN"/>
        </w:rPr>
        <w:t>是，</w:t>
      </w:r>
      <w:r>
        <w:rPr>
          <w:rFonts w:hint="eastAsia" w:ascii="Times New Roman" w:hAnsi="Times New Roman" w:eastAsia="宋体" w:cs="Times New Roman"/>
          <w:color w:val="auto"/>
          <w:sz w:val="21"/>
          <w:szCs w:val="21"/>
          <w:highlight w:val="none"/>
        </w:rPr>
        <w:t>工程竣工财务决算审计工作</w:t>
      </w:r>
      <w:r>
        <w:rPr>
          <w:rFonts w:hint="eastAsia" w:ascii="Times New Roman" w:hAnsi="Times New Roman" w:eastAsia="宋体" w:cs="Times New Roman"/>
          <w:color w:val="auto"/>
          <w:sz w:val="21"/>
          <w:szCs w:val="21"/>
          <w:highlight w:val="none"/>
          <w:lang w:val="en-US" w:eastAsia="zh-CN"/>
        </w:rPr>
        <w:t>开展不及时。</w:t>
      </w:r>
      <w:r>
        <w:rPr>
          <w:rFonts w:hint="default" w:ascii="Times New Roman" w:hAnsi="Times New Roman" w:eastAsia="宋体" w:cs="Times New Roman"/>
          <w:color w:val="auto"/>
          <w:sz w:val="21"/>
          <w:szCs w:val="21"/>
          <w:highlight w:val="none"/>
          <w:lang w:val="en-US" w:eastAsia="zh-CN"/>
        </w:rPr>
        <w:t>该项目于</w:t>
      </w:r>
      <w:r>
        <w:rPr>
          <w:rFonts w:hint="eastAsia" w:ascii="Times New Roman" w:hAnsi="Times New Roman" w:eastAsia="宋体" w:cs="Times New Roman"/>
          <w:color w:val="auto"/>
          <w:sz w:val="21"/>
          <w:szCs w:val="21"/>
          <w:highlight w:val="none"/>
          <w:lang w:val="en-US" w:eastAsia="zh-CN"/>
        </w:rPr>
        <w:t>2024年9月15日完成竣工验收，2024年9月21日通过工程结算审核，</w:t>
      </w:r>
      <w:r>
        <w:rPr>
          <w:rFonts w:hint="eastAsia" w:ascii="Times New Roman" w:hAnsi="Times New Roman" w:eastAsia="宋体" w:cs="Times New Roman"/>
          <w:color w:val="auto"/>
          <w:sz w:val="21"/>
          <w:szCs w:val="21"/>
          <w:highlight w:val="none"/>
        </w:rPr>
        <w:t>截至</w:t>
      </w:r>
      <w:r>
        <w:rPr>
          <w:rFonts w:hint="eastAsia" w:ascii="Times New Roman" w:hAnsi="Times New Roman" w:eastAsia="宋体" w:cs="Times New Roman"/>
          <w:color w:val="auto"/>
          <w:sz w:val="21"/>
          <w:szCs w:val="21"/>
          <w:highlight w:val="none"/>
          <w:lang w:val="en-US" w:eastAsia="zh-CN"/>
        </w:rPr>
        <w:t>本次绩效评价阶段</w:t>
      </w:r>
      <w:r>
        <w:rPr>
          <w:rFonts w:hint="eastAsia" w:ascii="Times New Roman" w:hAnsi="Times New Roman" w:eastAsia="宋体" w:cs="Times New Roman"/>
          <w:color w:val="auto"/>
          <w:sz w:val="21"/>
          <w:szCs w:val="21"/>
          <w:highlight w:val="none"/>
        </w:rPr>
        <w:t>，项目尚未完成工程竣工财务决算审计工作，</w:t>
      </w:r>
      <w:r>
        <w:rPr>
          <w:rFonts w:hint="eastAsia" w:ascii="Times New Roman" w:hAnsi="Times New Roman" w:eastAsia="宋体" w:cs="Times New Roman"/>
          <w:color w:val="auto"/>
          <w:sz w:val="21"/>
          <w:szCs w:val="21"/>
          <w:highlight w:val="none"/>
          <w:lang w:val="en-US" w:eastAsia="zh-CN"/>
        </w:rPr>
        <w:t>与</w:t>
      </w:r>
      <w:r>
        <w:rPr>
          <w:rFonts w:hint="eastAsia" w:ascii="Times New Roman" w:hAnsi="Times New Roman" w:eastAsia="宋体" w:cs="Times New Roman"/>
          <w:color w:val="auto"/>
          <w:sz w:val="21"/>
          <w:szCs w:val="21"/>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的规定</w:t>
      </w:r>
      <w:r>
        <w:rPr>
          <w:rFonts w:hint="eastAsia" w:ascii="Times New Roman" w:hAnsi="Times New Roman" w:eastAsia="宋体" w:cs="Times New Roman"/>
          <w:color w:val="auto"/>
          <w:sz w:val="21"/>
          <w:szCs w:val="21"/>
          <w:highlight w:val="none"/>
          <w:lang w:val="en-US" w:eastAsia="zh-CN"/>
        </w:rPr>
        <w:t>不相符。</w:t>
      </w:r>
    </w:p>
    <w:p w14:paraId="7513A57D">
      <w:pPr>
        <w:pStyle w:val="9"/>
        <w:numPr>
          <w:ilvl w:val="0"/>
          <w:numId w:val="0"/>
        </w:numPr>
        <w:spacing w:line="360" w:lineRule="auto"/>
        <w:ind w:left="0" w:leftChars="0" w:firstLine="422" w:firstLineChars="200"/>
        <w:rPr>
          <w:rFonts w:hint="default"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4.</w:t>
      </w:r>
      <w:r>
        <w:rPr>
          <w:rFonts w:hint="eastAsia" w:ascii="Times New Roman" w:hAnsi="Times New Roman" w:eastAsia="宋体"/>
          <w:b/>
          <w:bCs/>
          <w:color w:val="auto"/>
          <w:sz w:val="21"/>
          <w:szCs w:val="21"/>
          <w:highlight w:val="none"/>
          <w:lang w:val="en-US" w:eastAsia="zh-CN"/>
        </w:rPr>
        <w:t>项目资产未及时办理移交手续</w:t>
      </w:r>
    </w:p>
    <w:p w14:paraId="78C6EFA3">
      <w:pPr>
        <w:pStyle w:val="9"/>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该项目完工</w:t>
      </w:r>
      <w:r>
        <w:rPr>
          <w:rFonts w:hint="eastAsia" w:ascii="Times New Roman" w:hAnsi="Times New Roman" w:eastAsia="宋体" w:cs="Times New Roman"/>
          <w:color w:val="auto"/>
          <w:sz w:val="21"/>
          <w:szCs w:val="21"/>
          <w:highlight w:val="none"/>
          <w:lang w:val="en-US" w:eastAsia="zh-CN"/>
        </w:rPr>
        <w:t>后</w:t>
      </w:r>
      <w:r>
        <w:rPr>
          <w:rFonts w:hint="eastAsia" w:ascii="Times New Roman" w:hAnsi="Times New Roman" w:eastAsia="宋体" w:cs="Times New Roman"/>
          <w:color w:val="auto"/>
          <w:sz w:val="21"/>
          <w:szCs w:val="21"/>
          <w:highlight w:val="none"/>
        </w:rPr>
        <w:t>实际交付使用的主体</w:t>
      </w:r>
      <w:r>
        <w:rPr>
          <w:rFonts w:hint="eastAsia" w:ascii="Times New Roman" w:hAnsi="Times New Roman" w:eastAsia="宋体" w:cs="Times New Roman"/>
          <w:color w:val="auto"/>
          <w:sz w:val="21"/>
          <w:szCs w:val="21"/>
          <w:highlight w:val="none"/>
          <w:lang w:val="en-US" w:eastAsia="zh-CN"/>
        </w:rPr>
        <w:t>单位</w:t>
      </w:r>
      <w:r>
        <w:rPr>
          <w:rFonts w:hint="eastAsia" w:ascii="Times New Roman" w:hAnsi="Times New Roman" w:eastAsia="宋体" w:cs="Times New Roman"/>
          <w:color w:val="auto"/>
          <w:sz w:val="21"/>
          <w:szCs w:val="21"/>
          <w:highlight w:val="none"/>
        </w:rPr>
        <w:t>是伊宁县吉里于孜镇上肉孜买提于孜村</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伊宁县阿热吾斯塘镇托万克村；截至</w:t>
      </w:r>
      <w:r>
        <w:rPr>
          <w:rFonts w:hint="eastAsia" w:ascii="Times New Roman" w:hAnsi="Times New Roman" w:eastAsia="宋体" w:cs="Times New Roman"/>
          <w:color w:val="auto"/>
          <w:sz w:val="21"/>
          <w:szCs w:val="21"/>
          <w:highlight w:val="none"/>
          <w:lang w:val="en-US" w:eastAsia="zh-CN"/>
        </w:rPr>
        <w:t>本次绩效评价期间</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项目实施单位尚未</w:t>
      </w:r>
      <w:r>
        <w:rPr>
          <w:rFonts w:hint="eastAsia" w:ascii="Times New Roman" w:hAnsi="Times New Roman" w:eastAsia="宋体" w:cs="Times New Roman"/>
          <w:color w:val="auto"/>
          <w:sz w:val="21"/>
          <w:szCs w:val="21"/>
          <w:highlight w:val="none"/>
        </w:rPr>
        <w:t>依据《新疆维吾尔自治区行政事业单位国有资产管理办法》</w:t>
      </w:r>
      <w:r>
        <w:rPr>
          <w:rFonts w:hint="eastAsia" w:ascii="Times New Roman" w:hAnsi="Times New Roman" w:eastAsia="宋体" w:cs="Times New Roman"/>
          <w:color w:val="auto"/>
          <w:sz w:val="21"/>
          <w:szCs w:val="21"/>
          <w:highlight w:val="none"/>
          <w:lang w:val="en-US" w:eastAsia="zh-CN"/>
        </w:rPr>
        <w:t>等有关规定及时</w:t>
      </w:r>
      <w:r>
        <w:rPr>
          <w:rFonts w:hint="eastAsia" w:ascii="Times New Roman" w:hAnsi="Times New Roman" w:eastAsia="宋体" w:cs="Times New Roman"/>
          <w:color w:val="auto"/>
          <w:sz w:val="21"/>
          <w:szCs w:val="21"/>
          <w:highlight w:val="none"/>
        </w:rPr>
        <w:t>与</w:t>
      </w:r>
      <w:r>
        <w:rPr>
          <w:rFonts w:hint="eastAsia" w:ascii="Times New Roman" w:hAnsi="Times New Roman" w:eastAsia="宋体" w:cs="Times New Roman"/>
          <w:color w:val="auto"/>
          <w:sz w:val="21"/>
          <w:szCs w:val="21"/>
          <w:highlight w:val="none"/>
          <w:lang w:val="en-US" w:eastAsia="zh-CN"/>
        </w:rPr>
        <w:t>资产</w:t>
      </w:r>
      <w:r>
        <w:rPr>
          <w:rFonts w:hint="eastAsia" w:ascii="Times New Roman" w:hAnsi="Times New Roman" w:eastAsia="宋体" w:cs="Times New Roman"/>
          <w:color w:val="auto"/>
          <w:sz w:val="21"/>
          <w:szCs w:val="21"/>
          <w:highlight w:val="none"/>
        </w:rPr>
        <w:t>接收单位办理资产移交</w:t>
      </w:r>
      <w:r>
        <w:rPr>
          <w:rFonts w:hint="eastAsia" w:ascii="Times New Roman" w:hAnsi="Times New Roman" w:eastAsia="宋体" w:cs="Times New Roman"/>
          <w:color w:val="auto"/>
          <w:sz w:val="21"/>
          <w:szCs w:val="21"/>
          <w:highlight w:val="none"/>
          <w:lang w:val="en-US" w:eastAsia="zh-CN"/>
        </w:rPr>
        <w:t>手续</w:t>
      </w:r>
      <w:r>
        <w:rPr>
          <w:rFonts w:hint="eastAsia" w:ascii="Times New Roman" w:hAnsi="Times New Roman" w:eastAsia="宋体" w:cs="Times New Roman"/>
          <w:color w:val="auto"/>
          <w:sz w:val="21"/>
          <w:szCs w:val="21"/>
          <w:highlight w:val="none"/>
          <w:lang w:eastAsia="zh-CN"/>
        </w:rPr>
        <w:t>。</w:t>
      </w:r>
    </w:p>
    <w:p w14:paraId="144BB41E">
      <w:pPr>
        <w:pStyle w:val="9"/>
        <w:numPr>
          <w:ilvl w:val="0"/>
          <w:numId w:val="0"/>
        </w:numPr>
        <w:spacing w:line="360" w:lineRule="auto"/>
        <w:ind w:firstLine="422" w:firstLineChars="200"/>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5.</w:t>
      </w:r>
      <w:r>
        <w:rPr>
          <w:rFonts w:hint="eastAsia" w:ascii="Times New Roman" w:hAnsi="Times New Roman" w:eastAsia="宋体" w:cs="Times New Roman"/>
          <w:b/>
          <w:bCs/>
          <w:color w:val="auto"/>
          <w:sz w:val="21"/>
          <w:szCs w:val="21"/>
          <w:highlight w:val="none"/>
          <w:lang w:val="en-US" w:eastAsia="zh-CN"/>
        </w:rPr>
        <w:t>单位资产管理和采购管理制度不够健全</w:t>
      </w:r>
    </w:p>
    <w:p w14:paraId="67BB7F78">
      <w:pPr>
        <w:spacing w:line="360" w:lineRule="auto"/>
        <w:ind w:firstLine="42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项目单位资产管理制度中缺少关于单位资产验收、日常管理、维修维护、盘点调拨及处置等相关管理要求</w:t>
      </w:r>
      <w:r>
        <w:rPr>
          <w:rFonts w:hint="eastAsia" w:eastAsia="宋体" w:cs="Times New Roman"/>
          <w:color w:val="auto"/>
          <w:sz w:val="21"/>
          <w:szCs w:val="21"/>
          <w:highlight w:val="none"/>
          <w:lang w:val="en-US" w:eastAsia="zh-CN"/>
        </w:rPr>
        <w:t>；单位</w:t>
      </w:r>
      <w:r>
        <w:rPr>
          <w:rFonts w:hint="eastAsia" w:ascii="Times New Roman" w:hAnsi="Times New Roman" w:eastAsia="宋体" w:cs="Times New Roman"/>
          <w:color w:val="auto"/>
          <w:sz w:val="21"/>
          <w:szCs w:val="21"/>
          <w:highlight w:val="none"/>
          <w:lang w:val="en-US" w:eastAsia="zh-CN"/>
        </w:rPr>
        <w:t>采购</w:t>
      </w:r>
      <w:r>
        <w:rPr>
          <w:rFonts w:hint="eastAsia" w:eastAsia="宋体" w:cs="Times New Roman"/>
          <w:color w:val="auto"/>
          <w:sz w:val="21"/>
          <w:szCs w:val="21"/>
          <w:highlight w:val="none"/>
          <w:lang w:val="en-US" w:eastAsia="zh-CN"/>
        </w:rPr>
        <w:t>管理制度</w:t>
      </w:r>
      <w:r>
        <w:rPr>
          <w:rFonts w:hint="eastAsia" w:ascii="Times New Roman" w:hAnsi="Times New Roman" w:eastAsia="宋体" w:cs="Times New Roman"/>
          <w:color w:val="auto"/>
          <w:sz w:val="21"/>
          <w:szCs w:val="21"/>
          <w:highlight w:val="none"/>
          <w:lang w:val="en-US" w:eastAsia="zh-CN"/>
        </w:rPr>
        <w:t>仅原则性规定“采购应履行审批程序”，未</w:t>
      </w:r>
      <w:r>
        <w:rPr>
          <w:rFonts w:hint="eastAsia" w:eastAsia="宋体" w:cs="Times New Roman"/>
          <w:color w:val="auto"/>
          <w:sz w:val="21"/>
          <w:szCs w:val="21"/>
          <w:highlight w:val="none"/>
          <w:lang w:val="en-US" w:eastAsia="zh-CN"/>
        </w:rPr>
        <w:t>按照政府集采目录及《中华人民共和国政府采购法》等要求，</w:t>
      </w:r>
      <w:r>
        <w:rPr>
          <w:rFonts w:hint="eastAsia" w:ascii="Times New Roman" w:hAnsi="Times New Roman" w:eastAsia="宋体" w:cs="Times New Roman"/>
          <w:color w:val="auto"/>
          <w:sz w:val="21"/>
          <w:szCs w:val="21"/>
          <w:highlight w:val="none"/>
          <w:lang w:val="en-US" w:eastAsia="zh-CN"/>
        </w:rPr>
        <w:t>明确不同</w:t>
      </w:r>
      <w:r>
        <w:rPr>
          <w:rFonts w:hint="eastAsia" w:eastAsia="宋体" w:cs="Times New Roman"/>
          <w:color w:val="auto"/>
          <w:sz w:val="21"/>
          <w:szCs w:val="21"/>
          <w:highlight w:val="none"/>
          <w:lang w:val="en-US" w:eastAsia="zh-CN"/>
        </w:rPr>
        <w:t>采购</w:t>
      </w:r>
      <w:r>
        <w:rPr>
          <w:rFonts w:hint="eastAsia" w:ascii="Times New Roman" w:hAnsi="Times New Roman" w:eastAsia="宋体" w:cs="Times New Roman"/>
          <w:color w:val="auto"/>
          <w:sz w:val="21"/>
          <w:szCs w:val="21"/>
          <w:highlight w:val="none"/>
          <w:lang w:val="en-US" w:eastAsia="zh-CN"/>
        </w:rPr>
        <w:t>限额</w:t>
      </w:r>
      <w:r>
        <w:rPr>
          <w:rFonts w:hint="eastAsia" w:eastAsia="宋体" w:cs="Times New Roman"/>
          <w:color w:val="auto"/>
          <w:sz w:val="21"/>
          <w:szCs w:val="21"/>
          <w:highlight w:val="none"/>
          <w:lang w:val="en-US" w:eastAsia="zh-CN"/>
        </w:rPr>
        <w:t>和采购内容</w:t>
      </w:r>
      <w:r>
        <w:rPr>
          <w:rFonts w:hint="eastAsia" w:ascii="Times New Roman" w:hAnsi="Times New Roman" w:eastAsia="宋体" w:cs="Times New Roman"/>
          <w:color w:val="auto"/>
          <w:sz w:val="21"/>
          <w:szCs w:val="21"/>
          <w:highlight w:val="none"/>
          <w:lang w:val="en-US" w:eastAsia="zh-CN"/>
        </w:rPr>
        <w:t>对应的采购方式、操作流程、</w:t>
      </w:r>
      <w:r>
        <w:rPr>
          <w:rFonts w:hint="eastAsia" w:eastAsia="宋体" w:cs="Times New Roman"/>
          <w:color w:val="auto"/>
          <w:sz w:val="21"/>
          <w:szCs w:val="21"/>
          <w:highlight w:val="none"/>
          <w:lang w:val="en-US" w:eastAsia="zh-CN"/>
        </w:rPr>
        <w:t>采购审批权限及</w:t>
      </w:r>
      <w:r>
        <w:rPr>
          <w:rFonts w:hint="eastAsia" w:ascii="Times New Roman" w:hAnsi="Times New Roman" w:eastAsia="宋体" w:cs="Times New Roman"/>
          <w:color w:val="auto"/>
          <w:sz w:val="21"/>
          <w:szCs w:val="21"/>
          <w:highlight w:val="none"/>
          <w:lang w:val="en-US" w:eastAsia="zh-CN"/>
        </w:rPr>
        <w:t>职责分工等</w:t>
      </w:r>
      <w:r>
        <w:rPr>
          <w:rFonts w:hint="eastAsia" w:eastAsia="宋体" w:cs="Times New Roman"/>
          <w:color w:val="auto"/>
          <w:sz w:val="21"/>
          <w:szCs w:val="21"/>
          <w:highlight w:val="none"/>
          <w:lang w:val="en-US" w:eastAsia="zh-CN"/>
        </w:rPr>
        <w:t>采购内部控制内容</w:t>
      </w:r>
      <w:r>
        <w:rPr>
          <w:rFonts w:hint="eastAsia" w:ascii="Times New Roman" w:hAnsi="Times New Roman" w:eastAsia="宋体" w:cs="Times New Roman"/>
          <w:color w:val="auto"/>
          <w:sz w:val="21"/>
          <w:szCs w:val="21"/>
          <w:highlight w:val="none"/>
          <w:lang w:val="en-US" w:eastAsia="zh-CN"/>
        </w:rPr>
        <w:t>。</w:t>
      </w:r>
    </w:p>
    <w:p w14:paraId="6AB75D99">
      <w:pPr>
        <w:pageBreakBefore w:val="0"/>
        <w:kinsoku/>
        <w:wordWrap/>
        <w:overflowPunct/>
        <w:topLinePunct w:val="0"/>
        <w:autoSpaceDE/>
        <w:autoSpaceDN/>
        <w:bidi w:val="0"/>
        <w:snapToGrid w:val="0"/>
        <w:spacing w:before="0" w:after="0" w:line="360" w:lineRule="auto"/>
        <w:ind w:firstLine="241" w:firstLineChars="100"/>
        <w:rPr>
          <w:rFonts w:ascii="Times New Roman" w:hAnsi="Times New Roman" w:eastAsia="宋体" w:cs="Times New Roman"/>
          <w:b/>
          <w:bCs/>
          <w:color w:val="auto"/>
          <w:sz w:val="24"/>
          <w:szCs w:val="28"/>
          <w:highlight w:val="none"/>
        </w:rPr>
      </w:pPr>
      <w:r>
        <w:rPr>
          <w:rFonts w:ascii="Times New Roman" w:hAnsi="Times New Roman" w:eastAsia="宋体" w:cs="Times New Roman"/>
          <w:b/>
          <w:bCs/>
          <w:color w:val="auto"/>
          <w:sz w:val="24"/>
          <w:szCs w:val="28"/>
          <w:highlight w:val="none"/>
        </w:rPr>
        <w:t>（三）有关建议</w:t>
      </w:r>
    </w:p>
    <w:p w14:paraId="1256DD4A">
      <w:pPr>
        <w:numPr>
          <w:ilvl w:val="0"/>
          <w:numId w:val="0"/>
        </w:numPr>
        <w:spacing w:line="360" w:lineRule="auto"/>
        <w:ind w:firstLine="422" w:firstLineChars="200"/>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1.加强资金使用管理，强化</w:t>
      </w:r>
      <w:r>
        <w:rPr>
          <w:rFonts w:hint="eastAsia" w:eastAsia="宋体" w:cs="Times New Roman"/>
          <w:b/>
          <w:bCs/>
          <w:color w:val="auto"/>
          <w:kern w:val="2"/>
          <w:sz w:val="21"/>
          <w:szCs w:val="21"/>
          <w:highlight w:val="none"/>
          <w:lang w:val="en-US" w:eastAsia="zh-CN" w:bidi="ar-SA"/>
        </w:rPr>
        <w:t>会计核算规范性</w:t>
      </w:r>
    </w:p>
    <w:p w14:paraId="5E08759C">
      <w:pPr>
        <w:numPr>
          <w:ilvl w:val="-1"/>
          <w:numId w:val="0"/>
        </w:num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highlight w:val="none"/>
        </w:rPr>
        <w:t>建议</w:t>
      </w:r>
      <w:r>
        <w:rPr>
          <w:rFonts w:hint="eastAsia" w:ascii="Times New Roman" w:hAnsi="Times New Roman" w:eastAsia="宋体" w:cs="Times New Roman"/>
          <w:color w:val="auto"/>
          <w:highlight w:val="none"/>
          <w:lang w:val="en-US" w:eastAsia="zh-CN"/>
        </w:rPr>
        <w:t>实施</w:t>
      </w:r>
      <w:r>
        <w:rPr>
          <w:rFonts w:hint="eastAsia" w:ascii="Times New Roman" w:hAnsi="Times New Roman" w:eastAsia="宋体" w:cs="Times New Roman"/>
          <w:color w:val="auto"/>
          <w:highlight w:val="none"/>
        </w:rPr>
        <w:t>项目实施单位严格按照国家财经法规和财务管理制度相关规定</w:t>
      </w:r>
      <w:r>
        <w:rPr>
          <w:rFonts w:hint="eastAsia" w:ascii="Times New Roman" w:hAnsi="Times New Roman" w:eastAsia="宋体" w:cs="Times New Roman"/>
          <w:color w:val="auto"/>
          <w:highlight w:val="none"/>
          <w:lang w:val="en-US" w:eastAsia="zh-CN"/>
        </w:rPr>
        <w:t>管理使用</w:t>
      </w:r>
      <w:r>
        <w:rPr>
          <w:rFonts w:hint="eastAsia" w:eastAsia="宋体" w:cs="Times New Roman"/>
          <w:color w:val="auto"/>
          <w:highlight w:val="none"/>
          <w:lang w:val="en-US" w:eastAsia="zh-CN"/>
        </w:rPr>
        <w:t>专项</w:t>
      </w:r>
      <w:r>
        <w:rPr>
          <w:rFonts w:hint="eastAsia" w:ascii="Times New Roman" w:hAnsi="Times New Roman" w:eastAsia="宋体" w:cs="Times New Roman"/>
          <w:color w:val="auto"/>
          <w:highlight w:val="none"/>
          <w:lang w:val="en-US" w:eastAsia="zh-CN"/>
        </w:rPr>
        <w:t>资金</w:t>
      </w:r>
      <w:r>
        <w:rPr>
          <w:rFonts w:hint="eastAsia" w:ascii="Times New Roman" w:hAnsi="Times New Roman" w:eastAsia="宋体" w:cs="Times New Roman"/>
          <w:color w:val="auto"/>
          <w:highlight w:val="none"/>
        </w:rPr>
        <w:t>，确保各岗位审批职责落实到位，规范开展财务支出审批程序</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严格按照合同约定申请支付项目进度款</w:t>
      </w:r>
      <w:r>
        <w:rPr>
          <w:rFonts w:hint="eastAsia" w:eastAsia="宋体" w:cs="Times New Roman"/>
          <w:color w:val="auto"/>
          <w:highlight w:val="none"/>
          <w:lang w:val="en-US" w:eastAsia="zh-CN"/>
        </w:rPr>
        <w:t>，并按照</w:t>
      </w:r>
      <w:r>
        <w:rPr>
          <w:rFonts w:hint="eastAsia" w:eastAsia="宋体" w:cs="Times New Roman"/>
          <w:color w:val="auto"/>
          <w:sz w:val="21"/>
          <w:szCs w:val="21"/>
          <w:highlight w:val="none"/>
          <w:lang w:val="en-US" w:eastAsia="zh-CN"/>
        </w:rPr>
        <w:t>《政府会计准则》《会计基础工作规范》等财务法规要求规范开展基建项目支出的财务会计核算。</w:t>
      </w:r>
      <w:r>
        <w:rPr>
          <w:rFonts w:hint="eastAsia" w:ascii="Times New Roman" w:hAnsi="Times New Roman" w:eastAsia="宋体" w:cs="Times New Roman"/>
          <w:color w:val="auto"/>
          <w:highlight w:val="none"/>
        </w:rPr>
        <w:t>加强单位内部监督检查力度，对经济业务活动进行全面检查和评估，及时发现问题并积极进行整改，严肃财经纪律</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 w:val="0"/>
          <w:bCs w:val="0"/>
          <w:color w:val="auto"/>
          <w:kern w:val="2"/>
          <w:sz w:val="21"/>
          <w:szCs w:val="21"/>
          <w:highlight w:val="none"/>
          <w:lang w:val="en-US" w:eastAsia="zh-CN" w:bidi="ar-SA"/>
        </w:rPr>
        <w:t>确保专项资金使用合规、安全</w:t>
      </w:r>
      <w:r>
        <w:rPr>
          <w:rFonts w:hint="eastAsia" w:ascii="Times New Roman" w:hAnsi="Times New Roman" w:eastAsia="宋体" w:cs="Times New Roman"/>
          <w:color w:val="auto"/>
          <w:highlight w:val="none"/>
        </w:rPr>
        <w:t>。</w:t>
      </w:r>
    </w:p>
    <w:p w14:paraId="5D9EE728">
      <w:pPr>
        <w:spacing w:line="360" w:lineRule="auto"/>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2.加强项目</w:t>
      </w:r>
      <w:r>
        <w:rPr>
          <w:rFonts w:hint="eastAsia" w:eastAsia="宋体" w:cs="Times New Roman"/>
          <w:b/>
          <w:bCs/>
          <w:color w:val="auto"/>
          <w:sz w:val="21"/>
          <w:szCs w:val="21"/>
          <w:highlight w:val="none"/>
          <w:lang w:val="en-US" w:eastAsia="zh-CN"/>
        </w:rPr>
        <w:t>采购管理及</w:t>
      </w:r>
      <w:r>
        <w:rPr>
          <w:rFonts w:hint="eastAsia" w:ascii="Times New Roman" w:hAnsi="Times New Roman" w:eastAsia="宋体" w:cs="Times New Roman"/>
          <w:b/>
          <w:bCs/>
          <w:color w:val="auto"/>
          <w:sz w:val="21"/>
          <w:szCs w:val="21"/>
          <w:highlight w:val="none"/>
          <w:lang w:val="en-US" w:eastAsia="zh-CN"/>
        </w:rPr>
        <w:t>合同管理规范性，规避合同风险，强化合同履约质量</w:t>
      </w:r>
    </w:p>
    <w:p w14:paraId="3FC91C64">
      <w:pPr>
        <w:spacing w:line="360" w:lineRule="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建议项目实施单位</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一是</w:t>
      </w:r>
      <w:r>
        <w:rPr>
          <w:rFonts w:hint="eastAsia" w:ascii="Times New Roman" w:hAnsi="Times New Roman" w:cs="Times New Roman"/>
          <w:color w:val="auto"/>
          <w:highlight w:val="none"/>
          <w:lang w:eastAsia="zh-Hans"/>
        </w:rPr>
        <w:t>加强采购管理，按照政府采购</w:t>
      </w:r>
      <w:r>
        <w:rPr>
          <w:rFonts w:hint="eastAsia" w:ascii="Times New Roman" w:hAnsi="Times New Roman" w:cs="Times New Roman"/>
          <w:color w:val="auto"/>
          <w:highlight w:val="none"/>
          <w:lang w:val="en-US" w:eastAsia="zh-CN"/>
        </w:rPr>
        <w:t>管理</w:t>
      </w:r>
      <w:r>
        <w:rPr>
          <w:rFonts w:hint="eastAsia" w:ascii="Times New Roman" w:hAnsi="Times New Roman" w:cs="Times New Roman"/>
          <w:color w:val="auto"/>
          <w:highlight w:val="none"/>
          <w:lang w:eastAsia="zh-Hans"/>
        </w:rPr>
        <w:t>相关规定选定合适的采购方式，按规定履行采购流程，确保政府采购活动完整规范。</w:t>
      </w:r>
      <w:r>
        <w:rPr>
          <w:rFonts w:hint="eastAsia" w:cs="Times New Roman"/>
          <w:color w:val="auto"/>
          <w:highlight w:val="none"/>
          <w:lang w:val="en-US" w:eastAsia="zh-CN"/>
        </w:rPr>
        <w:t>二是</w:t>
      </w:r>
      <w:r>
        <w:rPr>
          <w:rFonts w:hint="eastAsia" w:ascii="Times New Roman" w:hAnsi="Times New Roman" w:eastAsia="宋体" w:cs="Times New Roman"/>
          <w:color w:val="auto"/>
          <w:sz w:val="21"/>
          <w:szCs w:val="21"/>
          <w:highlight w:val="none"/>
          <w:lang w:val="en-US" w:eastAsia="zh-CN"/>
        </w:rPr>
        <w:t>加强对单位对外签订合同的</w:t>
      </w:r>
      <w:r>
        <w:rPr>
          <w:rFonts w:hint="eastAsia" w:ascii="Times New Roman" w:hAnsi="Times New Roman" w:eastAsia="宋体" w:cs="Times New Roman"/>
          <w:color w:val="auto"/>
          <w:sz w:val="21"/>
          <w:szCs w:val="21"/>
          <w:highlight w:val="none"/>
        </w:rPr>
        <w:t>法律、财务、技术条款的审核，</w:t>
      </w:r>
      <w:r>
        <w:rPr>
          <w:rFonts w:hint="eastAsia" w:ascii="Times New Roman" w:hAnsi="Times New Roman" w:eastAsia="宋体" w:cs="Times New Roman"/>
          <w:color w:val="auto"/>
          <w:sz w:val="21"/>
          <w:szCs w:val="21"/>
          <w:highlight w:val="none"/>
          <w:lang w:val="en-US" w:eastAsia="zh-CN"/>
        </w:rPr>
        <w:t>必要时可</w:t>
      </w:r>
      <w:r>
        <w:rPr>
          <w:rFonts w:hint="eastAsia" w:ascii="Times New Roman" w:hAnsi="Times New Roman" w:eastAsia="宋体" w:cs="Times New Roman"/>
          <w:color w:val="auto"/>
          <w:sz w:val="21"/>
          <w:szCs w:val="21"/>
          <w:highlight w:val="none"/>
        </w:rPr>
        <w:t>引入审计、财政、司法部门</w:t>
      </w:r>
      <w:r>
        <w:rPr>
          <w:rFonts w:hint="eastAsia" w:ascii="Times New Roman" w:hAnsi="Times New Roman" w:eastAsia="宋体" w:cs="Times New Roman"/>
          <w:color w:val="auto"/>
          <w:sz w:val="21"/>
          <w:szCs w:val="21"/>
          <w:highlight w:val="none"/>
          <w:lang w:val="en-US" w:eastAsia="zh-CN"/>
        </w:rPr>
        <w:t>强化审核专业性</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确保项目</w:t>
      </w:r>
      <w:r>
        <w:rPr>
          <w:rFonts w:hint="eastAsia" w:eastAsia="宋体" w:cs="Times New Roman"/>
          <w:color w:val="auto"/>
          <w:sz w:val="21"/>
          <w:szCs w:val="21"/>
          <w:highlight w:val="none"/>
          <w:lang w:val="en-US" w:eastAsia="zh-CN"/>
        </w:rPr>
        <w:t>委托服务事项的</w:t>
      </w:r>
      <w:r>
        <w:rPr>
          <w:rFonts w:hint="eastAsia" w:ascii="Times New Roman" w:hAnsi="Times New Roman" w:eastAsia="宋体" w:cs="Times New Roman"/>
          <w:color w:val="auto"/>
          <w:sz w:val="21"/>
          <w:szCs w:val="21"/>
          <w:highlight w:val="none"/>
        </w:rPr>
        <w:t>服务内容、履约责任、服务标准、交付要求及争议解决方式等核心条款</w:t>
      </w:r>
      <w:r>
        <w:rPr>
          <w:rFonts w:hint="eastAsia" w:ascii="Times New Roman" w:hAnsi="Times New Roman" w:eastAsia="宋体" w:cs="Times New Roman"/>
          <w:color w:val="auto"/>
          <w:sz w:val="21"/>
          <w:szCs w:val="21"/>
          <w:highlight w:val="none"/>
          <w:lang w:val="en-US" w:eastAsia="zh-CN"/>
        </w:rPr>
        <w:t>清晰完整，</w:t>
      </w:r>
      <w:r>
        <w:rPr>
          <w:rFonts w:hint="eastAsia" w:ascii="Times New Roman" w:hAnsi="Times New Roman" w:eastAsia="宋体" w:cs="Times New Roman"/>
          <w:color w:val="auto"/>
          <w:sz w:val="21"/>
          <w:szCs w:val="21"/>
          <w:highlight w:val="none"/>
        </w:rPr>
        <w:t>确保合同</w:t>
      </w:r>
      <w:r>
        <w:rPr>
          <w:rFonts w:hint="eastAsia" w:ascii="Times New Roman" w:hAnsi="Times New Roman" w:eastAsia="宋体" w:cs="Times New Roman"/>
          <w:color w:val="auto"/>
          <w:sz w:val="21"/>
          <w:szCs w:val="21"/>
          <w:highlight w:val="none"/>
          <w:lang w:val="en-US" w:eastAsia="zh-CN"/>
        </w:rPr>
        <w:t>签订</w:t>
      </w:r>
      <w:r>
        <w:rPr>
          <w:rFonts w:hint="eastAsia" w:ascii="Times New Roman" w:hAnsi="Times New Roman" w:eastAsia="宋体" w:cs="Times New Roman"/>
          <w:color w:val="auto"/>
          <w:sz w:val="21"/>
          <w:szCs w:val="21"/>
          <w:highlight w:val="none"/>
        </w:rPr>
        <w:t>符合法律法规，提前识别法律风险，维护</w:t>
      </w:r>
      <w:r>
        <w:rPr>
          <w:rFonts w:hint="eastAsia" w:ascii="Times New Roman" w:hAnsi="Times New Roman" w:eastAsia="宋体" w:cs="Times New Roman"/>
          <w:color w:val="auto"/>
          <w:sz w:val="21"/>
          <w:szCs w:val="21"/>
          <w:highlight w:val="none"/>
          <w:lang w:val="en-US" w:eastAsia="zh-CN"/>
        </w:rPr>
        <w:t>合同双方的</w:t>
      </w:r>
      <w:r>
        <w:rPr>
          <w:rFonts w:hint="eastAsia" w:ascii="Times New Roman" w:hAnsi="Times New Roman" w:eastAsia="宋体" w:cs="Times New Roman"/>
          <w:color w:val="auto"/>
          <w:sz w:val="21"/>
          <w:szCs w:val="21"/>
          <w:highlight w:val="none"/>
        </w:rPr>
        <w:t>合法权益</w:t>
      </w:r>
      <w:r>
        <w:rPr>
          <w:rFonts w:hint="eastAsia"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建立健全合同履约风险评估机制，对合同履约过程进行实时监控和动态管理，及时发现并纠正合同执行偏差，规避合同风险，强化合同</w:t>
      </w:r>
      <w:r>
        <w:rPr>
          <w:rFonts w:hint="eastAsia" w:eastAsia="宋体" w:cs="Times New Roman"/>
          <w:color w:val="auto"/>
          <w:sz w:val="21"/>
          <w:szCs w:val="21"/>
          <w:highlight w:val="none"/>
          <w:lang w:val="en-US" w:eastAsia="zh-CN"/>
        </w:rPr>
        <w:t>履约质量</w:t>
      </w:r>
      <w:r>
        <w:rPr>
          <w:rFonts w:hint="eastAsia" w:ascii="Times New Roman" w:hAnsi="Times New Roman" w:eastAsia="宋体" w:cs="Times New Roman"/>
          <w:color w:val="auto"/>
          <w:sz w:val="21"/>
          <w:szCs w:val="21"/>
          <w:highlight w:val="none"/>
        </w:rPr>
        <w:t>‌。</w:t>
      </w:r>
    </w:p>
    <w:p w14:paraId="226D6783">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3</w:t>
      </w:r>
      <w:r>
        <w:rPr>
          <w:rFonts w:hint="default" w:ascii="Times New Roman" w:hAnsi="Times New Roman" w:eastAsia="宋体" w:cs="Times New Roman"/>
          <w:b/>
          <w:bCs/>
          <w:color w:val="auto"/>
          <w:sz w:val="21"/>
          <w:szCs w:val="21"/>
          <w:highlight w:val="none"/>
          <w:lang w:val="en-US" w:eastAsia="zh-CN"/>
        </w:rPr>
        <w:t>.加强项目建设管理规范性，提高项目管理水平</w:t>
      </w:r>
    </w:p>
    <w:p w14:paraId="0A73FBA8">
      <w:pPr>
        <w:pageBreakBefore w:val="0"/>
        <w:widowControl/>
        <w:numPr>
          <w:ilvl w:val="0"/>
          <w:numId w:val="0"/>
        </w:numPr>
        <w:kinsoku/>
        <w:wordWrap/>
        <w:overflowPunct/>
        <w:topLinePunct w:val="0"/>
        <w:autoSpaceDE/>
        <w:autoSpaceDN/>
        <w:bidi w:val="0"/>
        <w:adjustRightInd w:val="0"/>
        <w:snapToGrid w:val="0"/>
        <w:spacing w:line="360" w:lineRule="auto"/>
        <w:ind w:firstLine="420"/>
        <w:textAlignment w:val="auto"/>
        <w:rPr>
          <w:color w:val="auto"/>
          <w:highlight w:val="none"/>
        </w:rPr>
      </w:pPr>
      <w:r>
        <w:rPr>
          <w:rFonts w:hint="eastAsia" w:eastAsia="宋体" w:cs="Times New Roman"/>
          <w:color w:val="auto"/>
          <w:sz w:val="21"/>
          <w:szCs w:val="21"/>
          <w:highlight w:val="none"/>
          <w:lang w:val="en-US" w:eastAsia="zh-CN"/>
        </w:rPr>
        <w:t>一是</w:t>
      </w:r>
      <w:r>
        <w:rPr>
          <w:rFonts w:hint="default" w:ascii="Times New Roman" w:hAnsi="Times New Roman" w:eastAsia="宋体" w:cs="Times New Roman"/>
          <w:color w:val="auto"/>
          <w:sz w:val="21"/>
          <w:szCs w:val="21"/>
          <w:highlight w:val="none"/>
          <w:lang w:val="en-US" w:eastAsia="zh-CN"/>
        </w:rPr>
        <w:t>建议项目实施</w:t>
      </w:r>
      <w:r>
        <w:rPr>
          <w:rFonts w:hint="default" w:ascii="Times New Roman" w:hAnsi="Times New Roman" w:eastAsia="宋体" w:cs="Times New Roman"/>
          <w:b w:val="0"/>
          <w:bCs w:val="0"/>
          <w:color w:val="auto"/>
          <w:sz w:val="21"/>
          <w:szCs w:val="21"/>
          <w:highlight w:val="none"/>
          <w:lang w:val="en-US" w:eastAsia="zh-CN"/>
        </w:rPr>
        <w:t>单位</w:t>
      </w:r>
      <w:r>
        <w:rPr>
          <w:rFonts w:hint="default" w:ascii="Times New Roman" w:hAnsi="Times New Roman" w:eastAsia="宋体" w:cs="Times New Roman"/>
          <w:color w:val="auto"/>
          <w:sz w:val="21"/>
          <w:szCs w:val="21"/>
          <w:highlight w:val="none"/>
          <w:lang w:val="en-US" w:eastAsia="zh-CN"/>
        </w:rPr>
        <w:t>进一步强化项目前期准备工作，</w:t>
      </w:r>
      <w:r>
        <w:rPr>
          <w:rFonts w:hint="eastAsia" w:eastAsia="宋体" w:cs="Times New Roman"/>
          <w:color w:val="auto"/>
          <w:sz w:val="21"/>
          <w:szCs w:val="21"/>
          <w:highlight w:val="none"/>
          <w:lang w:val="en-US" w:eastAsia="zh-CN"/>
        </w:rPr>
        <w:t>提高项目前期决策工作的充分性。</w:t>
      </w:r>
      <w:r>
        <w:rPr>
          <w:rFonts w:hint="default" w:ascii="Times New Roman" w:hAnsi="Times New Roman" w:eastAsia="宋体" w:cs="Times New Roman"/>
          <w:color w:val="auto"/>
          <w:sz w:val="21"/>
          <w:szCs w:val="21"/>
          <w:highlight w:val="none"/>
          <w:lang w:val="en-US" w:eastAsia="zh-CN"/>
        </w:rPr>
        <w:t>在项目筹备阶段，充分结合项目实际需求与潜在变动因素，对投资估算涉及的</w:t>
      </w:r>
      <w:r>
        <w:rPr>
          <w:rFonts w:hint="eastAsia" w:eastAsia="宋体" w:cs="Times New Roman"/>
          <w:color w:val="auto"/>
          <w:sz w:val="21"/>
          <w:szCs w:val="21"/>
          <w:highlight w:val="none"/>
          <w:lang w:val="en-US" w:eastAsia="zh-CN"/>
        </w:rPr>
        <w:t>工程量及费用明细</w:t>
      </w:r>
      <w:r>
        <w:rPr>
          <w:rFonts w:hint="default" w:ascii="Times New Roman" w:hAnsi="Times New Roman" w:eastAsia="宋体" w:cs="Times New Roman"/>
          <w:color w:val="auto"/>
          <w:sz w:val="21"/>
          <w:szCs w:val="21"/>
          <w:highlight w:val="none"/>
          <w:lang w:val="en-US" w:eastAsia="zh-CN"/>
        </w:rPr>
        <w:t>进行全面调研与</w:t>
      </w:r>
      <w:r>
        <w:rPr>
          <w:rFonts w:hint="eastAsia" w:eastAsia="宋体" w:cs="Times New Roman"/>
          <w:color w:val="auto"/>
          <w:sz w:val="21"/>
          <w:szCs w:val="21"/>
          <w:highlight w:val="none"/>
          <w:lang w:val="en-US" w:eastAsia="zh-CN"/>
        </w:rPr>
        <w:t>评估</w:t>
      </w:r>
      <w:r>
        <w:rPr>
          <w:rFonts w:hint="default" w:ascii="Times New Roman" w:hAnsi="Times New Roman" w:eastAsia="宋体" w:cs="Times New Roman"/>
          <w:color w:val="auto"/>
          <w:sz w:val="21"/>
          <w:szCs w:val="21"/>
          <w:highlight w:val="none"/>
          <w:lang w:val="en-US" w:eastAsia="zh-CN"/>
        </w:rPr>
        <w:t>，确保预算编制紧密贴合项目实施实际</w:t>
      </w:r>
      <w:r>
        <w:rPr>
          <w:rFonts w:hint="eastAsia" w:eastAsia="宋体" w:cs="Times New Roman"/>
          <w:color w:val="auto"/>
          <w:sz w:val="21"/>
          <w:szCs w:val="21"/>
          <w:highlight w:val="none"/>
          <w:lang w:val="en-US" w:eastAsia="zh-CN"/>
        </w:rPr>
        <w:t>，并</w:t>
      </w:r>
      <w:r>
        <w:rPr>
          <w:rFonts w:hint="default" w:ascii="Times New Roman" w:hAnsi="Times New Roman" w:eastAsia="宋体" w:cs="Times New Roman"/>
          <w:color w:val="auto"/>
          <w:sz w:val="21"/>
          <w:szCs w:val="21"/>
          <w:highlight w:val="none"/>
          <w:lang w:val="en-US" w:eastAsia="zh-CN"/>
        </w:rPr>
        <w:t>对可行性研究报告</w:t>
      </w:r>
      <w:r>
        <w:rPr>
          <w:rFonts w:hint="eastAsia" w:eastAsia="宋体" w:cs="Times New Roman"/>
          <w:color w:val="auto"/>
          <w:sz w:val="21"/>
          <w:szCs w:val="21"/>
          <w:highlight w:val="none"/>
          <w:lang w:val="en-US" w:eastAsia="zh-CN"/>
        </w:rPr>
        <w:t>投资估算</w:t>
      </w:r>
      <w:r>
        <w:rPr>
          <w:rFonts w:hint="default" w:ascii="Times New Roman" w:hAnsi="Times New Roman" w:eastAsia="宋体" w:cs="Times New Roman"/>
          <w:color w:val="auto"/>
          <w:sz w:val="21"/>
          <w:szCs w:val="21"/>
          <w:highlight w:val="none"/>
          <w:lang w:val="en-US" w:eastAsia="zh-CN"/>
        </w:rPr>
        <w:t>的完整性、测算依据充分性</w:t>
      </w:r>
      <w:r>
        <w:rPr>
          <w:rFonts w:hint="eastAsia" w:eastAsia="宋体" w:cs="Times New Roman"/>
          <w:color w:val="auto"/>
          <w:sz w:val="21"/>
          <w:szCs w:val="21"/>
          <w:highlight w:val="none"/>
          <w:lang w:val="en-US" w:eastAsia="zh-CN"/>
        </w:rPr>
        <w:t>可经济可行性</w:t>
      </w:r>
      <w:r>
        <w:rPr>
          <w:rFonts w:hint="default" w:ascii="Times New Roman" w:hAnsi="Times New Roman" w:eastAsia="宋体" w:cs="Times New Roman"/>
          <w:color w:val="auto"/>
          <w:sz w:val="21"/>
          <w:szCs w:val="21"/>
          <w:highlight w:val="none"/>
          <w:lang w:val="en-US" w:eastAsia="zh-CN"/>
        </w:rPr>
        <w:t>进行</w:t>
      </w:r>
      <w:r>
        <w:rPr>
          <w:rFonts w:hint="eastAsia" w:eastAsia="宋体" w:cs="Times New Roman"/>
          <w:color w:val="auto"/>
          <w:sz w:val="21"/>
          <w:szCs w:val="21"/>
          <w:highlight w:val="none"/>
          <w:lang w:val="en-US" w:eastAsia="zh-CN"/>
        </w:rPr>
        <w:t>必要的评审</w:t>
      </w:r>
      <w:r>
        <w:rPr>
          <w:rFonts w:hint="default" w:ascii="Times New Roman" w:hAnsi="Times New Roman" w:eastAsia="宋体" w:cs="Times New Roman"/>
          <w:color w:val="auto"/>
          <w:sz w:val="21"/>
          <w:szCs w:val="21"/>
          <w:highlight w:val="none"/>
          <w:lang w:val="en-US" w:eastAsia="zh-CN"/>
        </w:rPr>
        <w:t>，确保</w:t>
      </w:r>
      <w:r>
        <w:rPr>
          <w:rFonts w:hint="eastAsia" w:eastAsia="宋体" w:cs="Times New Roman"/>
          <w:color w:val="auto"/>
          <w:sz w:val="21"/>
          <w:szCs w:val="21"/>
          <w:highlight w:val="none"/>
          <w:lang w:val="en-US" w:eastAsia="zh-CN"/>
        </w:rPr>
        <w:t>可行性研究报告内容和决策分析结果的可靠性</w:t>
      </w:r>
      <w:r>
        <w:rPr>
          <w:rFonts w:hint="default" w:ascii="Times New Roman" w:hAnsi="Times New Roman" w:eastAsia="宋体" w:cs="Times New Roman"/>
          <w:color w:val="auto"/>
          <w:sz w:val="21"/>
          <w:szCs w:val="21"/>
          <w:highlight w:val="none"/>
          <w:lang w:val="en-US" w:eastAsia="zh-CN"/>
        </w:rPr>
        <w:t>。</w:t>
      </w:r>
    </w:p>
    <w:p w14:paraId="53E15D89">
      <w:pPr>
        <w:pageBreakBefore w:val="0"/>
        <w:widowControl/>
        <w:numPr>
          <w:ilvl w:val="0"/>
          <w:numId w:val="0"/>
        </w:numPr>
        <w:kinsoku/>
        <w:wordWrap/>
        <w:overflowPunct/>
        <w:topLinePunct w:val="0"/>
        <w:autoSpaceDE/>
        <w:autoSpaceDN/>
        <w:bidi w:val="0"/>
        <w:adjustRightInd w:val="0"/>
        <w:snapToGrid w:val="0"/>
        <w:spacing w:line="360" w:lineRule="auto"/>
        <w:ind w:firstLine="420"/>
        <w:textAlignment w:val="auto"/>
        <w:rPr>
          <w:rFonts w:hint="eastAsia" w:eastAsiaTheme="minorEastAsia"/>
          <w:color w:val="auto"/>
          <w:highlight w:val="none"/>
          <w:lang w:val="en-US" w:eastAsia="zh-CN"/>
        </w:rPr>
      </w:pPr>
      <w:r>
        <w:rPr>
          <w:rFonts w:hint="eastAsia"/>
          <w:color w:val="auto"/>
          <w:highlight w:val="none"/>
          <w:lang w:val="en-US" w:eastAsia="zh-CN"/>
        </w:rPr>
        <w:t>二是建议项目实施单位进一步健全工程竣工验收管理制度，明确项目验收流程、责任分工及时间节点要求，严格执行“一项目一验收”原则，确保每个项目独立建档、独立验收、独立记录，做到验收内容完整、数据准确、签字手续齐全、日期明确，切实提升项目验收工作的规范性、严谨性和可追溯性。</w:t>
      </w:r>
    </w:p>
    <w:p w14:paraId="5260E4D1">
      <w:pPr>
        <w:spacing w:line="360" w:lineRule="auto"/>
        <w:rPr>
          <w:rFonts w:hint="default" w:ascii="Times New Roman" w:hAnsi="Times New Roman" w:eastAsia="宋体" w:cs="Times New Roman"/>
          <w:color w:val="auto"/>
          <w:sz w:val="21"/>
          <w:szCs w:val="21"/>
          <w:highlight w:val="none"/>
        </w:rPr>
      </w:pPr>
      <w:r>
        <w:rPr>
          <w:rFonts w:hint="eastAsia" w:eastAsia="宋体" w:cs="Times New Roman"/>
          <w:color w:val="auto"/>
          <w:sz w:val="21"/>
          <w:szCs w:val="21"/>
          <w:highlight w:val="none"/>
          <w:lang w:val="en-US" w:eastAsia="zh-CN"/>
        </w:rPr>
        <w:t>三</w:t>
      </w:r>
      <w:r>
        <w:rPr>
          <w:rFonts w:hint="eastAsia" w:ascii="Times New Roman" w:hAnsi="Times New Roman" w:eastAsia="宋体" w:cs="Times New Roman"/>
          <w:color w:val="auto"/>
          <w:sz w:val="21"/>
          <w:szCs w:val="21"/>
          <w:highlight w:val="none"/>
          <w:lang w:val="en-US" w:eastAsia="zh-CN"/>
        </w:rPr>
        <w:t>是</w:t>
      </w:r>
      <w:r>
        <w:rPr>
          <w:rFonts w:hint="default" w:ascii="Times New Roman" w:hAnsi="Times New Roman" w:eastAsia="宋体" w:cs="Times New Roman"/>
          <w:color w:val="auto"/>
          <w:sz w:val="21"/>
          <w:szCs w:val="21"/>
          <w:highlight w:val="none"/>
        </w:rPr>
        <w:t>建议项目实施单位按照《关于印发〈基本建设项目竣工财务决算管理暂行办法〉的通知》（财建〔2016〕503号）等政策规定，尽快开展项目竣工财务决算，</w:t>
      </w:r>
      <w:r>
        <w:rPr>
          <w:rFonts w:ascii="Times New Roman" w:hAnsi="Times New Roman" w:eastAsia="宋体" w:cs="Times New Roman"/>
          <w:i w:val="0"/>
          <w:iCs w:val="0"/>
          <w:caps w:val="0"/>
          <w:color w:val="auto"/>
          <w:spacing w:val="0"/>
          <w:sz w:val="21"/>
          <w:szCs w:val="21"/>
          <w:highlight w:val="none"/>
          <w:shd w:val="clear" w:fill="auto"/>
        </w:rPr>
        <w:t>为固定资产确权入账提供权威价值依据，明确资产归属与账面价值，避免资产流失，保障企业或国有资产安全</w:t>
      </w:r>
      <w:r>
        <w:rPr>
          <w:rFonts w:hint="default" w:ascii="Times New Roman" w:hAnsi="Times New Roman" w:eastAsia="宋体" w:cs="Times New Roman"/>
          <w:i w:val="0"/>
          <w:iCs w:val="0"/>
          <w:caps w:val="0"/>
          <w:color w:val="auto"/>
          <w:spacing w:val="0"/>
          <w:sz w:val="21"/>
          <w:szCs w:val="21"/>
          <w:highlight w:val="none"/>
          <w:shd w:val="clear" w:fill="auto"/>
          <w:lang w:eastAsia="zh-CN"/>
        </w:rPr>
        <w:t>。</w:t>
      </w:r>
      <w:r>
        <w:rPr>
          <w:rFonts w:hint="default" w:ascii="Times New Roman" w:hAnsi="Times New Roman" w:eastAsia="宋体" w:cs="Times New Roman"/>
          <w:color w:val="auto"/>
          <w:sz w:val="21"/>
          <w:szCs w:val="21"/>
          <w:highlight w:val="none"/>
        </w:rPr>
        <w:t>提高工程造价管理水平及积累技术经济资料，有效控制项目成本，提高经济效益。</w:t>
      </w:r>
    </w:p>
    <w:p w14:paraId="48EC90D1">
      <w:pPr>
        <w:spacing w:line="360" w:lineRule="auto"/>
        <w:rPr>
          <w:rFonts w:hint="default"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4.</w:t>
      </w:r>
      <w:r>
        <w:rPr>
          <w:rFonts w:hint="eastAsia" w:eastAsia="宋体" w:cs="Times New Roman"/>
          <w:b/>
          <w:bCs/>
          <w:color w:val="auto"/>
          <w:sz w:val="21"/>
          <w:szCs w:val="21"/>
          <w:highlight w:val="none"/>
          <w:lang w:val="en-US" w:eastAsia="zh-CN"/>
        </w:rPr>
        <w:t>加强项目</w:t>
      </w:r>
      <w:r>
        <w:rPr>
          <w:rFonts w:hint="eastAsia" w:ascii="Times New Roman" w:hAnsi="Times New Roman" w:eastAsia="宋体" w:cs="Times New Roman"/>
          <w:b/>
          <w:bCs/>
          <w:color w:val="auto"/>
          <w:sz w:val="21"/>
          <w:szCs w:val="21"/>
          <w:highlight w:val="none"/>
          <w:lang w:val="en-US" w:eastAsia="zh-CN"/>
        </w:rPr>
        <w:t>资产</w:t>
      </w:r>
      <w:r>
        <w:rPr>
          <w:rFonts w:hint="eastAsia" w:eastAsia="宋体" w:cs="Times New Roman"/>
          <w:b/>
          <w:bCs/>
          <w:color w:val="auto"/>
          <w:sz w:val="21"/>
          <w:szCs w:val="21"/>
          <w:highlight w:val="none"/>
          <w:lang w:val="en-US" w:eastAsia="zh-CN"/>
        </w:rPr>
        <w:t>管理规范性</w:t>
      </w:r>
    </w:p>
    <w:p w14:paraId="42DFBC83">
      <w:pPr>
        <w:spacing w:line="360" w:lineRule="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建议</w:t>
      </w:r>
      <w:r>
        <w:rPr>
          <w:rFonts w:hint="eastAsia" w:ascii="Times New Roman" w:hAnsi="Times New Roman" w:eastAsia="宋体" w:cs="Times New Roman"/>
          <w:color w:val="auto"/>
          <w:sz w:val="21"/>
          <w:szCs w:val="21"/>
          <w:highlight w:val="none"/>
        </w:rPr>
        <w:t>项目实施单位依据《政府会计准则第3号——固定资产》《行政事业性国有资产管理条例》《新疆维吾尔自治区行政事业单位国有资产管理办法</w:t>
      </w:r>
      <w:r>
        <w:rPr>
          <w:rFonts w:hint="eastAsia" w:eastAsia="宋体" w:cs="Times New Roman"/>
          <w:color w:val="auto"/>
          <w:sz w:val="21"/>
          <w:szCs w:val="21"/>
          <w:highlight w:val="none"/>
          <w:lang w:eastAsia="zh-CN"/>
        </w:rPr>
        <w:t>》等</w:t>
      </w:r>
      <w:r>
        <w:rPr>
          <w:rFonts w:hint="eastAsia" w:ascii="Times New Roman" w:hAnsi="Times New Roman" w:eastAsia="宋体" w:cs="Times New Roman"/>
          <w:color w:val="auto"/>
          <w:sz w:val="21"/>
          <w:szCs w:val="21"/>
          <w:highlight w:val="none"/>
        </w:rPr>
        <w:t>相关规定，尽快完成项目会计核算并将其计入固定资产。同时，主动与资产接收单位对接，按规范办理资产移交手续，确保资产权属清晰</w:t>
      </w:r>
      <w:r>
        <w:rPr>
          <w:rFonts w:hint="eastAsia"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管理</w:t>
      </w:r>
      <w:r>
        <w:rPr>
          <w:rFonts w:hint="eastAsia" w:eastAsia="宋体" w:cs="Times New Roman"/>
          <w:color w:val="auto"/>
          <w:sz w:val="21"/>
          <w:szCs w:val="21"/>
          <w:highlight w:val="none"/>
          <w:lang w:val="en-US" w:eastAsia="zh-CN"/>
        </w:rPr>
        <w:t>使用规范</w:t>
      </w:r>
      <w:r>
        <w:rPr>
          <w:rFonts w:hint="eastAsia" w:ascii="Times New Roman" w:hAnsi="Times New Roman" w:eastAsia="宋体" w:cs="Times New Roman"/>
          <w:color w:val="auto"/>
          <w:sz w:val="21"/>
          <w:szCs w:val="21"/>
          <w:highlight w:val="none"/>
        </w:rPr>
        <w:t>。</w:t>
      </w:r>
    </w:p>
    <w:p w14:paraId="68B42B22">
      <w:pPr>
        <w:spacing w:line="360" w:lineRule="auto"/>
        <w:rPr>
          <w:rFonts w:hint="default" w:ascii="Times New Roman" w:hAnsi="Times New Roman" w:eastAsia="宋体" w:cs="Times New Roman"/>
          <w:b/>
          <w:bCs/>
          <w:color w:val="auto"/>
          <w:sz w:val="21"/>
          <w:szCs w:val="21"/>
          <w:highlight w:val="none"/>
          <w:lang w:val="en-US" w:eastAsia="zh-CN"/>
        </w:rPr>
      </w:pPr>
      <w:r>
        <w:rPr>
          <w:rFonts w:hint="eastAsia" w:eastAsia="宋体" w:cs="Times New Roman"/>
          <w:b/>
          <w:bCs/>
          <w:color w:val="auto"/>
          <w:sz w:val="21"/>
          <w:szCs w:val="21"/>
          <w:highlight w:val="none"/>
          <w:lang w:val="en-US" w:eastAsia="zh-CN"/>
        </w:rPr>
        <w:t>5.规范资产管理与采购管理，完善内部管理制度体系</w:t>
      </w:r>
    </w:p>
    <w:p w14:paraId="33B7223D">
      <w:p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eastAsia="宋体" w:cs="Times New Roman"/>
          <w:color w:val="auto"/>
          <w:sz w:val="21"/>
          <w:szCs w:val="21"/>
          <w:highlight w:val="none"/>
          <w:lang w:val="en-US" w:eastAsia="zh-CN"/>
        </w:rPr>
        <w:t>建议项目实施单位以规范资产管理与采购管理、防范管理风险为目标，加快建立健全单位内部管理制度体系。一是，结合资产全生命周期管理需求，尽快补充制定资产验收、日常维护、定期盘点、调拨处置等关键环节的具体管理要求，明确操作标准、责任主体与流程节点，确保资产从入库到处置的各环节有规可依、责任到人。二是，对照政府集中采购目录及《中华人民共和国政府采购法》等法律法规，修订完善采购管理制度，细化不同采购限额、采购内容对应的采购方式选择标准、全流程操作规范，以及各层级采购审批权限与部门职责分工，健全采购内部控制机制，推动采购工作合法合规、高效有序开展，切实提升单位整体管理规范化水平。</w:t>
      </w:r>
    </w:p>
    <w:p w14:paraId="75923481">
      <w:pPr>
        <w:pStyle w:val="15"/>
        <w:pageBreakBefore w:val="0"/>
        <w:tabs>
          <w:tab w:val="right" w:leader="dot" w:pos="8879"/>
          <w:tab w:val="clear" w:pos="9356"/>
        </w:tabs>
        <w:kinsoku/>
        <w:wordWrap/>
        <w:overflowPunct/>
        <w:topLinePunct w:val="0"/>
        <w:autoSpaceDE/>
        <w:autoSpaceDN/>
        <w:bidi w:val="0"/>
        <w:snapToGrid w:val="0"/>
        <w:spacing w:before="0" w:after="0" w:line="360" w:lineRule="auto"/>
        <w:rPr>
          <w:rFonts w:ascii="Times New Roman" w:hAnsi="Times New Roman" w:eastAsia="宋体" w:cs="Times New Roman"/>
          <w:color w:val="auto"/>
          <w:highlight w:val="none"/>
        </w:rPr>
        <w:sectPr>
          <w:headerReference r:id="rId11" w:type="default"/>
          <w:footerReference r:id="rId12" w:type="default"/>
          <w:pgSz w:w="11906" w:h="16838"/>
          <w:pgMar w:top="1440" w:right="1797" w:bottom="1440" w:left="1797" w:header="850" w:footer="907" w:gutter="0"/>
          <w:pgNumType w:fmt="upperRoman" w:start="1"/>
          <w:cols w:space="720" w:num="1"/>
          <w:docGrid w:type="lines" w:linePitch="312" w:charSpace="0"/>
        </w:sectPr>
      </w:pPr>
    </w:p>
    <w:sdt>
      <w:sdtPr>
        <w:rPr>
          <w:rFonts w:eastAsia="宋体"/>
          <w:color w:val="auto"/>
          <w:szCs w:val="22"/>
          <w:highlight w:val="none"/>
        </w:rPr>
        <w:id w:val="147469479"/>
        <w:docPartObj>
          <w:docPartGallery w:val="Table of Contents"/>
          <w:docPartUnique/>
        </w:docPartObj>
      </w:sdtPr>
      <w:sdtEndPr>
        <w:rPr>
          <w:rFonts w:eastAsia="宋体"/>
          <w:b/>
          <w:color w:val="auto"/>
          <w:szCs w:val="21"/>
          <w:highlight w:val="none"/>
        </w:rPr>
      </w:sdtEndPr>
      <w:sdtContent>
        <w:p w14:paraId="2F23D65D">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
              <w:bCs w:val="0"/>
              <w:color w:val="auto"/>
              <w:sz w:val="28"/>
              <w:szCs w:val="28"/>
              <w:highlight w:val="none"/>
            </w:rPr>
            <w:t>目录</w:t>
          </w:r>
          <w:r>
            <w:rPr>
              <w:rFonts w:eastAsia="宋体"/>
              <w:color w:val="auto"/>
              <w:highlight w:val="none"/>
            </w:rPr>
            <w:fldChar w:fldCharType="begin"/>
          </w:r>
          <w:r>
            <w:rPr>
              <w:rFonts w:eastAsia="宋体"/>
              <w:color w:val="auto"/>
              <w:highlight w:val="none"/>
            </w:rPr>
            <w:instrText xml:space="preserve">TOC \o "1-2" \h \u </w:instrText>
          </w:r>
          <w:r>
            <w:rPr>
              <w:rFonts w:eastAsia="宋体"/>
              <w:color w:val="auto"/>
              <w:highlight w:val="none"/>
            </w:rPr>
            <w:fldChar w:fldCharType="separate"/>
          </w:r>
        </w:p>
        <w:p w14:paraId="24B6A99B">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_Toc15500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lang w:val="en-US" w:eastAsia="zh-CN"/>
            </w:rPr>
            <w:t>一、基本情况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_Toc15500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A530E64">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_Toc853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rPr>
            <w:t>（一）</w:t>
          </w:r>
          <w:r>
            <w:rPr>
              <w:rFonts w:hint="default" w:ascii="Times New Roman" w:hAnsi="Times New Roman" w:eastAsia="宋体" w:cs="Times New Roman"/>
              <w:bCs w:val="0"/>
              <w:color w:val="auto"/>
              <w:kern w:val="2"/>
              <w:sz w:val="21"/>
              <w:szCs w:val="21"/>
              <w:highlight w:val="none"/>
              <w:lang w:val="en-US" w:eastAsia="zh-CN"/>
            </w:rPr>
            <w:t>项目概况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_Toc853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20A0600">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_Toc23607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（二）</w:t>
          </w:r>
          <w:r>
            <w:rPr>
              <w:rFonts w:ascii="Times New Roman" w:hAnsi="Times New Roman" w:eastAsia="宋体" w:cs="Times New Roman"/>
              <w:bCs w:val="0"/>
              <w:color w:val="auto"/>
              <w:kern w:val="2"/>
              <w:sz w:val="21"/>
              <w:szCs w:val="21"/>
              <w:highlight w:val="none"/>
            </w:rPr>
            <w:t>资金投入和使用情况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_Toc23607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EF9EAB2">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_Toc27532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项目实施情况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_Toc27532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AE447F4">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_Toc13740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（四）</w:t>
          </w:r>
          <w:r>
            <w:rPr>
              <w:rFonts w:ascii="Times New Roman" w:hAnsi="Times New Roman" w:eastAsia="宋体" w:cs="Times New Roman"/>
              <w:bCs w:val="0"/>
              <w:color w:val="auto"/>
              <w:kern w:val="2"/>
              <w:sz w:val="21"/>
              <w:szCs w:val="21"/>
              <w:highlight w:val="none"/>
            </w:rPr>
            <w:t>项目组织管理</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_Toc13740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1202F62F">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_Toc3661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二、项目绩效目标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_Toc3661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A6B0B70">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_Toc24386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（一）</w:t>
          </w:r>
          <w:r>
            <w:rPr>
              <w:rFonts w:ascii="Times New Roman" w:hAnsi="Times New Roman" w:eastAsia="宋体" w:cs="Times New Roman"/>
              <w:bCs w:val="0"/>
              <w:color w:val="auto"/>
              <w:kern w:val="2"/>
              <w:sz w:val="21"/>
              <w:szCs w:val="21"/>
              <w:highlight w:val="none"/>
            </w:rPr>
            <w:t>项目绩效总目标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_Toc24386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5DB8633">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_Toc8647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（二）年度绩效</w:t>
          </w:r>
          <w:r>
            <w:rPr>
              <w:rFonts w:ascii="Times New Roman" w:hAnsi="Times New Roman" w:eastAsia="宋体" w:cs="Times New Roman"/>
              <w:bCs w:val="0"/>
              <w:color w:val="auto"/>
              <w:kern w:val="2"/>
              <w:sz w:val="21"/>
              <w:szCs w:val="21"/>
              <w:highlight w:val="none"/>
            </w:rPr>
            <w:t>目标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_Toc8647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22857B84">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_Toc10295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、绩效评价工作开展情况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_Toc10295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5A21441">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_Toc8283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（一</w:t>
          </w:r>
          <w:r>
            <w:rPr>
              <w:rFonts w:ascii="Times New Roman" w:hAnsi="Times New Roman" w:eastAsia="宋体" w:cs="Times New Roman"/>
              <w:bCs w:val="0"/>
              <w:color w:val="auto"/>
              <w:kern w:val="2"/>
              <w:sz w:val="21"/>
              <w:szCs w:val="21"/>
              <w:highlight w:val="none"/>
            </w:rPr>
            <w:t>）绩效评价</w:t>
          </w:r>
          <w:r>
            <w:rPr>
              <w:rFonts w:hint="eastAsia" w:ascii="Times New Roman" w:hAnsi="Times New Roman" w:eastAsia="宋体" w:cs="Times New Roman"/>
              <w:bCs w:val="0"/>
              <w:color w:val="auto"/>
              <w:kern w:val="2"/>
              <w:sz w:val="21"/>
              <w:szCs w:val="21"/>
              <w:highlight w:val="none"/>
            </w:rPr>
            <w:t>依据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_Toc8283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E4324EF">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_Toc30019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w:t>
          </w:r>
          <w:r>
            <w:rPr>
              <w:rFonts w:hint="eastAsia" w:ascii="Times New Roman" w:hAnsi="Times New Roman" w:eastAsia="宋体" w:cs="Times New Roman"/>
              <w:bCs w:val="0"/>
              <w:color w:val="auto"/>
              <w:kern w:val="2"/>
              <w:sz w:val="21"/>
              <w:szCs w:val="21"/>
              <w:highlight w:val="none"/>
            </w:rPr>
            <w:t>二</w:t>
          </w:r>
          <w:r>
            <w:rPr>
              <w:rFonts w:ascii="Times New Roman" w:hAnsi="Times New Roman" w:eastAsia="宋体" w:cs="Times New Roman"/>
              <w:bCs w:val="0"/>
              <w:color w:val="auto"/>
              <w:kern w:val="2"/>
              <w:sz w:val="21"/>
              <w:szCs w:val="21"/>
              <w:highlight w:val="none"/>
            </w:rPr>
            <w:t>）绩效评价目的、对象和范围</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_Toc30019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7</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CB8F9A0">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_Toc24449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w:t>
          </w:r>
          <w:r>
            <w:rPr>
              <w:rFonts w:hint="eastAsia" w:ascii="Times New Roman" w:hAnsi="Times New Roman" w:eastAsia="宋体" w:cs="Times New Roman"/>
              <w:bCs w:val="0"/>
              <w:color w:val="auto"/>
              <w:kern w:val="2"/>
              <w:sz w:val="21"/>
              <w:szCs w:val="21"/>
              <w:highlight w:val="none"/>
            </w:rPr>
            <w:t>三</w:t>
          </w:r>
          <w:r>
            <w:rPr>
              <w:rFonts w:ascii="Times New Roman" w:hAnsi="Times New Roman" w:eastAsia="宋体" w:cs="Times New Roman"/>
              <w:bCs w:val="0"/>
              <w:color w:val="auto"/>
              <w:kern w:val="2"/>
              <w:sz w:val="21"/>
              <w:szCs w:val="21"/>
              <w:highlight w:val="none"/>
            </w:rPr>
            <w:t>）绩效评价原则</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_Toc24449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7</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51538E8">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_Toc17174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（四）</w:t>
          </w:r>
          <w:r>
            <w:rPr>
              <w:rFonts w:ascii="Times New Roman" w:hAnsi="Times New Roman" w:eastAsia="宋体" w:cs="Times New Roman"/>
              <w:bCs w:val="0"/>
              <w:color w:val="auto"/>
              <w:kern w:val="2"/>
              <w:sz w:val="21"/>
              <w:szCs w:val="21"/>
              <w:highlight w:val="none"/>
            </w:rPr>
            <w:t>绩效评价标准</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_Toc17174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8</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EB27F10">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_Toc23002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（五）</w:t>
          </w:r>
          <w:r>
            <w:rPr>
              <w:rFonts w:ascii="Times New Roman" w:hAnsi="Times New Roman" w:eastAsia="宋体" w:cs="Times New Roman"/>
              <w:bCs w:val="0"/>
              <w:color w:val="auto"/>
              <w:kern w:val="2"/>
              <w:sz w:val="21"/>
              <w:szCs w:val="21"/>
              <w:highlight w:val="none"/>
            </w:rPr>
            <w:t>绩效评价方法</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_Toc23002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8</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E75B05F">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_Toc6073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w:t>
          </w:r>
          <w:r>
            <w:rPr>
              <w:rFonts w:hint="eastAsia" w:ascii="Times New Roman" w:hAnsi="Times New Roman" w:eastAsia="宋体" w:cs="Times New Roman"/>
              <w:bCs w:val="0"/>
              <w:color w:val="auto"/>
              <w:kern w:val="2"/>
              <w:sz w:val="21"/>
              <w:szCs w:val="21"/>
              <w:highlight w:val="none"/>
              <w:lang w:val="en-US" w:eastAsia="zh-CN"/>
            </w:rPr>
            <w:t>六</w:t>
          </w:r>
          <w:r>
            <w:rPr>
              <w:rFonts w:hint="eastAsia" w:ascii="Times New Roman" w:hAnsi="Times New Roman" w:eastAsia="宋体" w:cs="Times New Roman"/>
              <w:bCs w:val="0"/>
              <w:color w:val="auto"/>
              <w:kern w:val="2"/>
              <w:sz w:val="21"/>
              <w:szCs w:val="21"/>
              <w:highlight w:val="none"/>
            </w:rPr>
            <w:t>）</w:t>
          </w:r>
          <w:r>
            <w:rPr>
              <w:rFonts w:ascii="Times New Roman" w:hAnsi="Times New Roman" w:eastAsia="宋体" w:cs="Times New Roman"/>
              <w:bCs w:val="0"/>
              <w:color w:val="auto"/>
              <w:kern w:val="2"/>
              <w:sz w:val="21"/>
              <w:szCs w:val="21"/>
              <w:highlight w:val="none"/>
            </w:rPr>
            <w:t>绩效评价指标体系</w:t>
          </w:r>
          <w:r>
            <w:rPr>
              <w:rFonts w:hint="eastAsia" w:ascii="Times New Roman" w:hAnsi="Times New Roman" w:eastAsia="宋体" w:cs="Times New Roman"/>
              <w:bCs w:val="0"/>
              <w:color w:val="auto"/>
              <w:kern w:val="2"/>
              <w:sz w:val="21"/>
              <w:szCs w:val="21"/>
              <w:highlight w:val="none"/>
            </w:rPr>
            <w:t>设计</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_Toc6073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9F90F72">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_Toc17292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w:t>
          </w:r>
          <w:r>
            <w:rPr>
              <w:rFonts w:hint="eastAsia" w:ascii="Times New Roman" w:hAnsi="Times New Roman" w:eastAsia="宋体" w:cs="Times New Roman"/>
              <w:bCs w:val="0"/>
              <w:color w:val="auto"/>
              <w:kern w:val="2"/>
              <w:sz w:val="21"/>
              <w:szCs w:val="21"/>
              <w:highlight w:val="none"/>
            </w:rPr>
            <w:t>七</w:t>
          </w:r>
          <w:r>
            <w:rPr>
              <w:rFonts w:ascii="Times New Roman" w:hAnsi="Times New Roman" w:eastAsia="宋体" w:cs="Times New Roman"/>
              <w:bCs w:val="0"/>
              <w:color w:val="auto"/>
              <w:kern w:val="2"/>
              <w:sz w:val="21"/>
              <w:szCs w:val="21"/>
              <w:highlight w:val="none"/>
            </w:rPr>
            <w:t>）绩效评价工作过程</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_Toc17292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1C3458AE">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_Toc3054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四</w:t>
          </w:r>
          <w:r>
            <w:rPr>
              <w:rFonts w:ascii="Times New Roman" w:hAnsi="Times New Roman" w:eastAsia="宋体" w:cs="Times New Roman"/>
              <w:bCs w:val="0"/>
              <w:color w:val="auto"/>
              <w:kern w:val="2"/>
              <w:sz w:val="21"/>
              <w:szCs w:val="21"/>
              <w:highlight w:val="none"/>
            </w:rPr>
            <w:t>、综合评价情况及评价结论</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_Toc3054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7414AF4">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_Toc6822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（一）评价得分情况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_Toc6822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F9EEE03">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_Toc5273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（二）综合评价结论</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_Toc5273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6A96F45E">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_Toc23384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五</w:t>
          </w:r>
          <w:r>
            <w:rPr>
              <w:rFonts w:ascii="Times New Roman" w:hAnsi="Times New Roman" w:eastAsia="宋体" w:cs="Times New Roman"/>
              <w:bCs w:val="0"/>
              <w:color w:val="auto"/>
              <w:kern w:val="2"/>
              <w:sz w:val="21"/>
              <w:szCs w:val="21"/>
              <w:highlight w:val="none"/>
            </w:rPr>
            <w:t>、绩效评价指标分析</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_Toc23384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6A9FF0E7">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_Toc13440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（一）项目决策情况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_Toc13440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73FA57A">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_Toc32586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（二）项目过程情况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_Toc32586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15</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AF0DF0E">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_Toc16601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（三）项目产出情况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_Toc16601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17</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76D26D6">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_Toc26713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（四）项目效益情况</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_Toc26713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19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0318CBC">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_Toc30593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六</w:t>
          </w:r>
          <w:r>
            <w:rPr>
              <w:rFonts w:ascii="Times New Roman" w:hAnsi="Times New Roman" w:eastAsia="宋体" w:cs="Times New Roman"/>
              <w:bCs w:val="0"/>
              <w:color w:val="auto"/>
              <w:kern w:val="2"/>
              <w:sz w:val="21"/>
              <w:szCs w:val="21"/>
              <w:highlight w:val="none"/>
            </w:rPr>
            <w:t>、主要经验及做法、存在的问题及原因分析</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_Toc30593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E112EB8">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_Toc6782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（一）主要经验及做法</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_Toc6782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0BFD4C4">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_Toc1453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（二）存在的问题</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_Toc1453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0AC2DBA1">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_Toc14245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七</w:t>
          </w:r>
          <w:r>
            <w:rPr>
              <w:rFonts w:ascii="Times New Roman" w:hAnsi="Times New Roman" w:eastAsia="宋体" w:cs="Times New Roman"/>
              <w:bCs w:val="0"/>
              <w:color w:val="auto"/>
              <w:kern w:val="2"/>
              <w:sz w:val="21"/>
              <w:szCs w:val="21"/>
              <w:highlight w:val="none"/>
            </w:rPr>
            <w:t>、有关建议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_Toc14245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22</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8677399">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_Toc26606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rPr>
            <w:t>八、绩效评价结果应用建议</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_Toc26606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70E0B5B0">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_Toc27780 </w:instrText>
          </w:r>
          <w:r>
            <w:rPr>
              <w:rFonts w:ascii="Times New Roman" w:hAnsi="Times New Roman" w:eastAsia="宋体" w:cs="Times New Roman"/>
              <w:bCs w:val="0"/>
              <w:color w:val="auto"/>
              <w:kern w:val="2"/>
              <w:sz w:val="21"/>
              <w:szCs w:val="21"/>
              <w:highlight w:val="none"/>
            </w:rPr>
            <w:fldChar w:fldCharType="separate"/>
          </w:r>
          <w:r>
            <w:rPr>
              <w:rFonts w:hint="eastAsia" w:ascii="Times New Roman" w:hAnsi="Times New Roman" w:eastAsia="宋体" w:cs="Times New Roman"/>
              <w:bCs w:val="0"/>
              <w:color w:val="auto"/>
              <w:kern w:val="2"/>
              <w:sz w:val="21"/>
              <w:szCs w:val="21"/>
              <w:highlight w:val="none"/>
              <w:lang w:val="en-US" w:eastAsia="zh-CN"/>
            </w:rPr>
            <w:t>九</w:t>
          </w:r>
          <w:r>
            <w:rPr>
              <w:rFonts w:ascii="Times New Roman" w:hAnsi="Times New Roman" w:eastAsia="宋体" w:cs="Times New Roman"/>
              <w:bCs w:val="0"/>
              <w:color w:val="auto"/>
              <w:kern w:val="2"/>
              <w:sz w:val="21"/>
              <w:szCs w:val="21"/>
              <w:highlight w:val="none"/>
            </w:rPr>
            <w:t>、其他需要说明的问题</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_Toc27780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23</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8C9E00D">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_Toc13898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附件1：绩效评价指标体系及综合评价表</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_Toc13898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7271AE5">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_Toc15287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附件2：基础表</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_Toc15287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29</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58DF4349">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_Toc24867 </w:instrText>
          </w:r>
          <w:r>
            <w:rPr>
              <w:rFonts w:ascii="Times New Roman" w:hAnsi="Times New Roman" w:eastAsia="宋体" w:cs="Times New Roman"/>
              <w:bCs w:val="0"/>
              <w:color w:val="auto"/>
              <w:kern w:val="2"/>
              <w:sz w:val="21"/>
              <w:szCs w:val="21"/>
              <w:highlight w:val="none"/>
            </w:rPr>
            <w:fldChar w:fldCharType="separate"/>
          </w:r>
          <w:r>
            <w:rPr>
              <w:rFonts w:hint="default" w:ascii="Times New Roman" w:hAnsi="Times New Roman" w:eastAsia="宋体" w:cs="Times New Roman"/>
              <w:bCs w:val="0"/>
              <w:color w:val="auto"/>
              <w:kern w:val="2"/>
              <w:sz w:val="21"/>
              <w:szCs w:val="21"/>
              <w:highlight w:val="none"/>
              <w:lang w:eastAsia="zh-CN"/>
            </w:rPr>
            <w:t>附件</w:t>
          </w:r>
          <w:r>
            <w:rPr>
              <w:rFonts w:hint="default" w:ascii="Times New Roman" w:hAnsi="Times New Roman" w:eastAsia="宋体" w:cs="Times New Roman"/>
              <w:bCs w:val="0"/>
              <w:color w:val="auto"/>
              <w:kern w:val="2"/>
              <w:sz w:val="21"/>
              <w:szCs w:val="21"/>
              <w:highlight w:val="none"/>
              <w:lang w:val="en-US" w:eastAsia="zh-CN"/>
            </w:rPr>
            <w:t>3</w:t>
          </w:r>
          <w:r>
            <w:rPr>
              <w:rFonts w:hint="default" w:ascii="Times New Roman" w:hAnsi="Times New Roman" w:eastAsia="宋体" w:cs="Times New Roman"/>
              <w:bCs w:val="0"/>
              <w:color w:val="auto"/>
              <w:kern w:val="2"/>
              <w:sz w:val="21"/>
              <w:szCs w:val="21"/>
              <w:highlight w:val="none"/>
              <w:lang w:eastAsia="zh-CN"/>
            </w:rPr>
            <w:t>：问卷调查分析报告</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_Toc24867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30</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4328354E">
          <w:pPr>
            <w:pStyle w:val="15"/>
            <w:tabs>
              <w:tab w:val="right" w:leader="dot" w:pos="8306"/>
              <w:tab w:val="clear" w:pos="9356"/>
            </w:tabs>
            <w:spacing w:line="360" w:lineRule="exact"/>
            <w:ind w:firstLine="420" w:firstLineChars="200"/>
            <w:rPr>
              <w:rFonts w:ascii="Times New Roman" w:hAnsi="Times New Roman" w:eastAsia="宋体" w:cs="Times New Roman"/>
              <w:bCs w:val="0"/>
              <w:color w:val="auto"/>
              <w:kern w:val="2"/>
              <w:sz w:val="21"/>
              <w:szCs w:val="21"/>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_Toc30197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附件4：现场勘查照片</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_Toc30197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34</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3E3709F8">
          <w:pPr>
            <w:pStyle w:val="15"/>
            <w:tabs>
              <w:tab w:val="right" w:leader="dot" w:pos="8306"/>
              <w:tab w:val="clear" w:pos="9356"/>
            </w:tabs>
            <w:spacing w:line="360" w:lineRule="exact"/>
            <w:ind w:firstLine="420" w:firstLineChars="200"/>
            <w:rPr>
              <w:color w:val="auto"/>
              <w:highlight w:val="none"/>
            </w:rPr>
          </w:pP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HYPERLINK \l _Toc30130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附件5：绩效评价</w:t>
          </w:r>
          <w:r>
            <w:rPr>
              <w:rFonts w:hint="eastAsia" w:ascii="Times New Roman" w:hAnsi="Times New Roman" w:eastAsia="宋体" w:cs="Times New Roman"/>
              <w:bCs w:val="0"/>
              <w:color w:val="auto"/>
              <w:kern w:val="2"/>
              <w:sz w:val="21"/>
              <w:szCs w:val="21"/>
              <w:highlight w:val="none"/>
            </w:rPr>
            <w:t>工作沟通</w:t>
          </w:r>
          <w:r>
            <w:rPr>
              <w:rFonts w:ascii="Times New Roman" w:hAnsi="Times New Roman" w:eastAsia="宋体" w:cs="Times New Roman"/>
              <w:bCs w:val="0"/>
              <w:color w:val="auto"/>
              <w:kern w:val="2"/>
              <w:sz w:val="21"/>
              <w:szCs w:val="21"/>
              <w:highlight w:val="none"/>
            </w:rPr>
            <w:t>反馈</w:t>
          </w:r>
          <w:r>
            <w:rPr>
              <w:rFonts w:hint="eastAsia" w:ascii="Times New Roman" w:hAnsi="Times New Roman" w:eastAsia="宋体" w:cs="Times New Roman"/>
              <w:bCs w:val="0"/>
              <w:color w:val="auto"/>
              <w:kern w:val="2"/>
              <w:sz w:val="21"/>
              <w:szCs w:val="21"/>
              <w:highlight w:val="none"/>
            </w:rPr>
            <w:t>结果</w:t>
          </w:r>
          <w:r>
            <w:rPr>
              <w:rFonts w:ascii="Times New Roman" w:hAnsi="Times New Roman" w:eastAsia="宋体" w:cs="Times New Roman"/>
              <w:bCs w:val="0"/>
              <w:color w:val="auto"/>
              <w:kern w:val="2"/>
              <w:sz w:val="21"/>
              <w:szCs w:val="21"/>
              <w:highlight w:val="none"/>
            </w:rPr>
            <w:tab/>
          </w:r>
          <w:r>
            <w:rPr>
              <w:rFonts w:ascii="Times New Roman" w:hAnsi="Times New Roman" w:eastAsia="宋体" w:cs="Times New Roman"/>
              <w:bCs w:val="0"/>
              <w:color w:val="auto"/>
              <w:kern w:val="2"/>
              <w:sz w:val="21"/>
              <w:szCs w:val="21"/>
              <w:highlight w:val="none"/>
            </w:rPr>
            <w:fldChar w:fldCharType="begin"/>
          </w:r>
          <w:r>
            <w:rPr>
              <w:rFonts w:ascii="Times New Roman" w:hAnsi="Times New Roman" w:eastAsia="宋体" w:cs="Times New Roman"/>
              <w:bCs w:val="0"/>
              <w:color w:val="auto"/>
              <w:kern w:val="2"/>
              <w:sz w:val="21"/>
              <w:szCs w:val="21"/>
              <w:highlight w:val="none"/>
            </w:rPr>
            <w:instrText xml:space="preserve"> PAGEREF _Toc30130 \h </w:instrText>
          </w:r>
          <w:r>
            <w:rPr>
              <w:rFonts w:ascii="Times New Roman" w:hAnsi="Times New Roman" w:eastAsia="宋体" w:cs="Times New Roman"/>
              <w:bCs w:val="0"/>
              <w:color w:val="auto"/>
              <w:kern w:val="2"/>
              <w:sz w:val="21"/>
              <w:szCs w:val="21"/>
              <w:highlight w:val="none"/>
            </w:rPr>
            <w:fldChar w:fldCharType="separate"/>
          </w:r>
          <w:r>
            <w:rPr>
              <w:rFonts w:ascii="Times New Roman" w:hAnsi="Times New Roman" w:eastAsia="宋体" w:cs="Times New Roman"/>
              <w:bCs w:val="0"/>
              <w:color w:val="auto"/>
              <w:kern w:val="2"/>
              <w:sz w:val="21"/>
              <w:szCs w:val="21"/>
              <w:highlight w:val="none"/>
            </w:rPr>
            <w:t>36</w:t>
          </w:r>
          <w:r>
            <w:rPr>
              <w:rFonts w:ascii="Times New Roman" w:hAnsi="Times New Roman" w:eastAsia="宋体" w:cs="Times New Roman"/>
              <w:bCs w:val="0"/>
              <w:color w:val="auto"/>
              <w:kern w:val="2"/>
              <w:sz w:val="21"/>
              <w:szCs w:val="21"/>
              <w:highlight w:val="none"/>
            </w:rPr>
            <w:fldChar w:fldCharType="end"/>
          </w:r>
          <w:r>
            <w:rPr>
              <w:rFonts w:ascii="Times New Roman" w:hAnsi="Times New Roman" w:eastAsia="宋体" w:cs="Times New Roman"/>
              <w:bCs w:val="0"/>
              <w:color w:val="auto"/>
              <w:kern w:val="2"/>
              <w:sz w:val="21"/>
              <w:szCs w:val="21"/>
              <w:highlight w:val="none"/>
            </w:rPr>
            <w:fldChar w:fldCharType="end"/>
          </w:r>
        </w:p>
        <w:p w14:paraId="6E51001A">
          <w:pPr>
            <w:pageBreakBefore w:val="0"/>
            <w:kinsoku/>
            <w:wordWrap/>
            <w:overflowPunct/>
            <w:topLinePunct w:val="0"/>
            <w:autoSpaceDE/>
            <w:autoSpaceDN/>
            <w:bidi w:val="0"/>
            <w:snapToGrid w:val="0"/>
            <w:spacing w:before="0" w:after="0" w:line="360" w:lineRule="auto"/>
            <w:ind w:firstLine="0" w:firstLineChars="0"/>
            <w:jc w:val="center"/>
            <w:rPr>
              <w:rFonts w:eastAsia="宋体"/>
              <w:color w:val="auto"/>
              <w:highlight w:val="none"/>
            </w:rPr>
          </w:pPr>
          <w:r>
            <w:rPr>
              <w:rFonts w:eastAsia="宋体"/>
              <w:b/>
              <w:color w:val="auto"/>
              <w:highlight w:val="none"/>
            </w:rPr>
            <w:fldChar w:fldCharType="end"/>
          </w:r>
        </w:p>
      </w:sdtContent>
    </w:sdt>
    <w:p w14:paraId="322B5965">
      <w:pPr>
        <w:pageBreakBefore w:val="0"/>
        <w:kinsoku/>
        <w:wordWrap/>
        <w:overflowPunct/>
        <w:topLinePunct w:val="0"/>
        <w:autoSpaceDE/>
        <w:autoSpaceDN/>
        <w:bidi w:val="0"/>
        <w:adjustRightInd/>
        <w:snapToGrid w:val="0"/>
        <w:spacing w:line="360" w:lineRule="auto"/>
        <w:ind w:left="-178" w:leftChars="-85" w:firstLine="0" w:firstLineChars="0"/>
        <w:jc w:val="center"/>
        <w:outlineLvl w:val="0"/>
        <w:rPr>
          <w:rFonts w:ascii="Times New Roman" w:hAnsi="Times New Roman" w:eastAsia="仿宋_GB2312" w:cs="Times New Roman"/>
          <w:b/>
          <w:color w:val="auto"/>
          <w:sz w:val="48"/>
          <w:szCs w:val="48"/>
          <w:highlight w:val="none"/>
        </w:rPr>
        <w:sectPr>
          <w:footerReference r:id="rId13" w:type="default"/>
          <w:pgSz w:w="11906" w:h="16838"/>
          <w:pgMar w:top="1440" w:right="1800" w:bottom="1440" w:left="1800" w:header="737" w:footer="907" w:gutter="0"/>
          <w:pgNumType w:start="1"/>
          <w:cols w:space="425" w:num="1"/>
          <w:docGrid w:type="lines" w:linePitch="312" w:charSpace="0"/>
        </w:sectPr>
      </w:pPr>
      <w:bookmarkStart w:id="11" w:name="_Toc25378"/>
      <w:bookmarkStart w:id="12" w:name="_Toc1861376465"/>
      <w:bookmarkStart w:id="13" w:name="_Toc26455"/>
      <w:bookmarkStart w:id="14" w:name="_Toc17971"/>
      <w:bookmarkStart w:id="15" w:name="_Toc5622"/>
      <w:bookmarkStart w:id="16" w:name="_Toc815237457"/>
      <w:bookmarkStart w:id="17" w:name="_Toc29279"/>
      <w:bookmarkStart w:id="18" w:name="_Toc27789"/>
      <w:bookmarkStart w:id="19" w:name="_Toc3967"/>
      <w:bookmarkStart w:id="20" w:name="_Toc1943987236"/>
      <w:bookmarkStart w:id="21" w:name="_Toc2662"/>
      <w:bookmarkStart w:id="22" w:name="_Toc231596864"/>
      <w:bookmarkStart w:id="23" w:name="_Toc22944"/>
    </w:p>
    <w:p w14:paraId="2A899A8C">
      <w:pPr>
        <w:pageBreakBefore w:val="0"/>
        <w:kinsoku/>
        <w:wordWrap/>
        <w:overflowPunct/>
        <w:topLinePunct w:val="0"/>
        <w:autoSpaceDE/>
        <w:autoSpaceDN/>
        <w:bidi w:val="0"/>
        <w:adjustRightInd/>
        <w:snapToGrid w:val="0"/>
        <w:spacing w:line="360" w:lineRule="auto"/>
        <w:ind w:left="-178" w:leftChars="-85" w:firstLine="0" w:firstLineChars="0"/>
        <w:jc w:val="center"/>
        <w:outlineLvl w:val="0"/>
        <w:rPr>
          <w:rFonts w:ascii="Times New Roman" w:hAnsi="Times New Roman" w:eastAsia="楷体_GB2312" w:cs="Times New Roman"/>
          <w:b/>
          <w:color w:val="auto"/>
          <w:sz w:val="48"/>
          <w:szCs w:val="48"/>
          <w:highlight w:val="none"/>
        </w:rPr>
      </w:pPr>
      <w:bookmarkStart w:id="24" w:name="_Toc21067"/>
      <w:r>
        <w:rPr>
          <w:rFonts w:ascii="Times New Roman" w:hAnsi="Times New Roman" w:eastAsia="仿宋_GB2312" w:cs="Times New Roman"/>
          <w:b/>
          <w:color w:val="auto"/>
          <w:sz w:val="48"/>
          <w:szCs w:val="48"/>
          <w:highlight w:val="none"/>
        </w:rPr>
        <w:t>新疆驰远天合有限责任会计师事务所</w:t>
      </w:r>
      <w:bookmarkEnd w:id="11"/>
      <w:bookmarkEnd w:id="12"/>
      <w:bookmarkEnd w:id="13"/>
      <w:bookmarkEnd w:id="14"/>
      <w:bookmarkEnd w:id="15"/>
      <w:bookmarkEnd w:id="16"/>
      <w:bookmarkEnd w:id="24"/>
    </w:p>
    <w:p w14:paraId="5E840D7D">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Xinjiang Chiyuantianhe Certified Public Accountants Co.,Ltd.</w:t>
      </w:r>
    </w:p>
    <w:p w14:paraId="533952A2">
      <w:pPr>
        <w:pageBreakBefore w:val="0"/>
        <w:kinsoku/>
        <w:wordWrap/>
        <w:overflowPunct/>
        <w:topLinePunct w:val="0"/>
        <w:autoSpaceDE/>
        <w:autoSpaceDN/>
        <w:bidi w:val="0"/>
        <w:adjustRightInd/>
        <w:snapToGrid w:val="0"/>
        <w:spacing w:line="360" w:lineRule="auto"/>
        <w:ind w:firstLine="0" w:firstLineChars="0"/>
        <w:jc w:val="center"/>
        <w:outlineLvl w:val="0"/>
        <w:rPr>
          <w:rFonts w:ascii="Times New Roman" w:hAnsi="Times New Roman" w:eastAsia="宋体" w:cs="Times New Roman"/>
          <w:color w:val="auto"/>
          <w:highlight w:val="none"/>
        </w:rPr>
      </w:pPr>
      <w:bookmarkStart w:id="25" w:name="_Toc21607"/>
      <w:bookmarkStart w:id="26" w:name="_Toc26631"/>
      <w:bookmarkStart w:id="27" w:name="_Toc23718"/>
      <w:bookmarkStart w:id="28" w:name="_Toc1759961406"/>
      <w:bookmarkStart w:id="29" w:name="_Toc11722"/>
      <w:bookmarkStart w:id="30" w:name="_Toc750271939"/>
      <w:bookmarkStart w:id="31" w:name="_Toc4177"/>
      <w:r>
        <w:rPr>
          <w:rFonts w:ascii="Times New Roman" w:hAnsi="Times New Roman" w:eastAsia="宋体" w:cs="Times New Roman"/>
          <w:b/>
          <w:color w:val="auto"/>
          <w:spacing w:val="66"/>
          <w:kern w:val="0"/>
          <w:sz w:val="44"/>
          <w:szCs w:val="44"/>
          <w:highlight w:val="none"/>
          <w:fitText w:val="3300" w:id="1268345691"/>
        </w:rPr>
        <w:t>绩效评价报</w:t>
      </w:r>
      <w:r>
        <w:rPr>
          <w:rFonts w:ascii="Times New Roman" w:hAnsi="Times New Roman" w:eastAsia="宋体" w:cs="Times New Roman"/>
          <w:b/>
          <w:color w:val="auto"/>
          <w:spacing w:val="0"/>
          <w:kern w:val="0"/>
          <w:sz w:val="44"/>
          <w:szCs w:val="44"/>
          <w:highlight w:val="none"/>
          <w:fitText w:val="3300" w:id="1268345691"/>
        </w:rPr>
        <w:t>告</w:t>
      </w:r>
      <w:bookmarkEnd w:id="25"/>
      <w:bookmarkEnd w:id="26"/>
      <w:bookmarkEnd w:id="27"/>
      <w:bookmarkEnd w:id="28"/>
      <w:bookmarkEnd w:id="29"/>
      <w:bookmarkEnd w:id="30"/>
      <w:bookmarkEnd w:id="31"/>
    </w:p>
    <w:p w14:paraId="28823909">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eastAsia" w:eastAsia="宋体"/>
          <w:color w:val="auto"/>
          <w:highlight w:val="none"/>
          <w:lang w:eastAsia="zh-CN"/>
        </w:rPr>
      </w:pPr>
      <w:bookmarkStart w:id="32" w:name="_Toc23754"/>
      <w:r>
        <w:rPr>
          <w:rFonts w:hint="eastAsia" w:eastAsia="宋体"/>
          <w:color w:val="auto"/>
          <w:highlight w:val="none"/>
        </w:rPr>
        <w:t>驰天会咨字[2025]1-0147号</w:t>
      </w:r>
      <w:bookmarkEnd w:id="17"/>
      <w:bookmarkEnd w:id="18"/>
      <w:bookmarkEnd w:id="19"/>
      <w:bookmarkEnd w:id="20"/>
      <w:bookmarkEnd w:id="21"/>
      <w:bookmarkEnd w:id="22"/>
      <w:bookmarkEnd w:id="23"/>
      <w:bookmarkEnd w:id="32"/>
    </w:p>
    <w:p w14:paraId="46E571B3">
      <w:pPr>
        <w:spacing w:before="0" w:after="0" w:line="360" w:lineRule="auto"/>
        <w:ind w:left="0" w:leftChars="0" w:firstLine="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伊宁县财政局</w:t>
      </w:r>
      <w:r>
        <w:rPr>
          <w:rFonts w:hint="default" w:ascii="Times New Roman" w:hAnsi="Times New Roman" w:eastAsia="宋体" w:cs="Times New Roman"/>
          <w:color w:val="auto"/>
          <w:highlight w:val="none"/>
        </w:rPr>
        <w:t>：</w:t>
      </w:r>
    </w:p>
    <w:p w14:paraId="4458A1F5">
      <w:pPr>
        <w:spacing w:before="0" w:after="0" w:line="360" w:lineRule="auto"/>
        <w:ind w:firstLine="664"/>
        <w:rPr>
          <w:rFonts w:hint="eastAsia"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eastAsia" w:ascii="Times New Roman" w:hAnsi="Times New Roman" w:eastAsia="宋体" w:cs="Times New Roman"/>
          <w:color w:val="auto"/>
          <w:highlight w:val="none"/>
          <w:lang w:val="en-US" w:eastAsia="zh-CN"/>
        </w:rPr>
        <w:t>伊宁县财政局</w:t>
      </w:r>
      <w:r>
        <w:rPr>
          <w:rFonts w:hint="default" w:ascii="Times New Roman" w:hAnsi="Times New Roman" w:eastAsia="宋体" w:cs="Times New Roman"/>
          <w:color w:val="auto"/>
          <w:highlight w:val="none"/>
        </w:rPr>
        <w:t>的委托，新疆驰远天合有限责任会计师事务所以第三方社会评价机构的身份，承担了</w:t>
      </w:r>
      <w:r>
        <w:rPr>
          <w:rFonts w:hint="eastAsia" w:ascii="Times New Roman" w:hAnsi="Times New Roman" w:eastAsia="宋体" w:cs="Times New Roman"/>
          <w:color w:val="auto"/>
          <w:highlight w:val="none"/>
          <w:lang w:val="en-US" w:eastAsia="zh-CN"/>
        </w:rPr>
        <w:t>伊宁县全民健身场地设施项目</w:t>
      </w:r>
      <w:r>
        <w:rPr>
          <w:rFonts w:hint="default" w:ascii="Times New Roman" w:hAnsi="Times New Roman" w:eastAsia="宋体" w:cs="Times New Roman"/>
          <w:color w:val="auto"/>
          <w:highlight w:val="none"/>
        </w:rPr>
        <w:t>的绩效评价工作并形成绩效评价报告</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伊宁县文化体育广播电视和旅游局</w:t>
      </w:r>
      <w:r>
        <w:rPr>
          <w:rFonts w:hint="default" w:ascii="Times New Roman" w:hAnsi="Times New Roman" w:eastAsia="宋体" w:cs="Times New Roman"/>
          <w:color w:val="auto"/>
          <w:highlight w:val="none"/>
        </w:rPr>
        <w:t>负责提供与本次绩效评价相关的项目资料并保证项目资料的真实、合法、准确和完整，现将项目绩效评价情况报告如下：</w:t>
      </w:r>
    </w:p>
    <w:p w14:paraId="3FDA7063">
      <w:pPr>
        <w:pStyle w:val="4"/>
        <w:bidi w:val="0"/>
        <w:spacing w:before="0" w:after="0" w:line="360" w:lineRule="auto"/>
        <w:ind w:left="0" w:leftChars="0" w:firstLine="482" w:firstLineChars="200"/>
        <w:rPr>
          <w:rFonts w:hint="eastAsia" w:ascii="Times New Roman" w:hAnsi="Times New Roman" w:eastAsia="宋体" w:cs="Times New Roman"/>
          <w:color w:val="auto"/>
          <w:highlight w:val="none"/>
          <w:lang w:eastAsia="zh-CN"/>
        </w:rPr>
      </w:pPr>
      <w:bookmarkStart w:id="33" w:name="_Toc28478"/>
      <w:bookmarkStart w:id="34" w:name="_Toc15500"/>
      <w:r>
        <w:rPr>
          <w:rFonts w:hint="eastAsia" w:ascii="Times New Roman" w:hAnsi="Times New Roman" w:eastAsia="宋体" w:cs="Times New Roman"/>
          <w:color w:val="auto"/>
          <w:highlight w:val="none"/>
          <w:lang w:val="en-US" w:eastAsia="zh-CN"/>
        </w:rPr>
        <w:t>一、基本情况</w:t>
      </w:r>
      <w:bookmarkEnd w:id="33"/>
      <w:bookmarkEnd w:id="34"/>
    </w:p>
    <w:p w14:paraId="23627638">
      <w:pPr>
        <w:pStyle w:val="5"/>
        <w:bidi w:val="0"/>
        <w:spacing w:before="0" w:after="0" w:line="360" w:lineRule="auto"/>
        <w:ind w:firstLine="482" w:firstLineChars="200"/>
        <w:rPr>
          <w:rFonts w:hint="default" w:ascii="Times New Roman" w:hAnsi="Times New Roman" w:eastAsia="宋体" w:cs="Times New Roman"/>
          <w:color w:val="auto"/>
          <w:highlight w:val="none"/>
        </w:rPr>
      </w:pPr>
      <w:bookmarkStart w:id="35" w:name="_Toc24321"/>
      <w:bookmarkStart w:id="36" w:name="_Toc19237"/>
      <w:bookmarkStart w:id="37" w:name="_Toc5761"/>
      <w:bookmarkStart w:id="38" w:name="_Toc327"/>
      <w:bookmarkStart w:id="39" w:name="_Toc853"/>
      <w:r>
        <w:rPr>
          <w:rFonts w:hint="default" w:ascii="Times New Roman" w:hAnsi="Times New Roman" w:eastAsia="宋体" w:cs="Times New Roman"/>
          <w:color w:val="auto"/>
          <w:highlight w:val="none"/>
        </w:rPr>
        <w:t>（一）</w:t>
      </w:r>
      <w:r>
        <w:rPr>
          <w:rFonts w:hint="default" w:ascii="Times New Roman" w:hAnsi="Times New Roman" w:eastAsia="宋体" w:cs="Times New Roman"/>
          <w:color w:val="auto"/>
          <w:highlight w:val="none"/>
          <w:lang w:val="en-US" w:eastAsia="zh-CN"/>
        </w:rPr>
        <w:t>项目概况</w:t>
      </w:r>
      <w:bookmarkEnd w:id="35"/>
      <w:bookmarkEnd w:id="36"/>
      <w:bookmarkEnd w:id="37"/>
      <w:bookmarkEnd w:id="38"/>
      <w:bookmarkEnd w:id="39"/>
    </w:p>
    <w:p w14:paraId="5965819C">
      <w:pPr>
        <w:bidi w:val="0"/>
        <w:spacing w:before="0" w:after="0" w:line="360" w:lineRule="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lang w:val="en-US" w:eastAsia="zh-CN"/>
        </w:rPr>
        <w:t>项目立项背景及目的</w:t>
      </w:r>
    </w:p>
    <w:p w14:paraId="516DC2A5">
      <w:pPr>
        <w:bidi w:val="0"/>
        <w:spacing w:line="360" w:lineRule="auto"/>
        <w:ind w:left="0" w:leftChars="0" w:firstLine="420" w:firstLineChars="200"/>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国家高度重视体育事业发展，将全民健身上升为国家战略，2019年国务院办公厅《关于印发&lt;体育强国建设纲要&gt;的通知》（国办发</w:t>
      </w:r>
      <w:r>
        <w:rPr>
          <w:rFonts w:hint="eastAsia" w:ascii="Times New Roman" w:hAnsi="Times New Roman" w:eastAsia="宋体" w:cs="Times New Roman"/>
          <w:color w:val="auto"/>
          <w:highlight w:val="none"/>
        </w:rPr>
        <w:t>〔20</w:t>
      </w:r>
      <w:r>
        <w:rPr>
          <w:rFonts w:hint="eastAsia" w:ascii="Times New Roman" w:hAnsi="Times New Roman" w:eastAsia="宋体" w:cs="Times New Roman"/>
          <w:color w:val="auto"/>
          <w:highlight w:val="none"/>
          <w:lang w:val="en-US" w:eastAsia="zh-CN"/>
        </w:rPr>
        <w:t>19</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40号</w:t>
      </w:r>
      <w:r>
        <w:rPr>
          <w:rFonts w:hint="eastAsia" w:ascii="Times New Roman" w:hAnsi="Times New Roman" w:eastAsia="宋体" w:cs="Times New Roman"/>
          <w:color w:val="auto"/>
          <w:kern w:val="2"/>
          <w:sz w:val="21"/>
          <w:szCs w:val="22"/>
          <w:highlight w:val="none"/>
          <w:lang w:val="en-US" w:eastAsia="zh-CN" w:bidi="ar-SA"/>
        </w:rPr>
        <w:t>）提出：“统筹建设全民健身场地设施。加强城市绿道、健身步道、自行车道、全民健身中心、体育健身公园、社区文体广场以及足球、冰雪运动等场地设施建设。”2016年中共中央 国务院印发《“健康中国2030”规划纲要》提出：“完善全民健身公共服务体系，统筹建设全民健身公共设施，加强健身步道、骑行道、全民健身中心、体育公园、社区多功能运动场等场地设施建设。推行公共体育设施免费或低收费开放，确保公共体育场地设施和符合开放条件的企事业单位体育场地设施全部向社会开放。加强全民健身组织网络建设，扶持和引导基层体育社会组织发展。”</w:t>
      </w:r>
    </w:p>
    <w:p w14:paraId="519A42B2">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随着居民生活水平提高，健康意识显著增强，参与健身的人群大幅扩大，但现有场地数量、类型、分布难以满足多样化需求（如城乡差异、功能单一等），供需矛盾突出，成为立项的核心现实动因。部分地区体育场地老化破损、数量不足，人均体育场地面积与国际水平仍有差距，且存在“重建设、轻管理”“重城市、轻农村”等问题，无法适应群众对高品质健身环境的需求，</w:t>
      </w:r>
      <w:r>
        <w:rPr>
          <w:rFonts w:hint="eastAsia" w:ascii="Times New Roman" w:hAnsi="Times New Roman" w:eastAsia="宋体" w:cs="Times New Roman"/>
          <w:color w:val="auto"/>
          <w:highlight w:val="none"/>
          <w:lang w:val="en-US" w:eastAsia="zh-CN"/>
        </w:rPr>
        <w:t>亟须通过</w:t>
      </w:r>
      <w:r>
        <w:rPr>
          <w:rFonts w:hint="default" w:ascii="Times New Roman" w:hAnsi="Times New Roman" w:eastAsia="宋体" w:cs="Times New Roman"/>
          <w:color w:val="auto"/>
          <w:highlight w:val="none"/>
          <w:lang w:val="en-US" w:eastAsia="zh-CN"/>
        </w:rPr>
        <w:t>新建、改建项目补齐短板。全民健身场地建设是民生工程的重要组成部分，既能提升居民健康水平、减少医疗支出，也能丰富群众文化生活、促进社会和谐。同时，场地建设可助力乡村振兴、</w:t>
      </w:r>
      <w:r>
        <w:rPr>
          <w:rFonts w:hint="eastAsia" w:ascii="Times New Roman" w:hAnsi="Times New Roman" w:eastAsia="宋体" w:cs="Times New Roman"/>
          <w:color w:val="auto"/>
          <w:highlight w:val="none"/>
          <w:lang w:val="en-US" w:eastAsia="zh-CN"/>
        </w:rPr>
        <w:t>新型城镇化战略</w:t>
      </w:r>
      <w:r>
        <w:rPr>
          <w:rFonts w:hint="default" w:ascii="Times New Roman" w:hAnsi="Times New Roman" w:eastAsia="宋体" w:cs="Times New Roman"/>
          <w:color w:val="auto"/>
          <w:highlight w:val="none"/>
          <w:lang w:val="en-US" w:eastAsia="zh-CN"/>
        </w:rPr>
        <w:t>，推动城乡公共服务均等化</w:t>
      </w:r>
      <w:r>
        <w:rPr>
          <w:rFonts w:hint="eastAsia" w:ascii="Times New Roman" w:hAnsi="Times New Roman" w:eastAsia="宋体" w:cs="Times New Roman"/>
          <w:color w:val="auto"/>
          <w:kern w:val="2"/>
          <w:sz w:val="21"/>
          <w:szCs w:val="22"/>
          <w:highlight w:val="none"/>
          <w:lang w:val="en-US" w:eastAsia="zh-CN" w:bidi="ar-SA"/>
        </w:rPr>
        <w:t>。</w:t>
      </w:r>
    </w:p>
    <w:p w14:paraId="482BE626">
      <w:pPr>
        <w:bidi w:val="0"/>
        <w:spacing w:before="0" w:after="0" w:line="360" w:lineRule="auto"/>
        <w:rPr>
          <w:rFonts w:hint="eastAsia"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项目基本情况</w:t>
      </w:r>
    </w:p>
    <w:p w14:paraId="70686FF5">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项目名称：伊宁县全民健身场地设施项目</w:t>
      </w:r>
    </w:p>
    <w:p w14:paraId="314137B1">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项目实施单位：伊宁县文化体育广播电视和旅游局</w:t>
      </w:r>
    </w:p>
    <w:p w14:paraId="5A4828CD">
      <w:pPr>
        <w:spacing w:line="360" w:lineRule="auto"/>
        <w:ind w:firstLine="420"/>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项目建设地点：伊宁县吉里于孜镇上肉孜买提于孜村、伊宁县阿热吾斯塘镇托万克村</w:t>
      </w:r>
    </w:p>
    <w:p w14:paraId="3D469068">
      <w:pPr>
        <w:spacing w:line="360" w:lineRule="auto"/>
        <w:ind w:firstLine="420"/>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项目建设周期：2024年5月-2024年10月</w:t>
      </w:r>
    </w:p>
    <w:p w14:paraId="325B3F5F">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项目实施内容：</w:t>
      </w:r>
    </w:p>
    <w:p w14:paraId="1218583D">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（1）在伊宁县吉里于孜镇上肉孜买提于孜村建设五人制笼式足球场1块，总面积为1,080.00平方米；标准篮球场1块，总面积为798.00平方米。</w:t>
      </w:r>
    </w:p>
    <w:p w14:paraId="17521B42">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（2）在伊宁县阿热吾斯塘镇托万克村建设标准篮球场1块，总面积789.00平方米。</w:t>
      </w:r>
    </w:p>
    <w:p w14:paraId="64C8900C">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40" w:name="_Toc24806"/>
      <w:bookmarkStart w:id="41" w:name="_Toc23607"/>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资金投入和使用情况</w:t>
      </w:r>
      <w:bookmarkEnd w:id="40"/>
      <w:bookmarkEnd w:id="41"/>
    </w:p>
    <w:p w14:paraId="33665631">
      <w:pPr>
        <w:bidi w:val="0"/>
        <w:spacing w:before="0" w:after="0" w:line="360" w:lineRule="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rPr>
        <w:t>1.预算安排情况</w:t>
      </w:r>
    </w:p>
    <w:p w14:paraId="5EB8E296">
      <w:pPr>
        <w:bidi w:val="0"/>
        <w:spacing w:line="360" w:lineRule="auto"/>
        <w:rPr>
          <w:rFonts w:hint="eastAsia" w:ascii="Times New Roman" w:hAnsi="Times New Roman" w:eastAsia="宋体" w:cs="Times New Roman"/>
          <w:color w:val="auto"/>
          <w:szCs w:val="22"/>
          <w:highlight w:val="none"/>
          <w:lang w:val="en-US" w:eastAsia="zh-CN"/>
        </w:rPr>
      </w:pPr>
      <w:r>
        <w:rPr>
          <w:rFonts w:hint="eastAsia" w:ascii="Times New Roman" w:hAnsi="Times New Roman" w:eastAsia="宋体" w:cs="Times New Roman"/>
          <w:color w:val="auto"/>
          <w:highlight w:val="none"/>
          <w:lang w:val="en-US" w:eastAsia="zh-CN"/>
        </w:rPr>
        <w:t>项目建设总投资</w:t>
      </w:r>
      <w:r>
        <w:rPr>
          <w:rFonts w:hint="eastAsia" w:ascii="Times New Roman" w:hAnsi="Times New Roman" w:eastAsia="宋体" w:cs="Times New Roman"/>
          <w:color w:val="auto"/>
          <w:kern w:val="2"/>
          <w:sz w:val="21"/>
          <w:szCs w:val="22"/>
          <w:highlight w:val="none"/>
          <w:lang w:val="en-US" w:eastAsia="zh-CN" w:bidi="ar-SA"/>
        </w:rPr>
        <w:t>100.00万元，资金来源为中央集中彩票公益金支持体育事业专项资金</w:t>
      </w:r>
      <w:r>
        <w:rPr>
          <w:rFonts w:hint="eastAsia" w:ascii="Times New Roman" w:hAnsi="Times New Roman" w:eastAsia="宋体" w:cs="Times New Roman"/>
          <w:color w:val="auto"/>
          <w:szCs w:val="22"/>
          <w:highlight w:val="none"/>
          <w:lang w:val="en-US" w:eastAsia="zh-CN"/>
        </w:rPr>
        <w:t>。</w:t>
      </w:r>
    </w:p>
    <w:p w14:paraId="0E7246BD">
      <w:pPr>
        <w:bidi w:val="0"/>
        <w:spacing w:before="0" w:after="0" w:line="360" w:lineRule="auto"/>
        <w:rPr>
          <w:rFonts w:hint="eastAsia" w:ascii="Times New Roman" w:hAnsi="Times New Roman" w:eastAsia="宋体" w:cs="Times New Roman"/>
          <w:b/>
          <w:bCs/>
          <w:color w:val="auto"/>
          <w:highlight w:val="none"/>
        </w:rPr>
      </w:pPr>
      <w:r>
        <w:rPr>
          <w:rFonts w:hint="eastAsia" w:ascii="Times New Roman" w:hAnsi="Times New Roman" w:eastAsia="宋体" w:cs="Times New Roman"/>
          <w:b/>
          <w:bCs/>
          <w:color w:val="auto"/>
          <w:highlight w:val="none"/>
          <w:lang w:val="en-US" w:eastAsia="zh-CN"/>
        </w:rPr>
        <w:t>2.</w:t>
      </w:r>
      <w:r>
        <w:rPr>
          <w:rFonts w:hint="eastAsia" w:ascii="Times New Roman" w:hAnsi="Times New Roman" w:eastAsia="宋体" w:cs="Times New Roman"/>
          <w:b/>
          <w:bCs/>
          <w:color w:val="auto"/>
          <w:highlight w:val="none"/>
        </w:rPr>
        <w:t>资金到位及使用情况</w:t>
      </w:r>
    </w:p>
    <w:p w14:paraId="1A235892">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kern w:val="2"/>
          <w:sz w:val="21"/>
          <w:szCs w:val="22"/>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2023年12月10日，根据伊犁哈萨克自治州财政局印发《关于提前下达2024年中央集中彩票公益金支持体育事业专项资金预算的通知》（伊州财教〔2023〕52 号），该项目实际到位资金100.00万元，资金到位率为100.00%。</w:t>
      </w:r>
    </w:p>
    <w:p w14:paraId="69434B96">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2"/>
          <w:highlight w:val="none"/>
          <w:lang w:val="en-US" w:eastAsia="zh-CN" w:bidi="ar-SA"/>
        </w:rPr>
        <w:t>截至202</w:t>
      </w:r>
      <w:r>
        <w:rPr>
          <w:rFonts w:hint="default" w:ascii="Times New Roman" w:hAnsi="Times New Roman" w:eastAsia="宋体" w:cs="Times New Roman"/>
          <w:color w:val="auto"/>
          <w:kern w:val="2"/>
          <w:sz w:val="21"/>
          <w:szCs w:val="22"/>
          <w:highlight w:val="none"/>
          <w:lang w:val="en-US" w:eastAsia="zh-CN" w:bidi="ar-SA"/>
        </w:rPr>
        <w:t>4</w:t>
      </w:r>
      <w:r>
        <w:rPr>
          <w:rFonts w:hint="eastAsia" w:ascii="Times New Roman" w:hAnsi="Times New Roman" w:eastAsia="宋体" w:cs="Times New Roman"/>
          <w:color w:val="auto"/>
          <w:kern w:val="2"/>
          <w:sz w:val="21"/>
          <w:szCs w:val="22"/>
          <w:highlight w:val="none"/>
          <w:lang w:val="en-US" w:eastAsia="zh-CN" w:bidi="ar-SA"/>
        </w:rPr>
        <w:t>年</w:t>
      </w:r>
      <w:r>
        <w:rPr>
          <w:rFonts w:hint="default" w:ascii="Times New Roman" w:hAnsi="Times New Roman" w:eastAsia="宋体" w:cs="Times New Roman"/>
          <w:color w:val="auto"/>
          <w:kern w:val="2"/>
          <w:sz w:val="21"/>
          <w:szCs w:val="22"/>
          <w:highlight w:val="none"/>
          <w:lang w:val="en-US" w:eastAsia="zh-CN" w:bidi="ar-SA"/>
        </w:rPr>
        <w:t>12</w:t>
      </w:r>
      <w:r>
        <w:rPr>
          <w:rFonts w:hint="eastAsia" w:ascii="Times New Roman" w:hAnsi="Times New Roman" w:eastAsia="宋体" w:cs="Times New Roman"/>
          <w:color w:val="auto"/>
          <w:kern w:val="2"/>
          <w:sz w:val="21"/>
          <w:szCs w:val="22"/>
          <w:highlight w:val="none"/>
          <w:lang w:val="en-US" w:eastAsia="zh-CN" w:bidi="ar-SA"/>
        </w:rPr>
        <w:t>月</w:t>
      </w:r>
      <w:r>
        <w:rPr>
          <w:rFonts w:hint="default" w:ascii="Times New Roman" w:hAnsi="Times New Roman" w:eastAsia="宋体" w:cs="Times New Roman"/>
          <w:color w:val="auto"/>
          <w:kern w:val="2"/>
          <w:sz w:val="21"/>
          <w:szCs w:val="22"/>
          <w:highlight w:val="none"/>
          <w:lang w:val="en-US" w:eastAsia="zh-CN" w:bidi="ar-SA"/>
        </w:rPr>
        <w:t>31</w:t>
      </w:r>
      <w:r>
        <w:rPr>
          <w:rFonts w:hint="eastAsia" w:ascii="Times New Roman" w:hAnsi="Times New Roman" w:eastAsia="宋体" w:cs="Times New Roman"/>
          <w:color w:val="auto"/>
          <w:kern w:val="2"/>
          <w:sz w:val="21"/>
          <w:szCs w:val="22"/>
          <w:highlight w:val="none"/>
          <w:lang w:val="en-US" w:eastAsia="zh-CN" w:bidi="ar-SA"/>
        </w:rPr>
        <w:t>日，项目实际支出99.15万元，预算资金执行率为99.15%。</w:t>
      </w:r>
      <w:r>
        <w:rPr>
          <w:rFonts w:hint="eastAsia" w:ascii="Times New Roman" w:hAnsi="Times New Roman" w:eastAsia="宋体" w:cs="Times New Roman"/>
          <w:b w:val="0"/>
          <w:bCs w:val="0"/>
          <w:color w:val="auto"/>
          <w:kern w:val="2"/>
          <w:sz w:val="21"/>
          <w:szCs w:val="21"/>
          <w:highlight w:val="none"/>
          <w:lang w:val="en-US" w:eastAsia="zh-CN" w:bidi="ar-SA"/>
        </w:rPr>
        <w:t>详细资金支出明细见下表：</w:t>
      </w:r>
    </w:p>
    <w:p w14:paraId="5C39E551">
      <w:pPr>
        <w:spacing w:line="240" w:lineRule="auto"/>
        <w:ind w:firstLine="0" w:firstLineChars="0"/>
        <w:jc w:val="center"/>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表1-1：</w:t>
      </w:r>
      <w:r>
        <w:rPr>
          <w:rFonts w:hint="eastAsia" w:ascii="Times New Roman" w:hAnsi="Times New Roman" w:eastAsia="宋体" w:cs="Times New Roman"/>
          <w:b/>
          <w:bCs/>
          <w:color w:val="auto"/>
          <w:highlight w:val="none"/>
          <w:lang w:val="en-US" w:eastAsia="zh-CN"/>
        </w:rPr>
        <w:t>伊宁县全民健身场地设施项目</w:t>
      </w:r>
      <w:r>
        <w:rPr>
          <w:rFonts w:ascii="Times New Roman" w:hAnsi="Times New Roman" w:eastAsia="宋体" w:cs="Times New Roman"/>
          <w:b/>
          <w:bCs/>
          <w:color w:val="auto"/>
          <w:highlight w:val="none"/>
        </w:rPr>
        <w:t>预算资金支出明细表</w:t>
      </w:r>
    </w:p>
    <w:p w14:paraId="22DCD03B">
      <w:pPr>
        <w:widowControl/>
        <w:snapToGrid/>
        <w:spacing w:line="240" w:lineRule="auto"/>
        <w:jc w:val="right"/>
        <w:textAlignment w:val="center"/>
        <w:rPr>
          <w:rFonts w:hint="eastAsia" w:ascii="Times New Roman" w:hAnsi="Times New Roman" w:eastAsia="宋体" w:cs="Times New Roman"/>
          <w:color w:val="auto"/>
          <w:highlight w:val="none"/>
          <w:lang w:val="en-US" w:eastAsia="zh-CN"/>
        </w:rPr>
      </w:pPr>
      <w:r>
        <w:rPr>
          <w:rFonts w:ascii="Times New Roman" w:hAnsi="Times New Roman" w:eastAsia="宋体" w:cs="Times New Roman"/>
          <w:color w:val="auto"/>
          <w:kern w:val="0"/>
          <w:highlight w:val="none"/>
          <w:lang w:bidi="ar"/>
        </w:rPr>
        <w:t>单位：万元</w:t>
      </w:r>
    </w:p>
    <w:tbl>
      <w:tblPr>
        <w:tblStyle w:val="18"/>
        <w:tblW w:w="5000" w:type="pct"/>
        <w:tblInd w:w="0" w:type="dxa"/>
        <w:tblLayout w:type="fixed"/>
        <w:tblCellMar>
          <w:top w:w="0" w:type="dxa"/>
          <w:left w:w="0" w:type="dxa"/>
          <w:bottom w:w="0" w:type="dxa"/>
          <w:right w:w="0" w:type="dxa"/>
        </w:tblCellMar>
      </w:tblPr>
      <w:tblGrid>
        <w:gridCol w:w="536"/>
        <w:gridCol w:w="988"/>
        <w:gridCol w:w="1975"/>
        <w:gridCol w:w="753"/>
        <w:gridCol w:w="716"/>
        <w:gridCol w:w="778"/>
        <w:gridCol w:w="926"/>
        <w:gridCol w:w="1658"/>
      </w:tblGrid>
      <w:tr w14:paraId="2AAEE99E">
        <w:tblPrEx>
          <w:tblCellMar>
            <w:top w:w="0" w:type="dxa"/>
            <w:left w:w="0" w:type="dxa"/>
            <w:bottom w:w="0" w:type="dxa"/>
            <w:right w:w="0" w:type="dxa"/>
          </w:tblCellMar>
        </w:tblPrEx>
        <w:trPr>
          <w:trHeight w:val="533" w:hRule="atLeast"/>
        </w:trPr>
        <w:tc>
          <w:tcPr>
            <w:tcW w:w="32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2987101">
            <w:pPr>
              <w:spacing w:line="240" w:lineRule="auto"/>
              <w:ind w:firstLine="0" w:firstLineChars="0"/>
              <w:jc w:val="center"/>
              <w:rPr>
                <w:rFonts w:ascii="Times New Roman" w:hAnsi="Times New Roman" w:eastAsia="宋体" w:cs="Times New Roman"/>
                <w:color w:val="auto"/>
                <w:kern w:val="0"/>
                <w:sz w:val="21"/>
                <w:szCs w:val="21"/>
                <w:highlight w:val="none"/>
                <w:lang w:bidi="ar"/>
              </w:rPr>
            </w:pPr>
            <w:r>
              <w:rPr>
                <w:rFonts w:ascii="Times New Roman" w:hAnsi="Times New Roman" w:eastAsia="宋体" w:cs="Times New Roman"/>
                <w:b/>
                <w:bCs/>
                <w:color w:val="auto"/>
                <w:sz w:val="21"/>
                <w:szCs w:val="21"/>
                <w:highlight w:val="none"/>
              </w:rPr>
              <w:t>序号</w:t>
            </w:r>
          </w:p>
        </w:tc>
        <w:tc>
          <w:tcPr>
            <w:tcW w:w="5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F3C4B7">
            <w:pPr>
              <w:spacing w:line="240" w:lineRule="auto"/>
              <w:ind w:firstLine="0" w:firstLineChars="0"/>
              <w:jc w:val="center"/>
              <w:rPr>
                <w:rFonts w:ascii="Times New Roman" w:hAnsi="Times New Roman" w:eastAsia="宋体" w:cs="Times New Roman"/>
                <w:color w:val="auto"/>
                <w:kern w:val="0"/>
                <w:sz w:val="21"/>
                <w:szCs w:val="21"/>
                <w:highlight w:val="none"/>
                <w:lang w:bidi="ar"/>
              </w:rPr>
            </w:pPr>
            <w:r>
              <w:rPr>
                <w:rFonts w:ascii="Times New Roman" w:hAnsi="Times New Roman" w:eastAsia="宋体" w:cs="Times New Roman"/>
                <w:b/>
                <w:bCs/>
                <w:color w:val="auto"/>
                <w:sz w:val="21"/>
                <w:szCs w:val="21"/>
                <w:highlight w:val="none"/>
              </w:rPr>
              <w:t>支出类型</w:t>
            </w:r>
          </w:p>
        </w:tc>
        <w:tc>
          <w:tcPr>
            <w:tcW w:w="118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F1E69EF">
            <w:pPr>
              <w:spacing w:line="240" w:lineRule="auto"/>
              <w:ind w:firstLine="0" w:firstLineChars="0"/>
              <w:jc w:val="center"/>
              <w:rPr>
                <w:rFonts w:ascii="Times New Roman" w:hAnsi="Times New Roman" w:eastAsia="宋体" w:cs="Times New Roman"/>
                <w:color w:val="auto"/>
                <w:kern w:val="0"/>
                <w:sz w:val="21"/>
                <w:szCs w:val="21"/>
                <w:highlight w:val="none"/>
                <w:lang w:bidi="ar"/>
              </w:rPr>
            </w:pPr>
            <w:r>
              <w:rPr>
                <w:rFonts w:ascii="Times New Roman" w:hAnsi="Times New Roman" w:eastAsia="宋体" w:cs="Times New Roman"/>
                <w:b/>
                <w:bCs/>
                <w:color w:val="auto"/>
                <w:sz w:val="21"/>
                <w:szCs w:val="21"/>
                <w:highlight w:val="none"/>
              </w:rPr>
              <w:t>支出单位</w:t>
            </w:r>
          </w:p>
        </w:tc>
        <w:tc>
          <w:tcPr>
            <w:tcW w:w="45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1ED74D">
            <w:pPr>
              <w:spacing w:line="240" w:lineRule="auto"/>
              <w:ind w:firstLine="0" w:firstLineChars="0"/>
              <w:jc w:val="center"/>
              <w:rPr>
                <w:rFonts w:ascii="Times New Roman" w:hAnsi="Times New Roman" w:eastAsia="宋体" w:cs="Times New Roman"/>
                <w:color w:val="auto"/>
                <w:kern w:val="0"/>
                <w:sz w:val="21"/>
                <w:szCs w:val="21"/>
                <w:highlight w:val="none"/>
                <w:lang w:bidi="ar"/>
              </w:rPr>
            </w:pPr>
            <w:r>
              <w:rPr>
                <w:rFonts w:ascii="Times New Roman" w:hAnsi="Times New Roman" w:eastAsia="宋体" w:cs="Times New Roman"/>
                <w:b/>
                <w:bCs/>
                <w:color w:val="auto"/>
                <w:sz w:val="21"/>
                <w:szCs w:val="21"/>
                <w:highlight w:val="none"/>
              </w:rPr>
              <w:t>合同金额</w:t>
            </w:r>
          </w:p>
        </w:tc>
        <w:tc>
          <w:tcPr>
            <w:tcW w:w="42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BE97413">
            <w:pPr>
              <w:spacing w:line="240" w:lineRule="auto"/>
              <w:ind w:firstLine="0" w:firstLineChars="0"/>
              <w:jc w:val="center"/>
              <w:rPr>
                <w:rFonts w:hint="default"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结算金额</w:t>
            </w:r>
          </w:p>
        </w:tc>
        <w:tc>
          <w:tcPr>
            <w:tcW w:w="46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9ABCD67">
            <w:pPr>
              <w:spacing w:line="240" w:lineRule="auto"/>
              <w:ind w:firstLine="0" w:firstLineChars="0"/>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实际支出金额</w:t>
            </w:r>
          </w:p>
        </w:tc>
        <w:tc>
          <w:tcPr>
            <w:tcW w:w="5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C756A0">
            <w:pPr>
              <w:spacing w:line="240" w:lineRule="auto"/>
              <w:ind w:firstLine="0" w:firstLineChars="0"/>
              <w:jc w:val="center"/>
              <w:rPr>
                <w:rFonts w:ascii="Times New Roman" w:hAnsi="Times New Roman" w:eastAsia="宋体" w:cs="Times New Roman"/>
                <w:color w:val="auto"/>
                <w:kern w:val="0"/>
                <w:sz w:val="21"/>
                <w:szCs w:val="21"/>
                <w:highlight w:val="none"/>
                <w:lang w:bidi="ar"/>
              </w:rPr>
            </w:pPr>
            <w:r>
              <w:rPr>
                <w:rFonts w:ascii="Times New Roman" w:hAnsi="Times New Roman" w:eastAsia="宋体" w:cs="Times New Roman"/>
                <w:b/>
                <w:bCs/>
                <w:color w:val="auto"/>
                <w:sz w:val="21"/>
                <w:szCs w:val="21"/>
                <w:highlight w:val="none"/>
              </w:rPr>
              <w:t>资金执行率</w:t>
            </w:r>
          </w:p>
        </w:tc>
        <w:tc>
          <w:tcPr>
            <w:tcW w:w="99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9DDC427">
            <w:pPr>
              <w:spacing w:line="240" w:lineRule="auto"/>
              <w:ind w:firstLine="0" w:firstLineChars="0"/>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rPr>
              <w:t>资金性质</w:t>
            </w:r>
          </w:p>
        </w:tc>
      </w:tr>
      <w:tr w14:paraId="56D914CC">
        <w:tblPrEx>
          <w:tblCellMar>
            <w:top w:w="0" w:type="dxa"/>
            <w:left w:w="0" w:type="dxa"/>
            <w:bottom w:w="0" w:type="dxa"/>
            <w:right w:w="0" w:type="dxa"/>
          </w:tblCellMar>
        </w:tblPrEx>
        <w:trPr>
          <w:trHeight w:val="117" w:hRule="atLeast"/>
        </w:trPr>
        <w:tc>
          <w:tcPr>
            <w:tcW w:w="32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3911533">
            <w:pPr>
              <w:widowControl/>
              <w:snapToGrid/>
              <w:spacing w:line="240" w:lineRule="auto"/>
              <w:ind w:firstLine="0" w:firstLineChars="0"/>
              <w:jc w:val="center"/>
              <w:textAlignment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z w:val="21"/>
                <w:szCs w:val="21"/>
                <w:highlight w:val="none"/>
              </w:rPr>
              <w:t>1</w:t>
            </w:r>
          </w:p>
        </w:tc>
        <w:tc>
          <w:tcPr>
            <w:tcW w:w="59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9F0490C">
            <w:pPr>
              <w:widowControl/>
              <w:snapToGrid/>
              <w:spacing w:line="240" w:lineRule="auto"/>
              <w:ind w:firstLine="0" w:firstLineChars="0"/>
              <w:jc w:val="left"/>
              <w:textAlignment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工程费用</w:t>
            </w:r>
          </w:p>
        </w:tc>
        <w:tc>
          <w:tcPr>
            <w:tcW w:w="118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C6004EA">
            <w:pPr>
              <w:widowControl/>
              <w:snapToGrid/>
              <w:spacing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伊宁县胜宁体育文化有限公司</w:t>
            </w:r>
          </w:p>
        </w:tc>
        <w:tc>
          <w:tcPr>
            <w:tcW w:w="45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A048FD">
            <w:pPr>
              <w:spacing w:line="240" w:lineRule="auto"/>
              <w:ind w:firstLine="0" w:firstLineChars="0"/>
              <w:jc w:val="right"/>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99.30</w:t>
            </w:r>
          </w:p>
        </w:tc>
        <w:tc>
          <w:tcPr>
            <w:tcW w:w="42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CE2E51">
            <w:pPr>
              <w:spacing w:line="240" w:lineRule="auto"/>
              <w:ind w:firstLine="0" w:firstLineChars="0"/>
              <w:jc w:val="right"/>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99.15</w:t>
            </w:r>
          </w:p>
        </w:tc>
        <w:tc>
          <w:tcPr>
            <w:tcW w:w="46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37708B">
            <w:pPr>
              <w:spacing w:line="240" w:lineRule="auto"/>
              <w:ind w:firstLine="0" w:firstLineChars="0"/>
              <w:jc w:val="right"/>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99.15</w:t>
            </w:r>
          </w:p>
        </w:tc>
        <w:tc>
          <w:tcPr>
            <w:tcW w:w="5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25F456">
            <w:pPr>
              <w:spacing w:line="240" w:lineRule="auto"/>
              <w:ind w:firstLine="0" w:firstLineChars="0"/>
              <w:jc w:val="right"/>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100.00%</w:t>
            </w:r>
          </w:p>
        </w:tc>
        <w:tc>
          <w:tcPr>
            <w:tcW w:w="99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580DAB">
            <w:pPr>
              <w:spacing w:line="240" w:lineRule="auto"/>
              <w:ind w:firstLine="0" w:firstLineChars="0"/>
              <w:jc w:val="left"/>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i w:val="0"/>
                <w:iCs w:val="0"/>
                <w:color w:val="auto"/>
                <w:kern w:val="0"/>
                <w:sz w:val="21"/>
                <w:szCs w:val="21"/>
                <w:highlight w:val="none"/>
                <w:u w:val="none"/>
                <w:lang w:val="en-US" w:eastAsia="zh-CN" w:bidi="ar"/>
              </w:rPr>
              <w:t>中央集中彩票公益金支持体育事业专项资金</w:t>
            </w:r>
          </w:p>
        </w:tc>
      </w:tr>
      <w:tr w14:paraId="33AFFFEC">
        <w:tblPrEx>
          <w:tblCellMar>
            <w:top w:w="0" w:type="dxa"/>
            <w:left w:w="0" w:type="dxa"/>
            <w:bottom w:w="0" w:type="dxa"/>
            <w:right w:w="0" w:type="dxa"/>
          </w:tblCellMar>
        </w:tblPrEx>
        <w:trPr>
          <w:trHeight w:val="288" w:hRule="atLeast"/>
        </w:trPr>
        <w:tc>
          <w:tcPr>
            <w:tcW w:w="2100" w:type="pct"/>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2108761">
            <w:pPr>
              <w:widowControl/>
              <w:snapToGrid/>
              <w:spacing w:line="240" w:lineRule="auto"/>
              <w:ind w:firstLine="0" w:firstLineChars="0"/>
              <w:jc w:val="center"/>
              <w:textAlignment w:val="center"/>
              <w:rPr>
                <w:rFonts w:ascii="Times New Roman" w:hAnsi="Times New Roman" w:eastAsia="宋体" w:cs="Times New Roman"/>
                <w:b/>
                <w:bCs/>
                <w:color w:val="auto"/>
                <w:kern w:val="0"/>
                <w:sz w:val="21"/>
                <w:szCs w:val="21"/>
                <w:highlight w:val="none"/>
                <w:lang w:bidi="ar"/>
              </w:rPr>
            </w:pPr>
            <w:r>
              <w:rPr>
                <w:rFonts w:ascii="Times New Roman" w:hAnsi="Times New Roman" w:eastAsia="宋体" w:cs="Times New Roman"/>
                <w:b/>
                <w:bCs/>
                <w:color w:val="auto"/>
                <w:kern w:val="0"/>
                <w:sz w:val="21"/>
                <w:szCs w:val="21"/>
                <w:highlight w:val="none"/>
                <w:lang w:bidi="ar"/>
              </w:rPr>
              <w:t>合计</w:t>
            </w:r>
          </w:p>
        </w:tc>
        <w:tc>
          <w:tcPr>
            <w:tcW w:w="45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ACC2C3D">
            <w:pPr>
              <w:spacing w:line="240" w:lineRule="auto"/>
              <w:ind w:firstLine="0" w:firstLineChars="0"/>
              <w:jc w:val="right"/>
              <w:rPr>
                <w:rFonts w:hint="default" w:ascii="Times New Roman" w:hAnsi="Times New Roman" w:eastAsia="宋体" w:cs="Times New Roman"/>
                <w:b/>
                <w:bCs/>
                <w:color w:val="auto"/>
                <w:sz w:val="21"/>
                <w:szCs w:val="21"/>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99</w:t>
            </w:r>
            <w:r>
              <w:rPr>
                <w:rFonts w:hint="eastAsia" w:ascii="Times New Roman" w:hAnsi="Times New Roman" w:eastAsia="宋体" w:cs="Times New Roman"/>
                <w:i w:val="0"/>
                <w:iCs w:val="0"/>
                <w:color w:val="auto"/>
                <w:kern w:val="0"/>
                <w:sz w:val="21"/>
                <w:szCs w:val="21"/>
                <w:highlight w:val="none"/>
                <w:u w:val="none"/>
                <w:lang w:val="en-US" w:eastAsia="zh-CN" w:bidi="ar"/>
              </w:rPr>
              <w:t>.30</w:t>
            </w:r>
          </w:p>
        </w:tc>
        <w:tc>
          <w:tcPr>
            <w:tcW w:w="429"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DDA564D">
            <w:pPr>
              <w:spacing w:line="240" w:lineRule="auto"/>
              <w:ind w:firstLine="0" w:firstLineChars="0"/>
              <w:jc w:val="right"/>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99.15</w:t>
            </w:r>
          </w:p>
        </w:tc>
        <w:tc>
          <w:tcPr>
            <w:tcW w:w="46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EAD9967">
            <w:pPr>
              <w:spacing w:line="240" w:lineRule="auto"/>
              <w:ind w:firstLine="0" w:firstLineChars="0"/>
              <w:jc w:val="right"/>
              <w:rPr>
                <w:rFonts w:hint="default"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i w:val="0"/>
                <w:iCs w:val="0"/>
                <w:color w:val="auto"/>
                <w:kern w:val="0"/>
                <w:sz w:val="21"/>
                <w:szCs w:val="21"/>
                <w:highlight w:val="none"/>
                <w:u w:val="none"/>
                <w:lang w:val="en-US" w:eastAsia="zh-CN" w:bidi="ar"/>
              </w:rPr>
              <w:t>99.15</w:t>
            </w:r>
          </w:p>
        </w:tc>
        <w:tc>
          <w:tcPr>
            <w:tcW w:w="5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BFFFCB">
            <w:pPr>
              <w:spacing w:line="240" w:lineRule="auto"/>
              <w:ind w:firstLine="0" w:firstLineChars="0"/>
              <w:jc w:val="right"/>
              <w:rPr>
                <w:rFonts w:hint="default" w:ascii="Times New Roman" w:hAnsi="Times New Roman" w:eastAsia="宋体" w:cs="Times New Roman"/>
                <w:b/>
                <w:bCs/>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100.00%</w:t>
            </w:r>
          </w:p>
        </w:tc>
        <w:tc>
          <w:tcPr>
            <w:tcW w:w="99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312A93F">
            <w:pPr>
              <w:spacing w:line="240" w:lineRule="auto"/>
              <w:ind w:firstLine="0" w:firstLineChars="0"/>
              <w:jc w:val="right"/>
              <w:rPr>
                <w:rFonts w:hint="eastAsia" w:ascii="Times New Roman" w:hAnsi="Times New Roman" w:eastAsia="宋体" w:cs="Times New Roman"/>
                <w:b/>
                <w:bCs/>
                <w:color w:val="auto"/>
                <w:sz w:val="21"/>
                <w:szCs w:val="21"/>
                <w:highlight w:val="none"/>
                <w:lang w:val="en-US" w:eastAsia="zh-CN"/>
              </w:rPr>
            </w:pPr>
          </w:p>
        </w:tc>
      </w:tr>
    </w:tbl>
    <w:p w14:paraId="5DD9943A">
      <w:pPr>
        <w:pStyle w:val="3"/>
        <w:spacing w:line="360" w:lineRule="auto"/>
        <w:ind w:left="0" w:leftChars="0" w:firstLine="420" w:firstLineChars="200"/>
        <w:rPr>
          <w:rFonts w:hint="eastAsia" w:ascii="Times New Roman" w:hAnsi="Times New Roman" w:eastAsia="宋体" w:cs="Times New Roman"/>
          <w:color w:val="auto"/>
          <w:highlight w:val="none"/>
          <w:lang w:val="en-US" w:eastAsia="zh-CN"/>
        </w:rPr>
      </w:pPr>
      <w:r>
        <w:rPr>
          <w:rFonts w:hint="eastAsia" w:cs="Times New Roman"/>
          <w:color w:val="auto"/>
          <w:highlight w:val="none"/>
          <w:lang w:val="en-US" w:eastAsia="zh-CN"/>
        </w:rPr>
        <w:t>备注：</w:t>
      </w:r>
      <w:r>
        <w:rPr>
          <w:rFonts w:hint="eastAsia" w:ascii="Times New Roman" w:hAnsi="Times New Roman" w:eastAsia="宋体" w:cs="Times New Roman"/>
          <w:color w:val="auto"/>
          <w:sz w:val="21"/>
          <w:szCs w:val="21"/>
          <w:highlight w:val="none"/>
        </w:rPr>
        <w:t>伊宁县文化体育广播电视和旅游局实际于 2024年10月31日内支付资金总额为99.30万元，项目于2024年9月21日通过竣工结算审核，结算审核金额为99.15万元，2024年11月8日伊宁县胜宁体育文化有限公司</w:t>
      </w:r>
      <w:r>
        <w:rPr>
          <w:rFonts w:hint="eastAsia" w:cs="Times New Roman"/>
          <w:color w:val="auto"/>
          <w:sz w:val="21"/>
          <w:szCs w:val="21"/>
          <w:highlight w:val="none"/>
          <w:lang w:val="en-US" w:eastAsia="zh-CN"/>
        </w:rPr>
        <w:t>以银行转账形式退回超拨资金</w:t>
      </w:r>
      <w:r>
        <w:rPr>
          <w:rFonts w:hint="eastAsia" w:ascii="Times New Roman" w:hAnsi="Times New Roman" w:eastAsia="宋体" w:cs="Times New Roman"/>
          <w:color w:val="auto"/>
          <w:sz w:val="21"/>
          <w:szCs w:val="21"/>
          <w:highlight w:val="none"/>
        </w:rPr>
        <w:t>0.15万元</w:t>
      </w:r>
      <w:r>
        <w:rPr>
          <w:rFonts w:hint="eastAsia" w:cs="Times New Roman"/>
          <w:color w:val="auto"/>
          <w:sz w:val="21"/>
          <w:szCs w:val="21"/>
          <w:highlight w:val="none"/>
          <w:lang w:val="en-US" w:eastAsia="zh-CN"/>
        </w:rPr>
        <w:t>至</w:t>
      </w:r>
      <w:r>
        <w:rPr>
          <w:rFonts w:hint="eastAsia" w:ascii="Times New Roman" w:hAnsi="Times New Roman" w:eastAsia="宋体" w:cs="Times New Roman"/>
          <w:color w:val="auto"/>
          <w:sz w:val="21"/>
          <w:szCs w:val="21"/>
          <w:highlight w:val="none"/>
        </w:rPr>
        <w:t>伊宁县文化体育广播电视和旅游局</w:t>
      </w:r>
      <w:r>
        <w:rPr>
          <w:rFonts w:hint="eastAsia" w:cs="Times New Roman"/>
          <w:color w:val="auto"/>
          <w:sz w:val="21"/>
          <w:szCs w:val="21"/>
          <w:highlight w:val="none"/>
          <w:lang w:val="en-US" w:eastAsia="zh-CN"/>
        </w:rPr>
        <w:t>银行账户</w:t>
      </w:r>
      <w:r>
        <w:rPr>
          <w:rFonts w:hint="eastAsia"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2025年4月29日，由伊宁县文化体育广播电视和旅游局将</w:t>
      </w:r>
      <w:r>
        <w:rPr>
          <w:rFonts w:hint="eastAsia" w:cs="Times New Roman"/>
          <w:color w:val="auto"/>
          <w:sz w:val="21"/>
          <w:szCs w:val="21"/>
          <w:highlight w:val="none"/>
          <w:lang w:val="en-US" w:eastAsia="zh-CN"/>
        </w:rPr>
        <w:t>超拨</w:t>
      </w:r>
      <w:r>
        <w:rPr>
          <w:rFonts w:hint="eastAsia" w:ascii="Times New Roman" w:hAnsi="Times New Roman" w:eastAsia="宋体" w:cs="Times New Roman"/>
          <w:color w:val="auto"/>
          <w:sz w:val="21"/>
          <w:szCs w:val="21"/>
          <w:highlight w:val="none"/>
        </w:rPr>
        <w:t>资金退回到</w:t>
      </w:r>
      <w:r>
        <w:rPr>
          <w:rFonts w:hint="eastAsia" w:cs="Times New Roman"/>
          <w:color w:val="auto"/>
          <w:sz w:val="21"/>
          <w:szCs w:val="21"/>
          <w:highlight w:val="none"/>
          <w:lang w:val="en-US" w:eastAsia="zh-CN"/>
        </w:rPr>
        <w:t>财政</w:t>
      </w:r>
      <w:r>
        <w:rPr>
          <w:rFonts w:hint="eastAsia" w:ascii="Times New Roman" w:hAnsi="Times New Roman" w:eastAsia="宋体" w:cs="Times New Roman"/>
          <w:color w:val="auto"/>
          <w:sz w:val="21"/>
          <w:szCs w:val="21"/>
          <w:highlight w:val="none"/>
        </w:rPr>
        <w:t>国库。</w:t>
      </w:r>
    </w:p>
    <w:p w14:paraId="113C0F17">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sz w:val="21"/>
          <w:szCs w:val="21"/>
          <w:highlight w:val="none"/>
        </w:rPr>
      </w:pPr>
      <w:bookmarkStart w:id="42" w:name="_Toc32160"/>
      <w:bookmarkStart w:id="43" w:name="_Toc27532"/>
      <w:r>
        <w:rPr>
          <w:rFonts w:hint="eastAsia" w:ascii="Times New Roman" w:hAnsi="Times New Roman" w:eastAsia="宋体" w:cs="Times New Roman"/>
          <w:color w:val="auto"/>
          <w:sz w:val="21"/>
          <w:szCs w:val="21"/>
          <w:highlight w:val="none"/>
        </w:rPr>
        <w:t>（三）</w:t>
      </w:r>
      <w:r>
        <w:rPr>
          <w:rFonts w:ascii="Times New Roman" w:hAnsi="Times New Roman" w:eastAsia="宋体" w:cs="Times New Roman"/>
          <w:color w:val="auto"/>
          <w:sz w:val="21"/>
          <w:szCs w:val="21"/>
          <w:highlight w:val="none"/>
        </w:rPr>
        <w:t>项目实施情况</w:t>
      </w:r>
      <w:bookmarkEnd w:id="42"/>
      <w:bookmarkEnd w:id="43"/>
    </w:p>
    <w:p w14:paraId="7198DCA1">
      <w:pPr>
        <w:pStyle w:val="6"/>
        <w:pageBreakBefore w:val="0"/>
        <w:kinsoku/>
        <w:wordWrap/>
        <w:overflowPunct/>
        <w:topLinePunct w:val="0"/>
        <w:autoSpaceDE/>
        <w:autoSpaceDN/>
        <w:bidi w:val="0"/>
        <w:snapToGrid w:val="0"/>
        <w:spacing w:before="0" w:after="0" w:line="360" w:lineRule="auto"/>
        <w:ind w:firstLine="482"/>
        <w:outlineLvl w:val="2"/>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1.项目前期手续办理情况</w:t>
      </w:r>
    </w:p>
    <w:p w14:paraId="05AB262D">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2024年4月22日，取得伊宁县自然资源局颁发的《关于伊宁县全民健身场地建设项目选址的审查意见》（伊县自然资函〔2024〕49号）：“二、该项目不涉及新增建设用地；三、根据自然资源部《关于进一步做好用地用海要素保障的通知》（自然资发〔2023〕89号）文件要求，该项目位于国土空间规划确定的村庄、集镇建设用地范围内，属于不需办理用地预审情形。”</w:t>
      </w:r>
    </w:p>
    <w:p w14:paraId="4FDA4BF7">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2024年4月23日，取得伊犁哈萨克自治州生态环境局伊宁县分局审批的《不纳入建设项目环境影响评价管理告知函》，按照《名录》第五条规定：“本名录未作规定的建设项目，不纳入建设项目环境影响评价管理”。</w:t>
      </w:r>
    </w:p>
    <w:p w14:paraId="39EECF71">
      <w:pPr>
        <w:pStyle w:val="2"/>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2024年4月24日，伊宁县文化体育广播电视和旅游局委托东天工程咨询有限公司编制完成《伊宁县全民健身场地建设项目可行性研究报告》并办理取得《关于伊宁县全民健身场地建设项目可行性研究报告的批复》（伊县发改字〔2024〕87号）。</w:t>
      </w:r>
    </w:p>
    <w:p w14:paraId="158002E1">
      <w:pPr>
        <w:pStyle w:val="6"/>
        <w:pageBreakBefore w:val="0"/>
        <w:widowControl w:val="0"/>
        <w:kinsoku/>
        <w:wordWrap/>
        <w:overflowPunct/>
        <w:topLinePunct w:val="0"/>
        <w:autoSpaceDE/>
        <w:autoSpaceDN/>
        <w:bidi w:val="0"/>
        <w:adjustRightInd w:val="0"/>
        <w:snapToGrid w:val="0"/>
        <w:spacing w:line="360" w:lineRule="auto"/>
        <w:ind w:firstLine="482"/>
        <w:textAlignment w:val="auto"/>
        <w:outlineLvl w:val="2"/>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2.</w:t>
      </w:r>
      <w:r>
        <w:rPr>
          <w:rFonts w:hint="eastAsia" w:ascii="Times New Roman" w:hAnsi="Times New Roman" w:eastAsia="宋体" w:cs="Times New Roman"/>
          <w:b/>
          <w:bCs/>
          <w:color w:val="auto"/>
          <w:kern w:val="2"/>
          <w:sz w:val="21"/>
          <w:szCs w:val="21"/>
          <w:highlight w:val="none"/>
          <w:lang w:val="en-US" w:eastAsia="zh-CN" w:bidi="ar-SA"/>
        </w:rPr>
        <w:t>项目采购情况</w:t>
      </w:r>
    </w:p>
    <w:p w14:paraId="566BE2C9">
      <w:pPr>
        <w:pageBreakBefore w:val="0"/>
        <w:widowControl w:val="0"/>
        <w:kinsoku/>
        <w:wordWrap/>
        <w:overflowPunct/>
        <w:topLinePunct w:val="0"/>
        <w:autoSpaceDE/>
        <w:autoSpaceDN/>
        <w:bidi w:val="0"/>
        <w:adjustRightInd w:val="0"/>
        <w:snapToGrid w:val="0"/>
        <w:spacing w:line="360" w:lineRule="auto"/>
        <w:ind w:firstLine="560"/>
        <w:textAlignment w:val="auto"/>
        <w:rPr>
          <w:rFonts w:hint="eastAsia" w:eastAsia="宋体" w:cs="Times New Roman"/>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2024年4月</w:t>
      </w:r>
      <w:r>
        <w:rPr>
          <w:rFonts w:hint="eastAsia" w:eastAsia="宋体" w:cs="Times New Roman"/>
          <w:b w:val="0"/>
          <w:bCs w:val="0"/>
          <w:color w:val="auto"/>
          <w:kern w:val="2"/>
          <w:sz w:val="21"/>
          <w:szCs w:val="21"/>
          <w:highlight w:val="none"/>
          <w:lang w:val="en-US" w:eastAsia="zh-CN" w:bidi="ar-SA"/>
        </w:rPr>
        <w:t>11</w:t>
      </w:r>
      <w:r>
        <w:rPr>
          <w:rFonts w:hint="eastAsia" w:ascii="Times New Roman" w:hAnsi="Times New Roman" w:eastAsia="宋体" w:cs="Times New Roman"/>
          <w:b w:val="0"/>
          <w:bCs w:val="0"/>
          <w:color w:val="auto"/>
          <w:kern w:val="2"/>
          <w:sz w:val="21"/>
          <w:szCs w:val="21"/>
          <w:highlight w:val="none"/>
          <w:lang w:val="en-US" w:eastAsia="zh-CN" w:bidi="ar-SA"/>
        </w:rPr>
        <w:t>日</w:t>
      </w:r>
      <w:r>
        <w:rPr>
          <w:rFonts w:hint="eastAsia" w:eastAsia="宋体" w:cs="Times New Roman"/>
          <w:b w:val="0"/>
          <w:bCs w:val="0"/>
          <w:color w:val="auto"/>
          <w:kern w:val="2"/>
          <w:sz w:val="21"/>
          <w:szCs w:val="21"/>
          <w:highlight w:val="none"/>
          <w:lang w:val="en-US" w:eastAsia="zh-CN" w:bidi="ar-SA"/>
        </w:rPr>
        <w:t>，</w:t>
      </w:r>
      <w:r>
        <w:rPr>
          <w:rFonts w:hint="eastAsia" w:eastAsia="宋体" w:cs="Times New Roman"/>
          <w:color w:val="auto"/>
          <w:kern w:val="2"/>
          <w:sz w:val="21"/>
          <w:szCs w:val="21"/>
          <w:highlight w:val="none"/>
          <w:lang w:val="en-US" w:eastAsia="zh-CN" w:bidi="ar-SA"/>
        </w:rPr>
        <w:t>伊宁县</w:t>
      </w:r>
      <w:r>
        <w:rPr>
          <w:rFonts w:hint="eastAsia" w:ascii="Times New Roman" w:hAnsi="Times New Roman" w:eastAsia="宋体" w:cs="Times New Roman"/>
          <w:color w:val="auto"/>
          <w:kern w:val="2"/>
          <w:sz w:val="21"/>
          <w:szCs w:val="21"/>
          <w:highlight w:val="none"/>
          <w:lang w:val="en-US" w:eastAsia="zh-CN" w:bidi="ar-SA"/>
        </w:rPr>
        <w:t>文化体育广播电视和旅游局</w:t>
      </w:r>
      <w:r>
        <w:rPr>
          <w:rFonts w:hint="eastAsia" w:eastAsia="宋体" w:cs="Times New Roman"/>
          <w:color w:val="auto"/>
          <w:kern w:val="2"/>
          <w:sz w:val="21"/>
          <w:szCs w:val="21"/>
          <w:highlight w:val="none"/>
          <w:lang w:val="en-US" w:eastAsia="zh-CN" w:bidi="ar-SA"/>
        </w:rPr>
        <w:t>向伊宁县政府采购管理办公室提交《关于对伊宁县全民健身场地建设施工项目进行政府采购的请示》，申请资金99.90万元，建议从政采云平台电子卖场进行采购。</w:t>
      </w:r>
    </w:p>
    <w:p w14:paraId="00F30BF8">
      <w:pPr>
        <w:pageBreakBefore w:val="0"/>
        <w:widowControl w:val="0"/>
        <w:kinsoku/>
        <w:wordWrap/>
        <w:overflowPunct/>
        <w:topLinePunct w:val="0"/>
        <w:autoSpaceDE/>
        <w:autoSpaceDN/>
        <w:bidi w:val="0"/>
        <w:adjustRightInd w:val="0"/>
        <w:snapToGrid w:val="0"/>
        <w:spacing w:line="360" w:lineRule="auto"/>
        <w:ind w:firstLine="560"/>
        <w:textAlignment w:val="auto"/>
        <w:rPr>
          <w:rFonts w:hint="default" w:eastAsia="宋体" w:cs="Times New Roman"/>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2024年4月</w:t>
      </w:r>
      <w:r>
        <w:rPr>
          <w:rFonts w:hint="eastAsia" w:eastAsia="宋体" w:cs="Times New Roman"/>
          <w:b w:val="0"/>
          <w:bCs w:val="0"/>
          <w:color w:val="auto"/>
          <w:kern w:val="2"/>
          <w:sz w:val="21"/>
          <w:szCs w:val="21"/>
          <w:highlight w:val="none"/>
          <w:lang w:val="en-US" w:eastAsia="zh-CN" w:bidi="ar-SA"/>
        </w:rPr>
        <w:t>16</w:t>
      </w:r>
      <w:r>
        <w:rPr>
          <w:rFonts w:hint="eastAsia" w:ascii="Times New Roman" w:hAnsi="Times New Roman" w:eastAsia="宋体" w:cs="Times New Roman"/>
          <w:b w:val="0"/>
          <w:bCs w:val="0"/>
          <w:color w:val="auto"/>
          <w:kern w:val="2"/>
          <w:sz w:val="21"/>
          <w:szCs w:val="21"/>
          <w:highlight w:val="none"/>
          <w:lang w:val="en-US" w:eastAsia="zh-CN" w:bidi="ar-SA"/>
        </w:rPr>
        <w:t>日</w:t>
      </w:r>
      <w:r>
        <w:rPr>
          <w:rFonts w:hint="eastAsia" w:eastAsia="宋体" w:cs="Times New Roman"/>
          <w:b w:val="0"/>
          <w:bCs w:val="0"/>
          <w:color w:val="auto"/>
          <w:kern w:val="2"/>
          <w:sz w:val="21"/>
          <w:szCs w:val="21"/>
          <w:highlight w:val="none"/>
          <w:lang w:val="en-US" w:eastAsia="zh-CN" w:bidi="ar-SA"/>
        </w:rPr>
        <w:t>，取得财政局</w:t>
      </w:r>
      <w:r>
        <w:rPr>
          <w:rFonts w:hint="eastAsia" w:ascii="Times New Roman" w:hAnsi="Times New Roman" w:eastAsia="宋体" w:cs="Times New Roman"/>
          <w:color w:val="auto"/>
          <w:kern w:val="2"/>
          <w:sz w:val="21"/>
          <w:szCs w:val="21"/>
          <w:highlight w:val="none"/>
          <w:lang w:val="en-US" w:eastAsia="zh-CN" w:bidi="ar-SA"/>
        </w:rPr>
        <w:t>审批的</w:t>
      </w:r>
      <w:r>
        <w:rPr>
          <w:rFonts w:hint="eastAsia" w:eastAsia="宋体" w:cs="Times New Roman"/>
          <w:b w:val="0"/>
          <w:bCs w:val="0"/>
          <w:color w:val="auto"/>
          <w:kern w:val="2"/>
          <w:sz w:val="21"/>
          <w:szCs w:val="21"/>
          <w:highlight w:val="none"/>
          <w:lang w:val="en-US" w:eastAsia="zh-CN" w:bidi="ar-SA"/>
        </w:rPr>
        <w:t>《伊宁县政府采购计划资金审核表》：“申请按规定办理”。</w:t>
      </w:r>
    </w:p>
    <w:p w14:paraId="26BD4264">
      <w:pPr>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项目于2024年4月24日通过</w:t>
      </w:r>
      <w:r>
        <w:rPr>
          <w:rFonts w:hint="eastAsia" w:ascii="Times New Roman" w:hAnsi="Times New Roman" w:eastAsia="宋体" w:cs="Times New Roman"/>
          <w:color w:val="auto"/>
          <w:sz w:val="21"/>
          <w:szCs w:val="21"/>
          <w:highlight w:val="none"/>
        </w:rPr>
        <w:t>政采云平台</w:t>
      </w:r>
      <w:r>
        <w:rPr>
          <w:rFonts w:hint="eastAsia" w:ascii="Times New Roman" w:hAnsi="Times New Roman" w:eastAsia="宋体" w:cs="Times New Roman"/>
          <w:color w:val="auto"/>
          <w:sz w:val="21"/>
          <w:szCs w:val="21"/>
          <w:highlight w:val="none"/>
          <w:lang w:val="en-US" w:eastAsia="zh-CN"/>
        </w:rPr>
        <w:t>电子卖场</w:t>
      </w:r>
      <w:r>
        <w:rPr>
          <w:rFonts w:hint="eastAsia" w:ascii="Times New Roman" w:hAnsi="Times New Roman" w:eastAsia="宋体" w:cs="Times New Roman"/>
          <w:color w:val="auto"/>
          <w:highlight w:val="none"/>
          <w:lang w:val="en-US" w:eastAsia="zh-CN"/>
        </w:rPr>
        <w:t>服务市场采购</w:t>
      </w:r>
      <w:r>
        <w:rPr>
          <w:rFonts w:hint="eastAsia" w:ascii="Times New Roman" w:hAnsi="Times New Roman" w:eastAsia="宋体" w:cs="Times New Roman"/>
          <w:b w:val="0"/>
          <w:bCs w:val="0"/>
          <w:color w:val="auto"/>
          <w:kern w:val="2"/>
          <w:sz w:val="21"/>
          <w:szCs w:val="21"/>
          <w:highlight w:val="none"/>
          <w:lang w:val="en-US" w:eastAsia="zh-CN" w:bidi="ar-SA"/>
        </w:rPr>
        <w:t>的方式确定伊宁县胜宁体育文化有限公司为项目建设单位，采购金额99.30万元，并签订《体育场建设工程施工协议》，约定服务范围是铺设一块五人制笼式足球场、两块悬浮地板篮球场；工程承包方式：包工包料；约定合同工期为材料进场后45个工作日。</w:t>
      </w:r>
    </w:p>
    <w:p w14:paraId="6BCFAAB8">
      <w:pPr>
        <w:pStyle w:val="6"/>
        <w:spacing w:line="360" w:lineRule="auto"/>
        <w:ind w:firstLine="482"/>
        <w:outlineLvl w:val="2"/>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b/>
          <w:bCs/>
          <w:color w:val="auto"/>
          <w:kern w:val="2"/>
          <w:sz w:val="21"/>
          <w:szCs w:val="21"/>
          <w:highlight w:val="none"/>
          <w:lang w:val="en-US" w:eastAsia="zh-CN" w:bidi="ar-SA"/>
        </w:rPr>
        <w:t>3.项目完成及验收情况</w:t>
      </w:r>
    </w:p>
    <w:p w14:paraId="21029F58">
      <w:pPr>
        <w:spacing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bidi="ar-SA"/>
        </w:rPr>
        <w:t>（1）伊宁县吉里于孜镇上肉孜买提于孜村建设工程</w:t>
      </w:r>
    </w:p>
    <w:p w14:paraId="70BD29E4">
      <w:pPr>
        <w:spacing w:line="360" w:lineRule="auto"/>
        <w:ind w:firstLine="42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该工程于2024年5月20日开工，2024年9月15日完工，根据项目实施单位提供《</w:t>
      </w:r>
      <w:r>
        <w:rPr>
          <w:rFonts w:hint="eastAsia" w:ascii="Times New Roman" w:hAnsi="Times New Roman" w:eastAsia="宋体" w:cs="Times New Roman"/>
          <w:b w:val="0"/>
          <w:bCs w:val="0"/>
          <w:color w:val="auto"/>
          <w:kern w:val="2"/>
          <w:sz w:val="21"/>
          <w:szCs w:val="21"/>
          <w:highlight w:val="none"/>
          <w:lang w:val="en-US" w:eastAsia="zh-CN" w:bidi="ar-SA"/>
        </w:rPr>
        <w:t>工程质量竣工验收记录表</w:t>
      </w:r>
      <w:r>
        <w:rPr>
          <w:rFonts w:hint="eastAsia" w:ascii="Times New Roman" w:hAnsi="Times New Roman" w:eastAsia="宋体" w:cs="Times New Roman"/>
          <w:color w:val="auto"/>
          <w:sz w:val="21"/>
          <w:szCs w:val="21"/>
          <w:highlight w:val="none"/>
          <w:lang w:val="en-US" w:eastAsia="zh-CN"/>
        </w:rPr>
        <w:t>》，建设完成</w:t>
      </w:r>
      <w:r>
        <w:rPr>
          <w:rFonts w:hint="eastAsia" w:ascii="Times New Roman" w:hAnsi="Times New Roman" w:eastAsia="宋体" w:cs="Times New Roman"/>
          <w:color w:val="auto"/>
          <w:highlight w:val="none"/>
        </w:rPr>
        <w:t>吉里于孜镇上肉孜买提于孜村</w:t>
      </w:r>
      <w:r>
        <w:rPr>
          <w:rFonts w:hint="eastAsia" w:ascii="Times New Roman" w:hAnsi="Times New Roman" w:eastAsia="宋体" w:cs="Times New Roman"/>
          <w:color w:val="auto"/>
          <w:highlight w:val="none"/>
          <w:lang w:val="en-US" w:eastAsia="zh-CN"/>
        </w:rPr>
        <w:t>五人制足球场1块，总面积</w:t>
      </w:r>
      <w:r>
        <w:rPr>
          <w:rFonts w:hint="eastAsia" w:ascii="Times New Roman" w:hAnsi="Times New Roman" w:eastAsia="宋体" w:cs="Times New Roman"/>
          <w:i w:val="0"/>
          <w:iCs w:val="0"/>
          <w:color w:val="auto"/>
          <w:kern w:val="0"/>
          <w:sz w:val="21"/>
          <w:szCs w:val="21"/>
          <w:highlight w:val="none"/>
          <w:u w:val="none"/>
          <w:lang w:val="en-US" w:eastAsia="zh-CN" w:bidi="ar"/>
        </w:rPr>
        <w:t>1,080.00</w:t>
      </w:r>
      <w:r>
        <w:rPr>
          <w:rFonts w:hint="eastAsia" w:ascii="Times New Roman" w:hAnsi="Times New Roman" w:eastAsia="宋体" w:cs="Times New Roman"/>
          <w:color w:val="auto"/>
          <w:highlight w:val="none"/>
          <w:lang w:val="en-US" w:eastAsia="zh-CN"/>
        </w:rPr>
        <w:t>平方米，标准篮球场1块，</w:t>
      </w:r>
      <w:r>
        <w:rPr>
          <w:rFonts w:hint="eastAsia" w:ascii="Times New Roman" w:hAnsi="Times New Roman" w:eastAsia="宋体" w:cs="Times New Roman"/>
          <w:color w:val="auto"/>
          <w:highlight w:val="none"/>
        </w:rPr>
        <w:t>面积</w:t>
      </w:r>
      <w:r>
        <w:rPr>
          <w:rFonts w:hint="eastAsia" w:ascii="Times New Roman" w:hAnsi="Times New Roman" w:eastAsia="宋体" w:cs="Times New Roman"/>
          <w:color w:val="auto"/>
          <w:highlight w:val="none"/>
          <w:lang w:val="en-US" w:eastAsia="zh-CN"/>
        </w:rPr>
        <w:t>798</w:t>
      </w:r>
      <w:r>
        <w:rPr>
          <w:rFonts w:hint="eastAsia" w:eastAsia="宋体" w:cs="Times New Roman"/>
          <w:color w:val="auto"/>
          <w:highlight w:val="none"/>
          <w:lang w:val="en-US" w:eastAsia="zh-CN"/>
        </w:rPr>
        <w:t>.00</w:t>
      </w:r>
      <w:r>
        <w:rPr>
          <w:rFonts w:hint="eastAsia" w:ascii="Times New Roman" w:hAnsi="Times New Roman" w:eastAsia="宋体" w:cs="Times New Roman"/>
          <w:color w:val="auto"/>
          <w:highlight w:val="none"/>
          <w:lang w:val="en-US" w:eastAsia="zh-CN"/>
        </w:rPr>
        <w:t>平方米</w:t>
      </w:r>
      <w:r>
        <w:rPr>
          <w:rFonts w:hint="eastAsia" w:ascii="Times New Roman" w:hAnsi="Times New Roman" w:eastAsia="宋体" w:cs="Times New Roman"/>
          <w:color w:val="auto"/>
          <w:sz w:val="21"/>
          <w:szCs w:val="21"/>
          <w:highlight w:val="none"/>
          <w:lang w:val="en-US" w:eastAsia="zh-CN"/>
        </w:rPr>
        <w:t>。竣工后经</w:t>
      </w:r>
      <w:r>
        <w:rPr>
          <w:rFonts w:hint="eastAsia" w:ascii="Times New Roman" w:hAnsi="Times New Roman" w:eastAsia="宋体" w:cs="Times New Roman"/>
          <w:b w:val="0"/>
          <w:bCs w:val="0"/>
          <w:color w:val="auto"/>
          <w:kern w:val="2"/>
          <w:sz w:val="21"/>
          <w:szCs w:val="21"/>
          <w:highlight w:val="none"/>
          <w:lang w:val="en-US" w:eastAsia="zh-CN" w:bidi="ar-SA"/>
        </w:rPr>
        <w:t>建设单位组织施工单位、监理单位</w:t>
      </w:r>
      <w:r>
        <w:rPr>
          <w:rFonts w:hint="eastAsia" w:ascii="Times New Roman" w:hAnsi="Times New Roman" w:eastAsia="宋体" w:cs="Times New Roman"/>
          <w:color w:val="auto"/>
          <w:sz w:val="21"/>
          <w:szCs w:val="21"/>
          <w:highlight w:val="none"/>
          <w:lang w:val="en-US" w:eastAsia="zh-CN"/>
        </w:rPr>
        <w:t>共同确认验收结果并签署</w:t>
      </w:r>
      <w:r>
        <w:rPr>
          <w:rFonts w:hint="eastAsia" w:ascii="Times New Roman" w:hAnsi="Times New Roman" w:eastAsia="宋体" w:cs="Times New Roman"/>
          <w:b w:val="0"/>
          <w:bCs w:val="0"/>
          <w:color w:val="auto"/>
          <w:kern w:val="2"/>
          <w:sz w:val="21"/>
          <w:szCs w:val="21"/>
          <w:highlight w:val="none"/>
          <w:lang w:val="en-US" w:eastAsia="zh-CN" w:bidi="ar-SA"/>
        </w:rPr>
        <w:t>《工程质量竣工验收记录表》，验收结论为：“经验收各项均满足有关规范、标准和设计要求，同意单位工程竣工验收”。</w:t>
      </w:r>
    </w:p>
    <w:p w14:paraId="769CE709">
      <w:pPr>
        <w:spacing w:line="360" w:lineRule="auto"/>
        <w:ind w:firstLine="42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隐蔽工程验收情况：</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1"/>
        <w:gridCol w:w="2959"/>
        <w:gridCol w:w="2056"/>
        <w:gridCol w:w="1793"/>
      </w:tblGrid>
      <w:tr w14:paraId="671F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004" w:type="pct"/>
            <w:vAlign w:val="center"/>
          </w:tcPr>
          <w:p w14:paraId="54B66A4C">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工程名称</w:t>
            </w:r>
          </w:p>
        </w:tc>
        <w:tc>
          <w:tcPr>
            <w:tcW w:w="1736" w:type="pct"/>
            <w:vAlign w:val="center"/>
          </w:tcPr>
          <w:p w14:paraId="6C55AD47">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隐蔽部位</w:t>
            </w:r>
          </w:p>
        </w:tc>
        <w:tc>
          <w:tcPr>
            <w:tcW w:w="1206" w:type="pct"/>
            <w:vAlign w:val="center"/>
          </w:tcPr>
          <w:p w14:paraId="2DF891FF">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验收时间</w:t>
            </w:r>
          </w:p>
        </w:tc>
        <w:tc>
          <w:tcPr>
            <w:tcW w:w="1052" w:type="pct"/>
            <w:vAlign w:val="center"/>
          </w:tcPr>
          <w:p w14:paraId="71195C22">
            <w:pPr>
              <w:pStyle w:val="2"/>
              <w:spacing w:line="240" w:lineRule="auto"/>
              <w:ind w:firstLine="0" w:firstLineChars="0"/>
              <w:jc w:val="center"/>
              <w:rPr>
                <w:rFonts w:hint="eastAsia"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验收结论</w:t>
            </w:r>
          </w:p>
        </w:tc>
      </w:tr>
      <w:tr w14:paraId="64E3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restart"/>
            <w:vAlign w:val="center"/>
          </w:tcPr>
          <w:p w14:paraId="58FE0E62">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kern w:val="2"/>
                <w:sz w:val="21"/>
                <w:szCs w:val="21"/>
                <w:highlight w:val="none"/>
                <w:lang w:val="en-US" w:eastAsia="zh-CN" w:bidi="ar-SA"/>
              </w:rPr>
              <w:t>吉里于孜镇上肉孜买提于孜村篮球场项目</w:t>
            </w:r>
          </w:p>
          <w:p w14:paraId="0D37BD98">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39CF393E">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篮球土方开挖</w:t>
            </w:r>
          </w:p>
        </w:tc>
        <w:tc>
          <w:tcPr>
            <w:tcW w:w="1206" w:type="pct"/>
            <w:vAlign w:val="center"/>
          </w:tcPr>
          <w:p w14:paraId="712DA9CE">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2024年5月30日</w:t>
            </w:r>
          </w:p>
        </w:tc>
        <w:tc>
          <w:tcPr>
            <w:tcW w:w="1052" w:type="pct"/>
            <w:vAlign w:val="center"/>
          </w:tcPr>
          <w:p w14:paraId="1BAB821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17F24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2F8E5AE0">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101EA662">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天然砂砾级配换填第一层</w:t>
            </w:r>
          </w:p>
        </w:tc>
        <w:tc>
          <w:tcPr>
            <w:tcW w:w="1206" w:type="pct"/>
            <w:shd w:val="clear" w:color="auto" w:fill="auto"/>
            <w:vAlign w:val="center"/>
          </w:tcPr>
          <w:p w14:paraId="67DD69EB">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2024年6月5日</w:t>
            </w:r>
          </w:p>
        </w:tc>
        <w:tc>
          <w:tcPr>
            <w:tcW w:w="1052" w:type="pct"/>
            <w:shd w:val="clear" w:color="auto" w:fill="auto"/>
            <w:vAlign w:val="center"/>
          </w:tcPr>
          <w:p w14:paraId="1D78544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66CEC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70FCB04E">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1C0F18E5">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天然砂砾级配换填第二层</w:t>
            </w:r>
          </w:p>
        </w:tc>
        <w:tc>
          <w:tcPr>
            <w:tcW w:w="1206" w:type="pct"/>
            <w:shd w:val="clear" w:color="auto" w:fill="auto"/>
            <w:vAlign w:val="center"/>
          </w:tcPr>
          <w:p w14:paraId="4462DA8D">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2024年6月12日</w:t>
            </w:r>
          </w:p>
        </w:tc>
        <w:tc>
          <w:tcPr>
            <w:tcW w:w="1052" w:type="pct"/>
            <w:shd w:val="clear" w:color="auto" w:fill="auto"/>
            <w:vAlign w:val="center"/>
          </w:tcPr>
          <w:p w14:paraId="551C6523">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8C6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68283624">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21A2D6D6">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混凝土面层</w:t>
            </w:r>
          </w:p>
        </w:tc>
        <w:tc>
          <w:tcPr>
            <w:tcW w:w="1206" w:type="pct"/>
            <w:shd w:val="clear" w:color="auto" w:fill="auto"/>
            <w:vAlign w:val="center"/>
          </w:tcPr>
          <w:p w14:paraId="6FF1AFC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2024年6月20日</w:t>
            </w:r>
          </w:p>
        </w:tc>
        <w:tc>
          <w:tcPr>
            <w:tcW w:w="1052" w:type="pct"/>
            <w:shd w:val="clear" w:color="auto" w:fill="auto"/>
            <w:vAlign w:val="center"/>
          </w:tcPr>
          <w:p w14:paraId="4B8F9E37">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1C9F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3FA8A0DA">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6C4D0E59">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成品悬浮板拼接</w:t>
            </w:r>
          </w:p>
        </w:tc>
        <w:tc>
          <w:tcPr>
            <w:tcW w:w="1206" w:type="pct"/>
            <w:shd w:val="clear" w:color="auto" w:fill="auto"/>
            <w:vAlign w:val="center"/>
          </w:tcPr>
          <w:p w14:paraId="25A9A936">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2024年7月1日</w:t>
            </w:r>
          </w:p>
        </w:tc>
        <w:tc>
          <w:tcPr>
            <w:tcW w:w="1052" w:type="pct"/>
            <w:shd w:val="clear" w:color="auto" w:fill="auto"/>
            <w:vAlign w:val="center"/>
          </w:tcPr>
          <w:p w14:paraId="7897C693">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1B0F3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restart"/>
            <w:vAlign w:val="center"/>
          </w:tcPr>
          <w:p w14:paraId="67500AC1">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kern w:val="2"/>
                <w:sz w:val="21"/>
                <w:szCs w:val="21"/>
                <w:highlight w:val="none"/>
                <w:lang w:val="en-US" w:eastAsia="zh-CN" w:bidi="ar-SA"/>
              </w:rPr>
              <w:t>吉里于孜镇上肉孜买提于孜村足球场项目</w:t>
            </w:r>
          </w:p>
          <w:p w14:paraId="07314F3F">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771B65EF">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足球场土方开挖</w:t>
            </w:r>
          </w:p>
        </w:tc>
        <w:tc>
          <w:tcPr>
            <w:tcW w:w="1206" w:type="pct"/>
            <w:shd w:val="clear" w:color="auto" w:fill="auto"/>
            <w:vAlign w:val="center"/>
          </w:tcPr>
          <w:p w14:paraId="010ACEC5">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2024年5月30日</w:t>
            </w:r>
          </w:p>
        </w:tc>
        <w:tc>
          <w:tcPr>
            <w:tcW w:w="1052" w:type="pct"/>
            <w:shd w:val="clear" w:color="auto" w:fill="auto"/>
            <w:vAlign w:val="center"/>
          </w:tcPr>
          <w:p w14:paraId="0EF627E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3D71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563F3FD3">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71CAAFDE">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天然砂砾级配换填第一层</w:t>
            </w:r>
          </w:p>
        </w:tc>
        <w:tc>
          <w:tcPr>
            <w:tcW w:w="1206" w:type="pct"/>
            <w:shd w:val="clear" w:color="auto" w:fill="auto"/>
            <w:vAlign w:val="center"/>
          </w:tcPr>
          <w:p w14:paraId="250892BF">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2024年6月5日</w:t>
            </w:r>
          </w:p>
        </w:tc>
        <w:tc>
          <w:tcPr>
            <w:tcW w:w="1052" w:type="pct"/>
            <w:shd w:val="clear" w:color="auto" w:fill="auto"/>
            <w:vAlign w:val="center"/>
          </w:tcPr>
          <w:p w14:paraId="534BBF28">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778C0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3943AE81">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6B9B5284">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天然砂砾级配换填第二层</w:t>
            </w:r>
          </w:p>
        </w:tc>
        <w:tc>
          <w:tcPr>
            <w:tcW w:w="1206" w:type="pct"/>
            <w:shd w:val="clear" w:color="auto" w:fill="auto"/>
            <w:vAlign w:val="center"/>
          </w:tcPr>
          <w:p w14:paraId="3C7DBC50">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2024年6月12日</w:t>
            </w:r>
          </w:p>
        </w:tc>
        <w:tc>
          <w:tcPr>
            <w:tcW w:w="1052" w:type="pct"/>
            <w:shd w:val="clear" w:color="auto" w:fill="auto"/>
            <w:vAlign w:val="center"/>
          </w:tcPr>
          <w:p w14:paraId="768E3538">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2029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1262A5C9">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3B425BE6">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混凝土面层</w:t>
            </w:r>
          </w:p>
        </w:tc>
        <w:tc>
          <w:tcPr>
            <w:tcW w:w="1206" w:type="pct"/>
            <w:shd w:val="clear" w:color="auto" w:fill="auto"/>
            <w:vAlign w:val="center"/>
          </w:tcPr>
          <w:p w14:paraId="611ADEC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2024年6月20日</w:t>
            </w:r>
          </w:p>
        </w:tc>
        <w:tc>
          <w:tcPr>
            <w:tcW w:w="1052" w:type="pct"/>
            <w:shd w:val="clear" w:color="auto" w:fill="auto"/>
            <w:vAlign w:val="center"/>
          </w:tcPr>
          <w:p w14:paraId="158E2E3F">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FDE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1B612E6D">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476E56B0">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合成材料吸震垫安装</w:t>
            </w:r>
          </w:p>
        </w:tc>
        <w:tc>
          <w:tcPr>
            <w:tcW w:w="1206" w:type="pct"/>
            <w:shd w:val="clear" w:color="auto" w:fill="auto"/>
            <w:vAlign w:val="center"/>
          </w:tcPr>
          <w:p w14:paraId="054648C1">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2024年7月5日</w:t>
            </w:r>
          </w:p>
        </w:tc>
        <w:tc>
          <w:tcPr>
            <w:tcW w:w="1052" w:type="pct"/>
            <w:shd w:val="clear" w:color="auto" w:fill="auto"/>
            <w:vAlign w:val="center"/>
          </w:tcPr>
          <w:p w14:paraId="7E5169A7">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15FD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37BFFADC">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00AEA69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绿色人造草坪铺设</w:t>
            </w:r>
          </w:p>
        </w:tc>
        <w:tc>
          <w:tcPr>
            <w:tcW w:w="1206" w:type="pct"/>
            <w:shd w:val="clear" w:color="auto" w:fill="auto"/>
            <w:vAlign w:val="center"/>
          </w:tcPr>
          <w:p w14:paraId="58600D56">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2024年7月12日</w:t>
            </w:r>
          </w:p>
        </w:tc>
        <w:tc>
          <w:tcPr>
            <w:tcW w:w="1052" w:type="pct"/>
            <w:shd w:val="clear" w:color="auto" w:fill="auto"/>
            <w:vAlign w:val="center"/>
          </w:tcPr>
          <w:p w14:paraId="08CD77A6">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7C8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restart"/>
            <w:vAlign w:val="center"/>
          </w:tcPr>
          <w:p w14:paraId="2CE0B49A">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kern w:val="2"/>
                <w:sz w:val="21"/>
                <w:szCs w:val="21"/>
                <w:highlight w:val="none"/>
                <w:lang w:val="en-US" w:eastAsia="zh-CN" w:bidi="ar-SA"/>
              </w:rPr>
              <w:t>吉里于孜镇上肉孜买提于孜村篮球场、足球场项目</w:t>
            </w:r>
          </w:p>
          <w:p w14:paraId="22DE357B">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54FE2580">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太阳能路灯基座土方开挖</w:t>
            </w:r>
          </w:p>
        </w:tc>
        <w:tc>
          <w:tcPr>
            <w:tcW w:w="1206" w:type="pct"/>
            <w:shd w:val="clear" w:color="auto" w:fill="auto"/>
            <w:vAlign w:val="center"/>
          </w:tcPr>
          <w:p w14:paraId="44708D2D">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2024年7月2日</w:t>
            </w:r>
          </w:p>
        </w:tc>
        <w:tc>
          <w:tcPr>
            <w:tcW w:w="1052" w:type="pct"/>
            <w:shd w:val="clear" w:color="auto" w:fill="auto"/>
            <w:vAlign w:val="center"/>
          </w:tcPr>
          <w:p w14:paraId="5A35F2B7">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53FCB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27E888F8">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116A10E7">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太阳能路灯基座预埋件</w:t>
            </w:r>
          </w:p>
        </w:tc>
        <w:tc>
          <w:tcPr>
            <w:tcW w:w="1206" w:type="pct"/>
            <w:shd w:val="clear" w:color="auto" w:fill="auto"/>
            <w:vAlign w:val="center"/>
          </w:tcPr>
          <w:p w14:paraId="02D35CC6">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2024年7月5日</w:t>
            </w:r>
          </w:p>
        </w:tc>
        <w:tc>
          <w:tcPr>
            <w:tcW w:w="1052" w:type="pct"/>
            <w:shd w:val="clear" w:color="auto" w:fill="auto"/>
            <w:vAlign w:val="center"/>
          </w:tcPr>
          <w:p w14:paraId="587D1CDC">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6CAC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6C95E90E">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0B960A88">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太阳能路灯基座混凝土</w:t>
            </w:r>
          </w:p>
        </w:tc>
        <w:tc>
          <w:tcPr>
            <w:tcW w:w="1206" w:type="pct"/>
            <w:shd w:val="clear" w:color="auto" w:fill="auto"/>
            <w:vAlign w:val="center"/>
          </w:tcPr>
          <w:p w14:paraId="556CB02C">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2024年7月7日</w:t>
            </w:r>
          </w:p>
        </w:tc>
        <w:tc>
          <w:tcPr>
            <w:tcW w:w="1052" w:type="pct"/>
            <w:shd w:val="clear" w:color="auto" w:fill="auto"/>
            <w:vAlign w:val="center"/>
          </w:tcPr>
          <w:p w14:paraId="2E57B051">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24022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457757C3">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3F5CB583">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围网立柱垫层混凝土</w:t>
            </w:r>
          </w:p>
        </w:tc>
        <w:tc>
          <w:tcPr>
            <w:tcW w:w="1206" w:type="pct"/>
            <w:shd w:val="clear" w:color="auto" w:fill="auto"/>
            <w:vAlign w:val="center"/>
          </w:tcPr>
          <w:p w14:paraId="39DE7AF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2024年7月2日</w:t>
            </w:r>
          </w:p>
        </w:tc>
        <w:tc>
          <w:tcPr>
            <w:tcW w:w="1052" w:type="pct"/>
            <w:shd w:val="clear" w:color="auto" w:fill="auto"/>
            <w:vAlign w:val="center"/>
          </w:tcPr>
          <w:p w14:paraId="7C666490">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40BB5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4E23DBAF">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4BCB2BB9">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围网立柱承台、基础柱混凝土</w:t>
            </w:r>
          </w:p>
        </w:tc>
        <w:tc>
          <w:tcPr>
            <w:tcW w:w="1206" w:type="pct"/>
            <w:shd w:val="clear" w:color="auto" w:fill="auto"/>
            <w:vAlign w:val="center"/>
          </w:tcPr>
          <w:p w14:paraId="4D4F5203">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2024年7月5日</w:t>
            </w:r>
          </w:p>
        </w:tc>
        <w:tc>
          <w:tcPr>
            <w:tcW w:w="1052" w:type="pct"/>
            <w:shd w:val="clear" w:color="auto" w:fill="auto"/>
            <w:vAlign w:val="center"/>
          </w:tcPr>
          <w:p w14:paraId="632AE71F">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590B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004" w:type="pct"/>
            <w:vMerge w:val="continue"/>
            <w:vAlign w:val="center"/>
          </w:tcPr>
          <w:p w14:paraId="519FEE78">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3B2C4069">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围网立柱承台、基础柱钢筋</w:t>
            </w:r>
          </w:p>
        </w:tc>
        <w:tc>
          <w:tcPr>
            <w:tcW w:w="1206" w:type="pct"/>
            <w:shd w:val="clear" w:color="auto" w:fill="auto"/>
            <w:vAlign w:val="center"/>
          </w:tcPr>
          <w:p w14:paraId="49B8C99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2024年7月4日</w:t>
            </w:r>
          </w:p>
        </w:tc>
        <w:tc>
          <w:tcPr>
            <w:tcW w:w="1052" w:type="pct"/>
            <w:shd w:val="clear" w:color="auto" w:fill="auto"/>
            <w:vAlign w:val="center"/>
          </w:tcPr>
          <w:p w14:paraId="5718F94C">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4B5BC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6FFBF0C4">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2F6BD218">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围网及铁艺大门</w:t>
            </w:r>
          </w:p>
        </w:tc>
        <w:tc>
          <w:tcPr>
            <w:tcW w:w="1206" w:type="pct"/>
            <w:shd w:val="clear" w:color="auto" w:fill="auto"/>
            <w:vAlign w:val="center"/>
          </w:tcPr>
          <w:p w14:paraId="2199DB0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2024年7月10日</w:t>
            </w:r>
          </w:p>
        </w:tc>
        <w:tc>
          <w:tcPr>
            <w:tcW w:w="1052" w:type="pct"/>
            <w:shd w:val="clear" w:color="auto" w:fill="auto"/>
            <w:vAlign w:val="center"/>
          </w:tcPr>
          <w:p w14:paraId="03235533">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2341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23332368">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52F74AF4">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围网立柱及预埋件</w:t>
            </w:r>
          </w:p>
        </w:tc>
        <w:tc>
          <w:tcPr>
            <w:tcW w:w="1206" w:type="pct"/>
            <w:shd w:val="clear" w:color="auto" w:fill="auto"/>
            <w:vAlign w:val="center"/>
          </w:tcPr>
          <w:p w14:paraId="1C4E7210">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2024年7月8日</w:t>
            </w:r>
          </w:p>
        </w:tc>
        <w:tc>
          <w:tcPr>
            <w:tcW w:w="1052" w:type="pct"/>
            <w:shd w:val="clear" w:color="auto" w:fill="auto"/>
            <w:vAlign w:val="center"/>
          </w:tcPr>
          <w:p w14:paraId="70793A1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4F89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4C3C2F10">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032FE2B9">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排水沟土方开挖</w:t>
            </w:r>
          </w:p>
        </w:tc>
        <w:tc>
          <w:tcPr>
            <w:tcW w:w="1206" w:type="pct"/>
            <w:shd w:val="clear" w:color="auto" w:fill="auto"/>
            <w:vAlign w:val="center"/>
          </w:tcPr>
          <w:p w14:paraId="3FD666B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2024年7月12日</w:t>
            </w:r>
          </w:p>
        </w:tc>
        <w:tc>
          <w:tcPr>
            <w:tcW w:w="1052" w:type="pct"/>
            <w:shd w:val="clear" w:color="auto" w:fill="auto"/>
            <w:vAlign w:val="center"/>
          </w:tcPr>
          <w:p w14:paraId="6DCC5BFF">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52AF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004" w:type="pct"/>
            <w:vMerge w:val="continue"/>
            <w:vAlign w:val="center"/>
          </w:tcPr>
          <w:p w14:paraId="4CF9794F">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17BD0854">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排水沟混凝土垫层</w:t>
            </w:r>
          </w:p>
        </w:tc>
        <w:tc>
          <w:tcPr>
            <w:tcW w:w="1206" w:type="pct"/>
            <w:shd w:val="clear" w:color="auto" w:fill="auto"/>
            <w:vAlign w:val="center"/>
          </w:tcPr>
          <w:p w14:paraId="0F3196C6">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2024年7月13日</w:t>
            </w:r>
          </w:p>
        </w:tc>
        <w:tc>
          <w:tcPr>
            <w:tcW w:w="1052" w:type="pct"/>
            <w:shd w:val="clear" w:color="auto" w:fill="auto"/>
            <w:vAlign w:val="center"/>
          </w:tcPr>
          <w:p w14:paraId="3C9A2CB1">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286D9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1B155FEC">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44792751">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排水沟砖砌体</w:t>
            </w:r>
          </w:p>
        </w:tc>
        <w:tc>
          <w:tcPr>
            <w:tcW w:w="1206" w:type="pct"/>
            <w:shd w:val="clear" w:color="auto" w:fill="auto"/>
            <w:vAlign w:val="center"/>
          </w:tcPr>
          <w:p w14:paraId="649D6C18">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2024年7月15日</w:t>
            </w:r>
          </w:p>
        </w:tc>
        <w:tc>
          <w:tcPr>
            <w:tcW w:w="1052" w:type="pct"/>
            <w:shd w:val="clear" w:color="auto" w:fill="auto"/>
            <w:vAlign w:val="center"/>
          </w:tcPr>
          <w:p w14:paraId="5B402AC3">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43D1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64F066FC">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7F1DD77C">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排水沟盖板</w:t>
            </w:r>
          </w:p>
        </w:tc>
        <w:tc>
          <w:tcPr>
            <w:tcW w:w="1206" w:type="pct"/>
            <w:shd w:val="clear" w:color="auto" w:fill="auto"/>
            <w:vAlign w:val="center"/>
          </w:tcPr>
          <w:p w14:paraId="309D627C">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2024年7月20日</w:t>
            </w:r>
          </w:p>
        </w:tc>
        <w:tc>
          <w:tcPr>
            <w:tcW w:w="1052" w:type="pct"/>
            <w:shd w:val="clear" w:color="auto" w:fill="auto"/>
            <w:vAlign w:val="center"/>
          </w:tcPr>
          <w:p w14:paraId="5FF532E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20EE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2B94DB65">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08087B4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排水盲沟土方开挖</w:t>
            </w:r>
          </w:p>
        </w:tc>
        <w:tc>
          <w:tcPr>
            <w:tcW w:w="1206" w:type="pct"/>
            <w:shd w:val="clear" w:color="auto" w:fill="auto"/>
            <w:vAlign w:val="center"/>
          </w:tcPr>
          <w:p w14:paraId="76CC7228">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2024年7月12日</w:t>
            </w:r>
          </w:p>
        </w:tc>
        <w:tc>
          <w:tcPr>
            <w:tcW w:w="1052" w:type="pct"/>
            <w:shd w:val="clear" w:color="auto" w:fill="auto"/>
            <w:vAlign w:val="center"/>
          </w:tcPr>
          <w:p w14:paraId="369682A1">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2265D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73BFF29D">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559453EE">
            <w:pPr>
              <w:pStyle w:val="2"/>
              <w:spacing w:line="240" w:lineRule="auto"/>
              <w:ind w:firstLine="0" w:firstLineChars="0"/>
              <w:jc w:val="both"/>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排水盲沟砖砌体</w:t>
            </w:r>
          </w:p>
        </w:tc>
        <w:tc>
          <w:tcPr>
            <w:tcW w:w="1206" w:type="pct"/>
            <w:shd w:val="clear" w:color="auto" w:fill="auto"/>
            <w:vAlign w:val="center"/>
          </w:tcPr>
          <w:p w14:paraId="7B302CA5">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2024年7月15日</w:t>
            </w:r>
          </w:p>
        </w:tc>
        <w:tc>
          <w:tcPr>
            <w:tcW w:w="1052" w:type="pct"/>
            <w:shd w:val="clear" w:color="auto" w:fill="auto"/>
            <w:vAlign w:val="center"/>
          </w:tcPr>
          <w:p w14:paraId="44CED7E4">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7F62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04" w:type="pct"/>
            <w:vMerge w:val="continue"/>
            <w:vAlign w:val="center"/>
          </w:tcPr>
          <w:p w14:paraId="3E4890BE">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1736" w:type="pct"/>
            <w:vAlign w:val="center"/>
          </w:tcPr>
          <w:p w14:paraId="73266FB5">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排水沟级配碎石回填</w:t>
            </w:r>
          </w:p>
        </w:tc>
        <w:tc>
          <w:tcPr>
            <w:tcW w:w="1206" w:type="pct"/>
            <w:shd w:val="clear" w:color="auto" w:fill="auto"/>
            <w:vAlign w:val="center"/>
          </w:tcPr>
          <w:p w14:paraId="4891801D">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2024年7月17日</w:t>
            </w:r>
          </w:p>
        </w:tc>
        <w:tc>
          <w:tcPr>
            <w:tcW w:w="1052" w:type="pct"/>
            <w:shd w:val="clear" w:color="auto" w:fill="auto"/>
            <w:vAlign w:val="center"/>
          </w:tcPr>
          <w:p w14:paraId="2AEAC0BA">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bl>
    <w:p w14:paraId="54F2AB88">
      <w:pPr>
        <w:widowControl/>
        <w:numPr>
          <w:ilvl w:val="0"/>
          <w:numId w:val="0"/>
        </w:numPr>
        <w:adjustRightInd w:val="0"/>
        <w:snapToGrid w:val="0"/>
        <w:spacing w:line="360" w:lineRule="auto"/>
        <w:ind w:firstLine="420"/>
        <w:rPr>
          <w:rFonts w:hint="default" w:ascii="Times New Roman" w:hAnsi="Times New Roman" w:eastAsia="宋体" w:cs="Times New Roman"/>
          <w:color w:val="auto"/>
          <w:kern w:val="2"/>
          <w:sz w:val="21"/>
          <w:szCs w:val="21"/>
          <w:highlight w:val="none"/>
          <w:lang w:val="en-US" w:eastAsia="zh-CN" w:bidi="ar-SA"/>
        </w:rPr>
      </w:pPr>
    </w:p>
    <w:p w14:paraId="3EDA2800">
      <w:pPr>
        <w:widowControl/>
        <w:numPr>
          <w:ilvl w:val="0"/>
          <w:numId w:val="0"/>
        </w:numPr>
        <w:adjustRightInd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kern w:val="2"/>
          <w:sz w:val="21"/>
          <w:szCs w:val="21"/>
          <w:highlight w:val="none"/>
          <w:lang w:val="en-US" w:eastAsia="zh-CN" w:bidi="ar-SA"/>
        </w:rPr>
        <w:t>（2）</w:t>
      </w:r>
      <w:r>
        <w:rPr>
          <w:rFonts w:hint="eastAsia" w:ascii="Times New Roman" w:hAnsi="Times New Roman" w:eastAsia="宋体" w:cs="Times New Roman"/>
          <w:color w:val="auto"/>
          <w:kern w:val="2"/>
          <w:sz w:val="21"/>
          <w:szCs w:val="22"/>
          <w:highlight w:val="none"/>
          <w:lang w:val="en-US" w:eastAsia="zh-CN" w:bidi="ar-SA"/>
        </w:rPr>
        <w:t>伊宁县阿热吾斯塘镇托万克村</w:t>
      </w:r>
      <w:r>
        <w:rPr>
          <w:rFonts w:hint="eastAsia" w:ascii="Times New Roman" w:hAnsi="Times New Roman" w:eastAsia="宋体" w:cs="Times New Roman"/>
          <w:color w:val="auto"/>
          <w:kern w:val="2"/>
          <w:sz w:val="21"/>
          <w:szCs w:val="21"/>
          <w:highlight w:val="none"/>
          <w:lang w:val="en-US" w:eastAsia="zh-CN" w:bidi="ar-SA"/>
        </w:rPr>
        <w:t>建设工程</w:t>
      </w:r>
    </w:p>
    <w:p w14:paraId="0384F382">
      <w:pPr>
        <w:widowControl/>
        <w:numPr>
          <w:ilvl w:val="-1"/>
          <w:numId w:val="0"/>
        </w:numPr>
        <w:adjustRightInd w:val="0"/>
        <w:snapToGrid w:val="0"/>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sz w:val="21"/>
          <w:szCs w:val="21"/>
          <w:highlight w:val="none"/>
          <w:lang w:val="en-US" w:eastAsia="zh-CN"/>
        </w:rPr>
        <w:t>该工程于2024年5月20日开工，2024年9月15日完工，根据项目实施单位提供《</w:t>
      </w:r>
      <w:r>
        <w:rPr>
          <w:rFonts w:hint="eastAsia" w:ascii="Times New Roman" w:hAnsi="Times New Roman" w:eastAsia="宋体" w:cs="Times New Roman"/>
          <w:b w:val="0"/>
          <w:bCs w:val="0"/>
          <w:color w:val="auto"/>
          <w:kern w:val="2"/>
          <w:sz w:val="21"/>
          <w:szCs w:val="21"/>
          <w:highlight w:val="none"/>
          <w:lang w:val="en-US" w:eastAsia="zh-CN" w:bidi="ar-SA"/>
        </w:rPr>
        <w:t>工程质量竣工验收记录表</w:t>
      </w:r>
      <w:r>
        <w:rPr>
          <w:rFonts w:hint="eastAsia" w:ascii="Times New Roman" w:hAnsi="Times New Roman" w:eastAsia="宋体" w:cs="Times New Roman"/>
          <w:color w:val="auto"/>
          <w:sz w:val="21"/>
          <w:szCs w:val="21"/>
          <w:highlight w:val="none"/>
          <w:lang w:val="en-US" w:eastAsia="zh-CN"/>
        </w:rPr>
        <w:t>》，建设完成</w:t>
      </w:r>
      <w:r>
        <w:rPr>
          <w:rFonts w:hint="eastAsia" w:ascii="Times New Roman" w:hAnsi="Times New Roman" w:eastAsia="宋体" w:cs="Times New Roman"/>
          <w:color w:val="auto"/>
          <w:highlight w:val="none"/>
          <w:lang w:val="en-US" w:eastAsia="zh-CN"/>
        </w:rPr>
        <w:t>伊宁县</w:t>
      </w:r>
      <w:r>
        <w:rPr>
          <w:rFonts w:hint="eastAsia" w:ascii="Times New Roman" w:hAnsi="Times New Roman" w:eastAsia="宋体" w:cs="Times New Roman"/>
          <w:color w:val="auto"/>
          <w:highlight w:val="none"/>
        </w:rPr>
        <w:t>阿热吾斯塘镇托万克村</w:t>
      </w:r>
      <w:r>
        <w:rPr>
          <w:rFonts w:hint="eastAsia" w:ascii="Times New Roman" w:hAnsi="Times New Roman" w:eastAsia="宋体" w:cs="Times New Roman"/>
          <w:color w:val="auto"/>
          <w:highlight w:val="none"/>
          <w:lang w:val="en-US" w:eastAsia="zh-CN"/>
        </w:rPr>
        <w:t>标准篮球场1块，798.00平方米</w:t>
      </w:r>
      <w:r>
        <w:rPr>
          <w:rFonts w:hint="eastAsia"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highlight w:val="none"/>
          <w:lang w:val="en-US" w:eastAsia="zh-CN"/>
        </w:rPr>
        <w:t>项目竣工后经</w:t>
      </w:r>
      <w:r>
        <w:rPr>
          <w:rFonts w:hint="eastAsia" w:ascii="Times New Roman" w:hAnsi="Times New Roman" w:eastAsia="宋体" w:cs="Times New Roman"/>
          <w:b w:val="0"/>
          <w:bCs w:val="0"/>
          <w:color w:val="auto"/>
          <w:kern w:val="2"/>
          <w:sz w:val="21"/>
          <w:szCs w:val="21"/>
          <w:highlight w:val="none"/>
          <w:lang w:val="en-US" w:eastAsia="zh-CN" w:bidi="ar-SA"/>
        </w:rPr>
        <w:t>建设单位组织施工单位、监理单位</w:t>
      </w:r>
      <w:r>
        <w:rPr>
          <w:rFonts w:hint="eastAsia" w:ascii="Times New Roman" w:hAnsi="Times New Roman" w:eastAsia="宋体" w:cs="Times New Roman"/>
          <w:color w:val="auto"/>
          <w:highlight w:val="none"/>
          <w:lang w:val="en-US" w:eastAsia="zh-CN"/>
        </w:rPr>
        <w:t>共同确认验收结果并签署</w:t>
      </w:r>
      <w:r>
        <w:rPr>
          <w:rFonts w:hint="eastAsia" w:ascii="Times New Roman" w:hAnsi="Times New Roman" w:eastAsia="宋体" w:cs="Times New Roman"/>
          <w:b w:val="0"/>
          <w:bCs w:val="0"/>
          <w:color w:val="auto"/>
          <w:kern w:val="2"/>
          <w:sz w:val="21"/>
          <w:szCs w:val="21"/>
          <w:highlight w:val="none"/>
          <w:lang w:val="en-US" w:eastAsia="zh-CN" w:bidi="ar-SA"/>
        </w:rPr>
        <w:t>《工程质量竣工验收记录表——阿热吾斯塘镇》，验收结论为：“经验收各项均满足有关规范、标准和设计要求，同意单位工程竣工验收”。</w:t>
      </w:r>
    </w:p>
    <w:p w14:paraId="38141F9D">
      <w:pPr>
        <w:pStyle w:val="2"/>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隐蔽工程验收情况：</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2936"/>
        <w:gridCol w:w="2130"/>
        <w:gridCol w:w="2130"/>
      </w:tblGrid>
      <w:tr w14:paraId="64647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24" w:type="dxa"/>
            <w:vAlign w:val="center"/>
          </w:tcPr>
          <w:p w14:paraId="43E21A7D">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工程名称</w:t>
            </w:r>
          </w:p>
        </w:tc>
        <w:tc>
          <w:tcPr>
            <w:tcW w:w="2936" w:type="dxa"/>
            <w:vAlign w:val="center"/>
          </w:tcPr>
          <w:p w14:paraId="46A7E792">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隐蔽部位</w:t>
            </w:r>
          </w:p>
        </w:tc>
        <w:tc>
          <w:tcPr>
            <w:tcW w:w="2130" w:type="dxa"/>
            <w:vAlign w:val="center"/>
          </w:tcPr>
          <w:p w14:paraId="3E71BE4F">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验收时间</w:t>
            </w:r>
          </w:p>
        </w:tc>
        <w:tc>
          <w:tcPr>
            <w:tcW w:w="2130" w:type="dxa"/>
            <w:vAlign w:val="center"/>
          </w:tcPr>
          <w:p w14:paraId="477851CD">
            <w:pPr>
              <w:pStyle w:val="2"/>
              <w:spacing w:line="240" w:lineRule="auto"/>
              <w:ind w:firstLine="0" w:firstLineChars="0"/>
              <w:jc w:val="center"/>
              <w:rPr>
                <w:rFonts w:hint="default" w:ascii="Times New Roman" w:hAnsi="Times New Roman" w:eastAsia="宋体" w:cs="Times New Roman"/>
                <w:b/>
                <w:bCs/>
                <w:color w:val="auto"/>
                <w:sz w:val="21"/>
                <w:szCs w:val="21"/>
                <w:highlight w:val="none"/>
                <w:vertAlign w:val="baseline"/>
                <w:lang w:val="en-US" w:eastAsia="zh-CN"/>
              </w:rPr>
            </w:pPr>
            <w:r>
              <w:rPr>
                <w:rFonts w:hint="eastAsia" w:ascii="Times New Roman" w:hAnsi="Times New Roman" w:eastAsia="宋体" w:cs="Times New Roman"/>
                <w:b/>
                <w:bCs/>
                <w:color w:val="auto"/>
                <w:sz w:val="21"/>
                <w:szCs w:val="21"/>
                <w:highlight w:val="none"/>
                <w:vertAlign w:val="baseline"/>
                <w:lang w:val="en-US" w:eastAsia="zh-CN"/>
              </w:rPr>
              <w:t>验收结论</w:t>
            </w:r>
          </w:p>
        </w:tc>
      </w:tr>
      <w:tr w14:paraId="4D474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restart"/>
            <w:vAlign w:val="center"/>
          </w:tcPr>
          <w:p w14:paraId="7DEC8CB1">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kern w:val="2"/>
                <w:sz w:val="21"/>
                <w:szCs w:val="21"/>
                <w:highlight w:val="none"/>
                <w:lang w:val="en-US" w:eastAsia="zh-CN" w:bidi="ar-SA"/>
              </w:rPr>
              <w:t>阿热吾斯塘镇托万克村篮球场项目</w:t>
            </w:r>
          </w:p>
          <w:p w14:paraId="55417B76">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17CA08AE">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篮球土方开挖</w:t>
            </w:r>
          </w:p>
        </w:tc>
        <w:tc>
          <w:tcPr>
            <w:tcW w:w="2130" w:type="dxa"/>
            <w:vAlign w:val="center"/>
          </w:tcPr>
          <w:p w14:paraId="5661A4EB">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2024年5月30日</w:t>
            </w:r>
          </w:p>
        </w:tc>
        <w:tc>
          <w:tcPr>
            <w:tcW w:w="2130" w:type="dxa"/>
            <w:vAlign w:val="center"/>
          </w:tcPr>
          <w:p w14:paraId="6A307F4A">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0343D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1999210E">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520B8180">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天然砂砾级配换填第一层</w:t>
            </w:r>
          </w:p>
        </w:tc>
        <w:tc>
          <w:tcPr>
            <w:tcW w:w="2130" w:type="dxa"/>
            <w:vAlign w:val="center"/>
          </w:tcPr>
          <w:p w14:paraId="0B4063A0">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2024年6月2日</w:t>
            </w:r>
          </w:p>
        </w:tc>
        <w:tc>
          <w:tcPr>
            <w:tcW w:w="2130" w:type="dxa"/>
            <w:vAlign w:val="center"/>
          </w:tcPr>
          <w:p w14:paraId="053EE77F">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11AEA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224ABA1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391D431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天然砂砾级配换填第二层</w:t>
            </w:r>
          </w:p>
        </w:tc>
        <w:tc>
          <w:tcPr>
            <w:tcW w:w="2130" w:type="dxa"/>
            <w:vAlign w:val="center"/>
          </w:tcPr>
          <w:p w14:paraId="4774458B">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2024年6月5日</w:t>
            </w:r>
          </w:p>
        </w:tc>
        <w:tc>
          <w:tcPr>
            <w:tcW w:w="2130" w:type="dxa"/>
            <w:vAlign w:val="center"/>
          </w:tcPr>
          <w:p w14:paraId="2D623F33">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6016A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5375F553">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42E3B2D2">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混凝土面层</w:t>
            </w:r>
          </w:p>
        </w:tc>
        <w:tc>
          <w:tcPr>
            <w:tcW w:w="2130" w:type="dxa"/>
            <w:vAlign w:val="center"/>
          </w:tcPr>
          <w:p w14:paraId="67CC4FAF">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2024年6月11日</w:t>
            </w:r>
          </w:p>
        </w:tc>
        <w:tc>
          <w:tcPr>
            <w:tcW w:w="2130" w:type="dxa"/>
            <w:vAlign w:val="center"/>
          </w:tcPr>
          <w:p w14:paraId="2251CC61">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3CCB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62FA90C7">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053B691E">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成品悬浮板拼接</w:t>
            </w:r>
          </w:p>
        </w:tc>
        <w:tc>
          <w:tcPr>
            <w:tcW w:w="2130" w:type="dxa"/>
            <w:shd w:val="clear" w:color="auto" w:fill="auto"/>
            <w:vAlign w:val="center"/>
          </w:tcPr>
          <w:p w14:paraId="6E058804">
            <w:pPr>
              <w:pStyle w:val="2"/>
              <w:spacing w:line="240" w:lineRule="auto"/>
              <w:ind w:firstLine="0" w:firstLineChars="0"/>
              <w:jc w:val="center"/>
              <w:rPr>
                <w:rFonts w:hint="default" w:ascii="Times New Roman" w:hAnsi="Times New Roman" w:eastAsia="宋体" w:cs="Times New Roman"/>
                <w:color w:val="auto"/>
                <w:kern w:val="2"/>
                <w:sz w:val="21"/>
                <w:szCs w:val="21"/>
                <w:highlight w:val="none"/>
                <w:vertAlign w:val="baseline"/>
                <w:lang w:val="en-US" w:eastAsia="zh-CN" w:bidi="ar-SA"/>
              </w:rPr>
            </w:pPr>
            <w:r>
              <w:rPr>
                <w:rFonts w:hint="eastAsia" w:ascii="Times New Roman" w:hAnsi="Times New Roman" w:eastAsia="宋体" w:cs="Times New Roman"/>
                <w:color w:val="auto"/>
                <w:sz w:val="21"/>
                <w:szCs w:val="21"/>
                <w:highlight w:val="none"/>
                <w:vertAlign w:val="baseline"/>
                <w:lang w:val="en-US" w:eastAsia="zh-CN"/>
              </w:rPr>
              <w:t>2024年6月20日</w:t>
            </w:r>
          </w:p>
        </w:tc>
        <w:tc>
          <w:tcPr>
            <w:tcW w:w="2130" w:type="dxa"/>
            <w:vAlign w:val="center"/>
          </w:tcPr>
          <w:p w14:paraId="55852F5B">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65A70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647F066A">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64D8047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太阳能路灯基座土方开挖</w:t>
            </w:r>
          </w:p>
        </w:tc>
        <w:tc>
          <w:tcPr>
            <w:tcW w:w="2130" w:type="dxa"/>
            <w:shd w:val="clear" w:color="auto" w:fill="auto"/>
            <w:vAlign w:val="center"/>
          </w:tcPr>
          <w:p w14:paraId="389CBA62">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2024年5月30日</w:t>
            </w:r>
          </w:p>
        </w:tc>
        <w:tc>
          <w:tcPr>
            <w:tcW w:w="2130" w:type="dxa"/>
            <w:vAlign w:val="center"/>
          </w:tcPr>
          <w:p w14:paraId="65BD9495">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76BC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4A350085">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3F0EB3C7">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太阳能路灯基座预埋件</w:t>
            </w:r>
          </w:p>
        </w:tc>
        <w:tc>
          <w:tcPr>
            <w:tcW w:w="2130" w:type="dxa"/>
            <w:shd w:val="clear" w:color="auto" w:fill="auto"/>
            <w:vAlign w:val="center"/>
          </w:tcPr>
          <w:p w14:paraId="5DA491EC">
            <w:pPr>
              <w:pStyle w:val="2"/>
              <w:spacing w:line="240" w:lineRule="auto"/>
              <w:ind w:firstLine="0" w:firstLineChars="0"/>
              <w:jc w:val="center"/>
              <w:rPr>
                <w:rFonts w:hint="eastAsia" w:ascii="Times New Roman" w:hAnsi="Times New Roman" w:eastAsia="宋体" w:cs="Times New Roman"/>
                <w:color w:val="auto"/>
                <w:kern w:val="2"/>
                <w:sz w:val="21"/>
                <w:szCs w:val="21"/>
                <w:highlight w:val="none"/>
                <w:vertAlign w:val="baseline"/>
                <w:lang w:val="en-US" w:eastAsia="zh-CN" w:bidi="ar-SA"/>
              </w:rPr>
            </w:pPr>
            <w:r>
              <w:rPr>
                <w:rFonts w:hint="eastAsia" w:ascii="Times New Roman" w:hAnsi="Times New Roman" w:eastAsia="宋体" w:cs="Times New Roman"/>
                <w:color w:val="auto"/>
                <w:sz w:val="21"/>
                <w:szCs w:val="21"/>
                <w:highlight w:val="none"/>
                <w:vertAlign w:val="baseline"/>
                <w:lang w:val="en-US" w:eastAsia="zh-CN"/>
              </w:rPr>
              <w:t>2024年6月10日</w:t>
            </w:r>
          </w:p>
        </w:tc>
        <w:tc>
          <w:tcPr>
            <w:tcW w:w="2130" w:type="dxa"/>
            <w:vAlign w:val="center"/>
          </w:tcPr>
          <w:p w14:paraId="19FC4B91">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r w14:paraId="5F108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24" w:type="dxa"/>
            <w:vMerge w:val="continue"/>
            <w:vAlign w:val="center"/>
          </w:tcPr>
          <w:p w14:paraId="02C5C441">
            <w:pPr>
              <w:pStyle w:val="2"/>
              <w:spacing w:line="240" w:lineRule="auto"/>
              <w:jc w:val="both"/>
              <w:rPr>
                <w:rFonts w:hint="default" w:ascii="Times New Roman" w:hAnsi="Times New Roman" w:eastAsia="宋体" w:cs="Times New Roman"/>
                <w:color w:val="auto"/>
                <w:sz w:val="21"/>
                <w:szCs w:val="21"/>
                <w:highlight w:val="none"/>
                <w:vertAlign w:val="baseline"/>
                <w:lang w:val="en-US" w:eastAsia="zh-CN"/>
              </w:rPr>
            </w:pPr>
          </w:p>
        </w:tc>
        <w:tc>
          <w:tcPr>
            <w:tcW w:w="2936" w:type="dxa"/>
            <w:vAlign w:val="center"/>
          </w:tcPr>
          <w:p w14:paraId="3496C304">
            <w:pPr>
              <w:pStyle w:val="2"/>
              <w:spacing w:line="240" w:lineRule="auto"/>
              <w:ind w:firstLine="0" w:firstLineChars="0"/>
              <w:jc w:val="both"/>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太阳能路灯基座混凝土</w:t>
            </w:r>
          </w:p>
        </w:tc>
        <w:tc>
          <w:tcPr>
            <w:tcW w:w="2130" w:type="dxa"/>
            <w:shd w:val="clear" w:color="auto" w:fill="auto"/>
            <w:vAlign w:val="center"/>
          </w:tcPr>
          <w:p w14:paraId="2054D22B">
            <w:pPr>
              <w:pStyle w:val="2"/>
              <w:spacing w:line="240" w:lineRule="auto"/>
              <w:ind w:firstLine="0" w:firstLineChars="0"/>
              <w:jc w:val="center"/>
              <w:rPr>
                <w:rFonts w:hint="eastAsia"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2024年6月15日</w:t>
            </w:r>
          </w:p>
        </w:tc>
        <w:tc>
          <w:tcPr>
            <w:tcW w:w="2130" w:type="dxa"/>
            <w:vAlign w:val="center"/>
          </w:tcPr>
          <w:p w14:paraId="1DD26CFB">
            <w:pPr>
              <w:pStyle w:val="2"/>
              <w:spacing w:line="240" w:lineRule="auto"/>
              <w:ind w:firstLine="0" w:firstLineChars="0"/>
              <w:jc w:val="center"/>
              <w:rPr>
                <w:rFonts w:hint="default" w:ascii="Times New Roman" w:hAnsi="Times New Roman" w:eastAsia="宋体" w:cs="Times New Roman"/>
                <w:color w:val="auto"/>
                <w:sz w:val="21"/>
                <w:szCs w:val="21"/>
                <w:highlight w:val="none"/>
                <w:vertAlign w:val="baseline"/>
                <w:lang w:val="en-US" w:eastAsia="zh-CN"/>
              </w:rPr>
            </w:pPr>
            <w:r>
              <w:rPr>
                <w:rFonts w:hint="eastAsia" w:ascii="Times New Roman" w:hAnsi="Times New Roman" w:eastAsia="宋体" w:cs="Times New Roman"/>
                <w:color w:val="auto"/>
                <w:sz w:val="21"/>
                <w:szCs w:val="21"/>
                <w:highlight w:val="none"/>
                <w:vertAlign w:val="baseline"/>
                <w:lang w:val="en-US" w:eastAsia="zh-CN"/>
              </w:rPr>
              <w:t>同意验收</w:t>
            </w:r>
          </w:p>
        </w:tc>
      </w:tr>
    </w:tbl>
    <w:p w14:paraId="38CE2CF9">
      <w:pPr>
        <w:pStyle w:val="2"/>
        <w:spacing w:line="360" w:lineRule="auto"/>
        <w:rPr>
          <w:rFonts w:hint="default" w:ascii="Times New Roman" w:hAnsi="Times New Roman" w:eastAsia="宋体" w:cs="Times New Roman"/>
          <w:color w:val="auto"/>
          <w:highlight w:val="none"/>
          <w:lang w:val="en-US" w:eastAsia="zh-CN"/>
        </w:rPr>
      </w:pPr>
    </w:p>
    <w:p w14:paraId="164D7353">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4.</w:t>
      </w:r>
      <w:r>
        <w:rPr>
          <w:rFonts w:hint="eastAsia" w:ascii="Times New Roman" w:hAnsi="Times New Roman" w:eastAsia="宋体" w:cs="Times New Roman"/>
          <w:b/>
          <w:bCs/>
          <w:color w:val="auto"/>
          <w:highlight w:val="none"/>
        </w:rPr>
        <w:t>工程结算审核情况</w:t>
      </w:r>
    </w:p>
    <w:p w14:paraId="004B3B6D">
      <w:pPr>
        <w:spacing w:line="360" w:lineRule="auto"/>
        <w:ind w:firstLine="560" w:firstLineChars="0"/>
        <w:rPr>
          <w:rFonts w:hint="eastAsia" w:ascii="Times New Roman" w:hAnsi="Times New Roman" w:eastAsia="宋体" w:cs="Times New Roman"/>
          <w:color w:val="auto"/>
          <w:highlight w:val="none"/>
        </w:rPr>
      </w:pPr>
      <w:r>
        <w:rPr>
          <w:rFonts w:hint="eastAsia" w:ascii="Times New Roman" w:hAnsi="Times New Roman" w:eastAsia="宋体" w:cs="Times New Roman"/>
          <w:b w:val="0"/>
          <w:bCs w:val="0"/>
          <w:color w:val="auto"/>
          <w:kern w:val="2"/>
          <w:sz w:val="21"/>
          <w:szCs w:val="21"/>
          <w:highlight w:val="none"/>
          <w:lang w:val="en-US" w:eastAsia="zh-CN" w:bidi="ar-SA"/>
        </w:rPr>
        <w:t>该项目由智博建筑设计集团有限公司开展工程结算审核，于2024年9月21日出具《伊宁县全民健身场地设施项目竣工结算审核报告》，项目工程结算审定金额为</w:t>
      </w:r>
      <w:r>
        <w:rPr>
          <w:rFonts w:hint="eastAsia" w:ascii="Times New Roman" w:hAnsi="Times New Roman" w:eastAsia="宋体" w:cs="Times New Roman"/>
          <w:color w:val="auto"/>
          <w:highlight w:val="none"/>
          <w:lang w:val="en-US" w:eastAsia="zh-CN"/>
        </w:rPr>
        <w:t>99.15万元</w:t>
      </w:r>
      <w:bookmarkStart w:id="44" w:name="_Toc15971"/>
      <w:bookmarkStart w:id="45" w:name="_Toc68364659"/>
      <w:r>
        <w:rPr>
          <w:rFonts w:hint="eastAsia" w:ascii="Times New Roman" w:hAnsi="Times New Roman" w:eastAsia="宋体" w:cs="Times New Roman"/>
          <w:color w:val="auto"/>
          <w:highlight w:val="none"/>
        </w:rPr>
        <w:t>。</w:t>
      </w:r>
    </w:p>
    <w:p w14:paraId="08AB1977">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46" w:name="_Toc13740"/>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项目组织管理</w:t>
      </w:r>
      <w:bookmarkEnd w:id="44"/>
      <w:bookmarkEnd w:id="46"/>
    </w:p>
    <w:p w14:paraId="09170D17">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项目实施部门：</w:t>
      </w:r>
      <w:r>
        <w:rPr>
          <w:rFonts w:hint="eastAsia" w:ascii="Times New Roman" w:hAnsi="Times New Roman" w:eastAsia="宋体" w:cs="Times New Roman"/>
          <w:color w:val="auto"/>
          <w:kern w:val="2"/>
          <w:sz w:val="21"/>
          <w:szCs w:val="22"/>
          <w:highlight w:val="none"/>
          <w:lang w:val="en-US" w:eastAsia="zh-CN" w:bidi="ar-SA"/>
        </w:rPr>
        <w:t>伊宁县文化体育广播电视和旅游局</w:t>
      </w:r>
      <w:r>
        <w:rPr>
          <w:rFonts w:hint="eastAsia" w:ascii="Times New Roman" w:hAnsi="Times New Roman" w:eastAsia="宋体" w:cs="Times New Roman"/>
          <w:b w:val="0"/>
          <w:bCs w:val="0"/>
          <w:color w:val="auto"/>
          <w:kern w:val="2"/>
          <w:sz w:val="21"/>
          <w:szCs w:val="21"/>
          <w:highlight w:val="none"/>
          <w:lang w:val="en-US" w:eastAsia="zh-CN" w:bidi="ar-SA"/>
        </w:rPr>
        <w:t>，主要负责公共文化事业发展，推进公共文化体育服务体系建设，制定全民健身场地设施建设专项规划，明确设施布局、类型、建设标准及年度目标，组织开展全民健身场地设施项目，对项目建设过程进行质量监管和进度跟踪，确保设施符合安全标准（如场地材质、器材安全性）、建设规范，按时完成验收并投入使用实施。</w:t>
      </w:r>
    </w:p>
    <w:p w14:paraId="59C650A4">
      <w:pPr>
        <w:pageBreakBefore w:val="0"/>
        <w:kinsoku/>
        <w:wordWrap/>
        <w:overflowPunct/>
        <w:topLinePunct w:val="0"/>
        <w:autoSpaceDE/>
        <w:autoSpaceDN/>
        <w:bidi w:val="0"/>
        <w:snapToGrid w:val="0"/>
        <w:spacing w:before="0" w:after="0" w:line="360" w:lineRule="auto"/>
        <w:ind w:firstLine="482"/>
        <w:outlineLvl w:val="9"/>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宋体" w:cs="Times New Roman"/>
          <w:b w:val="0"/>
          <w:bCs w:val="0"/>
          <w:color w:val="auto"/>
          <w:kern w:val="2"/>
          <w:sz w:val="21"/>
          <w:szCs w:val="21"/>
          <w:highlight w:val="none"/>
          <w:lang w:val="en-US" w:eastAsia="zh-CN" w:bidi="ar-SA"/>
        </w:rPr>
        <w:t>该项目涉及其他相关利益单位详见下表：</w:t>
      </w:r>
    </w:p>
    <w:tbl>
      <w:tblPr>
        <w:tblStyle w:val="18"/>
        <w:tblW w:w="4531" w:type="pct"/>
        <w:jc w:val="center"/>
        <w:tblLayout w:type="autofit"/>
        <w:tblCellMar>
          <w:top w:w="0" w:type="dxa"/>
          <w:left w:w="108" w:type="dxa"/>
          <w:bottom w:w="0" w:type="dxa"/>
          <w:right w:w="108" w:type="dxa"/>
        </w:tblCellMar>
      </w:tblPr>
      <w:tblGrid>
        <w:gridCol w:w="751"/>
        <w:gridCol w:w="4705"/>
        <w:gridCol w:w="2267"/>
      </w:tblGrid>
      <w:tr w14:paraId="2DD808C5">
        <w:tblPrEx>
          <w:tblCellMar>
            <w:top w:w="0" w:type="dxa"/>
            <w:left w:w="108" w:type="dxa"/>
            <w:bottom w:w="0" w:type="dxa"/>
            <w:right w:w="108" w:type="dxa"/>
          </w:tblCellMar>
        </w:tblPrEx>
        <w:trPr>
          <w:trHeight w:val="397" w:hRule="atLeast"/>
          <w:tblHeader/>
          <w:jc w:val="center"/>
        </w:trPr>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1A70B">
            <w:pPr>
              <w:widowControl/>
              <w:spacing w:line="240" w:lineRule="auto"/>
              <w:ind w:firstLine="0" w:firstLineChars="0"/>
              <w:jc w:val="center"/>
              <w:textAlignment w:val="center"/>
              <w:rPr>
                <w:rFonts w:ascii="Times New Roman" w:hAnsi="Times New Roman" w:eastAsia="宋体" w:cs="Times New Roman"/>
                <w:b/>
                <w:bCs/>
                <w:color w:val="auto"/>
                <w:highlight w:val="none"/>
              </w:rPr>
            </w:pPr>
            <w:r>
              <w:rPr>
                <w:rFonts w:ascii="Times New Roman" w:hAnsi="Times New Roman" w:eastAsia="宋体" w:cs="Times New Roman"/>
                <w:b/>
                <w:bCs/>
                <w:color w:val="auto"/>
                <w:kern w:val="0"/>
                <w:highlight w:val="none"/>
                <w:lang w:bidi="ar"/>
              </w:rPr>
              <w:t>序号</w:t>
            </w:r>
          </w:p>
        </w:tc>
        <w:tc>
          <w:tcPr>
            <w:tcW w:w="3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08B4C">
            <w:pPr>
              <w:widowControl/>
              <w:spacing w:line="240" w:lineRule="auto"/>
              <w:ind w:firstLine="0" w:firstLineChars="0"/>
              <w:jc w:val="center"/>
              <w:textAlignment w:val="center"/>
              <w:rPr>
                <w:rFonts w:ascii="Times New Roman" w:hAnsi="Times New Roman" w:eastAsia="宋体" w:cs="Times New Roman"/>
                <w:b/>
                <w:bCs/>
                <w:color w:val="auto"/>
                <w:highlight w:val="none"/>
              </w:rPr>
            </w:pPr>
            <w:r>
              <w:rPr>
                <w:rFonts w:ascii="Times New Roman" w:hAnsi="Times New Roman" w:eastAsia="宋体" w:cs="Times New Roman"/>
                <w:b/>
                <w:bCs/>
                <w:color w:val="auto"/>
                <w:kern w:val="0"/>
                <w:highlight w:val="none"/>
                <w:lang w:bidi="ar"/>
              </w:rPr>
              <w:t>单位名称</w:t>
            </w:r>
          </w:p>
        </w:tc>
        <w:tc>
          <w:tcPr>
            <w:tcW w:w="1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E103">
            <w:pPr>
              <w:widowControl/>
              <w:spacing w:line="240" w:lineRule="auto"/>
              <w:ind w:firstLine="0" w:firstLineChars="0"/>
              <w:jc w:val="center"/>
              <w:textAlignment w:val="center"/>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服务内容</w:t>
            </w:r>
          </w:p>
        </w:tc>
      </w:tr>
      <w:tr w14:paraId="1C88010E">
        <w:tblPrEx>
          <w:tblCellMar>
            <w:top w:w="0" w:type="dxa"/>
            <w:left w:w="108" w:type="dxa"/>
            <w:bottom w:w="0" w:type="dxa"/>
            <w:right w:w="108" w:type="dxa"/>
          </w:tblCellMar>
        </w:tblPrEx>
        <w:trPr>
          <w:trHeight w:val="397" w:hRule="atLeast"/>
          <w:jc w:val="center"/>
        </w:trPr>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21699">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1</w:t>
            </w:r>
          </w:p>
        </w:tc>
        <w:tc>
          <w:tcPr>
            <w:tcW w:w="3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5C717">
            <w:pPr>
              <w:widowControl/>
              <w:snapToGrid/>
              <w:spacing w:line="240" w:lineRule="auto"/>
              <w:ind w:firstLine="0" w:firstLineChars="0"/>
              <w:jc w:val="left"/>
              <w:textAlignment w:val="center"/>
              <w:rPr>
                <w:rFonts w:hint="default" w:ascii="Times New Roman" w:hAnsi="Times New Roman" w:eastAsia="宋体" w:cs="Times New Roman"/>
                <w:color w:val="auto"/>
                <w:highlight w:val="none"/>
                <w:lang w:val="en-US" w:eastAsia="en-US"/>
              </w:rPr>
            </w:pPr>
            <w:r>
              <w:rPr>
                <w:rFonts w:hint="eastAsia" w:ascii="Times New Roman" w:hAnsi="Times New Roman" w:eastAsia="宋体" w:cs="Times New Roman"/>
                <w:color w:val="auto"/>
                <w:highlight w:val="none"/>
                <w:lang w:val="en-US" w:eastAsia="zh-CN"/>
              </w:rPr>
              <w:t>伊宁县胜宁体育文化有限公司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noWrap/>
          </w:tcPr>
          <w:p w14:paraId="399F1655">
            <w:pPr>
              <w:pStyle w:val="33"/>
              <w:spacing w:before="139" w:line="240" w:lineRule="auto"/>
              <w:ind w:firstLine="0" w:firstLineChars="0"/>
              <w:jc w:val="center"/>
              <w:rPr>
                <w:rFonts w:ascii="Times New Roman" w:hAnsi="Times New Roman" w:eastAsia="宋体" w:cs="Times New Roman"/>
                <w:color w:val="auto"/>
                <w:sz w:val="21"/>
                <w:szCs w:val="21"/>
                <w:highlight w:val="none"/>
                <w:lang w:eastAsia="zh-CN"/>
              </w:rPr>
            </w:pPr>
            <w:r>
              <w:rPr>
                <w:rFonts w:ascii="Times New Roman" w:hAnsi="Times New Roman" w:eastAsia="宋体" w:cs="Times New Roman"/>
                <w:color w:val="auto"/>
                <w:spacing w:val="-3"/>
                <w:sz w:val="21"/>
                <w:szCs w:val="21"/>
                <w:highlight w:val="none"/>
                <w:lang w:eastAsia="zh-CN"/>
              </w:rPr>
              <w:t>施工单位</w:t>
            </w:r>
          </w:p>
        </w:tc>
      </w:tr>
      <w:tr w14:paraId="03A2D678">
        <w:tblPrEx>
          <w:tblCellMar>
            <w:top w:w="0" w:type="dxa"/>
            <w:left w:w="108" w:type="dxa"/>
            <w:bottom w:w="0" w:type="dxa"/>
            <w:right w:w="108" w:type="dxa"/>
          </w:tblCellMar>
        </w:tblPrEx>
        <w:trPr>
          <w:trHeight w:val="397" w:hRule="atLeast"/>
          <w:jc w:val="center"/>
        </w:trPr>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319B">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2</w:t>
            </w:r>
          </w:p>
        </w:tc>
        <w:tc>
          <w:tcPr>
            <w:tcW w:w="3045" w:type="pct"/>
            <w:tcBorders>
              <w:top w:val="single" w:color="000000" w:sz="4" w:space="0"/>
              <w:left w:val="single" w:color="000000" w:sz="4" w:space="0"/>
              <w:bottom w:val="single" w:color="000000" w:sz="4" w:space="0"/>
              <w:right w:val="single" w:color="000000" w:sz="4" w:space="0"/>
            </w:tcBorders>
            <w:shd w:val="clear" w:color="auto" w:fill="auto"/>
          </w:tcPr>
          <w:p w14:paraId="4121C234">
            <w:pPr>
              <w:widowControl/>
              <w:snapToGrid/>
              <w:spacing w:line="240" w:lineRule="auto"/>
              <w:ind w:firstLine="0" w:firstLineChars="0"/>
              <w:jc w:val="left"/>
              <w:textAlignment w:val="center"/>
              <w:rPr>
                <w:rFonts w:hint="default" w:ascii="Times New Roman" w:hAnsi="Times New Roman" w:eastAsia="宋体" w:cs="Times New Roman"/>
                <w:color w:val="auto"/>
                <w:highlight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新疆高新工程项目管理有限责任公司伊宁分公司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tcPr>
          <w:p w14:paraId="3F61F6D1">
            <w:pPr>
              <w:pStyle w:val="33"/>
              <w:spacing w:before="130" w:line="240" w:lineRule="auto"/>
              <w:ind w:firstLine="0" w:firstLineChars="0"/>
              <w:jc w:val="center"/>
              <w:rPr>
                <w:rFonts w:ascii="Times New Roman" w:hAnsi="Times New Roman" w:eastAsia="宋体" w:cs="Times New Roman"/>
                <w:color w:val="auto"/>
                <w:sz w:val="21"/>
                <w:szCs w:val="21"/>
                <w:highlight w:val="none"/>
              </w:rPr>
            </w:pPr>
            <w:r>
              <w:rPr>
                <w:rFonts w:ascii="Times New Roman" w:hAnsi="Times New Roman" w:eastAsia="宋体" w:cs="Times New Roman"/>
                <w:color w:val="auto"/>
                <w:spacing w:val="3"/>
                <w:sz w:val="21"/>
                <w:szCs w:val="21"/>
                <w:highlight w:val="none"/>
                <w:lang w:eastAsia="zh-CN"/>
              </w:rPr>
              <w:t>监理</w:t>
            </w:r>
            <w:r>
              <w:rPr>
                <w:rFonts w:ascii="Times New Roman" w:hAnsi="Times New Roman" w:eastAsia="宋体" w:cs="Times New Roman"/>
                <w:color w:val="auto"/>
                <w:spacing w:val="-3"/>
                <w:sz w:val="21"/>
                <w:szCs w:val="21"/>
                <w:highlight w:val="none"/>
                <w:lang w:eastAsia="zh-CN"/>
              </w:rPr>
              <w:t>单位</w:t>
            </w:r>
          </w:p>
        </w:tc>
      </w:tr>
      <w:tr w14:paraId="36926C6A">
        <w:tblPrEx>
          <w:tblCellMar>
            <w:top w:w="0" w:type="dxa"/>
            <w:left w:w="108" w:type="dxa"/>
            <w:bottom w:w="0" w:type="dxa"/>
            <w:right w:w="108" w:type="dxa"/>
          </w:tblCellMar>
        </w:tblPrEx>
        <w:trPr>
          <w:trHeight w:val="397" w:hRule="atLeast"/>
          <w:jc w:val="center"/>
        </w:trPr>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ECD2">
            <w:pPr>
              <w:widowControl/>
              <w:spacing w:line="240" w:lineRule="auto"/>
              <w:ind w:firstLine="0" w:firstLineChars="0"/>
              <w:jc w:val="center"/>
              <w:textAlignment w:val="center"/>
              <w:rPr>
                <w:rFonts w:ascii="Times New Roman" w:hAnsi="Times New Roman" w:eastAsia="宋体" w:cs="Times New Roman"/>
                <w:color w:val="auto"/>
                <w:highlight w:val="none"/>
              </w:rPr>
            </w:pPr>
            <w:r>
              <w:rPr>
                <w:rFonts w:ascii="Times New Roman" w:hAnsi="Times New Roman" w:eastAsia="宋体" w:cs="Times New Roman"/>
                <w:color w:val="auto"/>
                <w:kern w:val="0"/>
                <w:highlight w:val="none"/>
                <w:lang w:bidi="ar"/>
              </w:rPr>
              <w:t>3</w:t>
            </w:r>
          </w:p>
        </w:tc>
        <w:tc>
          <w:tcPr>
            <w:tcW w:w="3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C5123">
            <w:pPr>
              <w:widowControl/>
              <w:snapToGrid/>
              <w:spacing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lang w:val="en-US" w:eastAsia="zh-CN"/>
              </w:rPr>
              <w:t>新疆润疆工程设计有限责任公司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vAlign w:val="top"/>
          </w:tcPr>
          <w:p w14:paraId="37FDAD8B">
            <w:pPr>
              <w:pStyle w:val="33"/>
              <w:spacing w:before="129" w:line="240" w:lineRule="auto"/>
              <w:ind w:firstLine="0" w:firstLineChars="0"/>
              <w:jc w:val="center"/>
              <w:rPr>
                <w:rFonts w:ascii="Times New Roman" w:hAnsi="Times New Roman" w:eastAsia="宋体" w:cs="Times New Roman"/>
                <w:color w:val="auto"/>
                <w:spacing w:val="-2"/>
                <w:kern w:val="2"/>
                <w:sz w:val="21"/>
                <w:szCs w:val="21"/>
                <w:highlight w:val="none"/>
                <w:lang w:val="en-US" w:eastAsia="zh-CN" w:bidi="ar-SA"/>
              </w:rPr>
            </w:pPr>
            <w:r>
              <w:rPr>
                <w:rFonts w:ascii="Times New Roman" w:hAnsi="Times New Roman" w:eastAsia="宋体" w:cs="Times New Roman"/>
                <w:color w:val="auto"/>
                <w:spacing w:val="-2"/>
                <w:sz w:val="21"/>
                <w:szCs w:val="21"/>
                <w:highlight w:val="none"/>
                <w:lang w:eastAsia="zh-CN"/>
              </w:rPr>
              <w:t>设计单位</w:t>
            </w:r>
          </w:p>
        </w:tc>
      </w:tr>
      <w:tr w14:paraId="609E948F">
        <w:tblPrEx>
          <w:tblCellMar>
            <w:top w:w="0" w:type="dxa"/>
            <w:left w:w="108" w:type="dxa"/>
            <w:bottom w:w="0" w:type="dxa"/>
            <w:right w:w="108" w:type="dxa"/>
          </w:tblCellMar>
        </w:tblPrEx>
        <w:trPr>
          <w:trHeight w:val="397" w:hRule="atLeast"/>
          <w:jc w:val="center"/>
        </w:trPr>
        <w:tc>
          <w:tcPr>
            <w:tcW w:w="4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5A187">
            <w:pPr>
              <w:widowControl/>
              <w:spacing w:line="240" w:lineRule="auto"/>
              <w:ind w:firstLine="0" w:firstLineChars="0"/>
              <w:jc w:val="center"/>
              <w:textAlignment w:val="center"/>
              <w:rPr>
                <w:rFonts w:ascii="Times New Roman" w:hAnsi="Times New Roman" w:eastAsia="宋体" w:cs="Times New Roman"/>
                <w:color w:val="auto"/>
                <w:kern w:val="0"/>
                <w:highlight w:val="none"/>
                <w:lang w:bidi="ar"/>
              </w:rPr>
            </w:pPr>
            <w:r>
              <w:rPr>
                <w:rFonts w:ascii="Times New Roman" w:hAnsi="Times New Roman" w:eastAsia="宋体" w:cs="Times New Roman"/>
                <w:color w:val="auto"/>
                <w:kern w:val="0"/>
                <w:highlight w:val="none"/>
                <w:lang w:bidi="ar"/>
              </w:rPr>
              <w:t>4</w:t>
            </w:r>
          </w:p>
        </w:tc>
        <w:tc>
          <w:tcPr>
            <w:tcW w:w="3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FB9AF">
            <w:pPr>
              <w:widowControl/>
              <w:snapToGrid/>
              <w:spacing w:line="240" w:lineRule="auto"/>
              <w:ind w:firstLine="0" w:firstLineChars="0"/>
              <w:jc w:val="left"/>
              <w:textAlignment w:val="center"/>
              <w:rPr>
                <w:rFonts w:hint="default" w:ascii="Times New Roman" w:hAnsi="Times New Roman" w:eastAsia="宋体" w:cs="Times New Roman"/>
                <w:color w:val="auto"/>
                <w:kern w:val="0"/>
                <w:highlight w:val="none"/>
                <w:lang w:val="en-US" w:bidi="ar"/>
              </w:rPr>
            </w:pPr>
            <w:r>
              <w:rPr>
                <w:rFonts w:hint="eastAsia" w:ascii="Times New Roman" w:hAnsi="Times New Roman" w:eastAsia="宋体" w:cs="Times New Roman"/>
                <w:color w:val="auto"/>
                <w:highlight w:val="none"/>
                <w:lang w:val="en-US" w:eastAsia="zh-CN"/>
              </w:rPr>
              <w:t>智博建筑设计集团有限公司</w:t>
            </w:r>
          </w:p>
        </w:tc>
        <w:tc>
          <w:tcPr>
            <w:tcW w:w="1467" w:type="pct"/>
            <w:tcBorders>
              <w:top w:val="single" w:color="000000" w:sz="4" w:space="0"/>
              <w:left w:val="single" w:color="000000" w:sz="4" w:space="0"/>
              <w:bottom w:val="single" w:color="000000" w:sz="4" w:space="0"/>
              <w:right w:val="single" w:color="000000" w:sz="4" w:space="0"/>
            </w:tcBorders>
            <w:shd w:val="clear" w:color="auto" w:fill="auto"/>
            <w:vAlign w:val="top"/>
          </w:tcPr>
          <w:p w14:paraId="6D4569A1">
            <w:pPr>
              <w:pStyle w:val="33"/>
              <w:spacing w:before="129" w:line="240" w:lineRule="auto"/>
              <w:ind w:firstLine="0" w:firstLineChars="0"/>
              <w:jc w:val="center"/>
              <w:rPr>
                <w:rFonts w:ascii="Times New Roman" w:hAnsi="Times New Roman" w:eastAsia="宋体" w:cs="Times New Roman"/>
                <w:color w:val="auto"/>
                <w:spacing w:val="-2"/>
                <w:sz w:val="21"/>
                <w:szCs w:val="21"/>
                <w:highlight w:val="none"/>
                <w:lang w:eastAsia="zh-CN"/>
              </w:rPr>
            </w:pPr>
            <w:r>
              <w:rPr>
                <w:rFonts w:hint="default" w:ascii="Times New Roman" w:hAnsi="Times New Roman" w:eastAsia="宋体" w:cs="Times New Roman"/>
                <w:color w:val="auto"/>
                <w:spacing w:val="-2"/>
                <w:sz w:val="21"/>
                <w:szCs w:val="21"/>
                <w:highlight w:val="none"/>
                <w:lang w:val="en-US" w:eastAsia="zh-CN"/>
              </w:rPr>
              <w:t>审计结算单位</w:t>
            </w:r>
          </w:p>
        </w:tc>
      </w:tr>
    </w:tbl>
    <w:p w14:paraId="6EB86172">
      <w:pPr>
        <w:pStyle w:val="2"/>
        <w:spacing w:line="360" w:lineRule="auto"/>
        <w:rPr>
          <w:rFonts w:hint="eastAsia" w:ascii="Times New Roman" w:hAnsi="Times New Roman" w:eastAsia="宋体" w:cs="Times New Roman"/>
          <w:color w:val="auto"/>
          <w:sz w:val="21"/>
          <w:szCs w:val="21"/>
          <w:highlight w:val="none"/>
          <w:lang w:val="en-US" w:eastAsia="zh-CN"/>
        </w:rPr>
      </w:pPr>
      <w:bookmarkStart w:id="47" w:name="_Toc3661"/>
      <w:bookmarkStart w:id="48" w:name="_Toc31922"/>
      <w:r>
        <w:rPr>
          <w:rFonts w:hint="eastAsia" w:ascii="Times New Roman" w:hAnsi="Times New Roman" w:eastAsia="宋体" w:cs="Times New Roman"/>
          <w:b w:val="0"/>
          <w:bCs w:val="0"/>
          <w:color w:val="auto"/>
          <w:kern w:val="2"/>
          <w:sz w:val="21"/>
          <w:szCs w:val="21"/>
          <w:highlight w:val="none"/>
          <w:lang w:val="en-US" w:eastAsia="zh-CN" w:bidi="ar-SA"/>
        </w:rPr>
        <w:t>备注：根据</w:t>
      </w:r>
      <w:r>
        <w:rPr>
          <w:rFonts w:hint="eastAsia" w:ascii="Times New Roman" w:hAnsi="Times New Roman" w:eastAsia="宋体" w:cs="Times New Roman"/>
          <w:color w:val="auto"/>
          <w:kern w:val="2"/>
          <w:sz w:val="21"/>
          <w:szCs w:val="21"/>
          <w:highlight w:val="none"/>
          <w:lang w:val="en-US" w:eastAsia="zh-CN" w:bidi="ar-SA"/>
        </w:rPr>
        <w:t>项目实施单位提供的《</w:t>
      </w:r>
      <w:r>
        <w:rPr>
          <w:rFonts w:hint="eastAsia" w:ascii="Times New Roman" w:hAnsi="Times New Roman" w:eastAsia="宋体" w:cs="Times New Roman"/>
          <w:b w:val="0"/>
          <w:bCs w:val="0"/>
          <w:color w:val="auto"/>
          <w:kern w:val="2"/>
          <w:sz w:val="21"/>
          <w:szCs w:val="21"/>
          <w:highlight w:val="none"/>
          <w:lang w:val="en-US" w:eastAsia="zh-CN" w:bidi="ar-SA"/>
        </w:rPr>
        <w:t>情况说明》，该项目的监理单位、设计单位和审计结算单位为项目实施单位无偿提供项目的设计</w:t>
      </w:r>
      <w:r>
        <w:rPr>
          <w:rFonts w:hint="eastAsia" w:eastAsia="宋体" w:cs="Times New Roman"/>
          <w:b w:val="0"/>
          <w:bCs w:val="0"/>
          <w:color w:val="auto"/>
          <w:kern w:val="2"/>
          <w:sz w:val="21"/>
          <w:szCs w:val="21"/>
          <w:highlight w:val="none"/>
          <w:lang w:val="en-US" w:eastAsia="zh-CN" w:bidi="ar-SA"/>
        </w:rPr>
        <w:t>、</w:t>
      </w:r>
      <w:r>
        <w:rPr>
          <w:rFonts w:hint="eastAsia" w:ascii="Times New Roman" w:hAnsi="Times New Roman" w:eastAsia="宋体" w:cs="Times New Roman"/>
          <w:b w:val="0"/>
          <w:bCs w:val="0"/>
          <w:color w:val="auto"/>
          <w:kern w:val="2"/>
          <w:sz w:val="21"/>
          <w:szCs w:val="21"/>
          <w:highlight w:val="none"/>
          <w:lang w:val="en-US" w:eastAsia="zh-CN" w:bidi="ar-SA"/>
        </w:rPr>
        <w:t>监理</w:t>
      </w:r>
      <w:r>
        <w:rPr>
          <w:rFonts w:hint="eastAsia" w:eastAsia="宋体" w:cs="Times New Roman"/>
          <w:b w:val="0"/>
          <w:bCs w:val="0"/>
          <w:color w:val="auto"/>
          <w:kern w:val="2"/>
          <w:sz w:val="21"/>
          <w:szCs w:val="21"/>
          <w:highlight w:val="none"/>
          <w:lang w:val="en-US" w:eastAsia="zh-CN" w:bidi="ar-SA"/>
        </w:rPr>
        <w:t>及审计</w:t>
      </w:r>
      <w:r>
        <w:rPr>
          <w:rFonts w:hint="eastAsia" w:ascii="Times New Roman" w:hAnsi="Times New Roman" w:eastAsia="宋体" w:cs="Times New Roman"/>
          <w:b w:val="0"/>
          <w:bCs w:val="0"/>
          <w:color w:val="auto"/>
          <w:kern w:val="2"/>
          <w:sz w:val="21"/>
          <w:szCs w:val="21"/>
          <w:highlight w:val="none"/>
          <w:lang w:val="en-US" w:eastAsia="zh-CN" w:bidi="ar-SA"/>
        </w:rPr>
        <w:t>服务工作。</w:t>
      </w:r>
    </w:p>
    <w:p w14:paraId="4CB6BDA5">
      <w:pPr>
        <w:pStyle w:val="5"/>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二、项目绩效目标</w:t>
      </w:r>
      <w:bookmarkEnd w:id="45"/>
      <w:bookmarkEnd w:id="47"/>
      <w:bookmarkEnd w:id="48"/>
    </w:p>
    <w:p w14:paraId="1F7DDB76">
      <w:pPr>
        <w:pStyle w:val="5"/>
        <w:bidi w:val="0"/>
        <w:spacing w:before="0" w:after="0" w:line="360" w:lineRule="auto"/>
        <w:rPr>
          <w:rFonts w:ascii="Times New Roman" w:hAnsi="Times New Roman" w:eastAsia="宋体" w:cs="Times New Roman"/>
          <w:color w:val="auto"/>
          <w:highlight w:val="none"/>
        </w:rPr>
      </w:pPr>
      <w:bookmarkStart w:id="49" w:name="_Toc24386"/>
      <w:bookmarkStart w:id="50" w:name="_Toc12205"/>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项目绩效总目标</w:t>
      </w:r>
      <w:bookmarkEnd w:id="49"/>
      <w:bookmarkEnd w:id="50"/>
    </w:p>
    <w:p w14:paraId="082AE40C">
      <w:pPr>
        <w:bidi w:val="0"/>
        <w:spacing w:before="0" w:after="0" w:line="360" w:lineRule="auto"/>
        <w:ind w:firstLine="420"/>
        <w:rPr>
          <w:rFonts w:hint="eastAsia" w:ascii="Times New Roman" w:hAnsi="Times New Roman" w:eastAsia="宋体" w:cs="Times New Roman"/>
          <w:b w:val="0"/>
          <w:bCs w:val="0"/>
          <w:color w:val="auto"/>
          <w:kern w:val="2"/>
          <w:sz w:val="21"/>
          <w:szCs w:val="21"/>
          <w:highlight w:val="none"/>
          <w:lang w:val="en-US" w:eastAsia="zh-CN" w:bidi="ar-SA"/>
        </w:rPr>
      </w:pPr>
      <w:bookmarkStart w:id="51" w:name="_Toc15863"/>
      <w:r>
        <w:rPr>
          <w:rFonts w:hint="eastAsia" w:ascii="Times New Roman" w:hAnsi="Times New Roman" w:eastAsia="宋体" w:cs="Times New Roman"/>
          <w:color w:val="auto"/>
          <w:kern w:val="2"/>
          <w:sz w:val="21"/>
          <w:szCs w:val="22"/>
          <w:highlight w:val="none"/>
          <w:lang w:val="en-US" w:eastAsia="zh-CN" w:bidi="ar-SA"/>
        </w:rPr>
        <w:t>该项目通过在伊宁县吉里于孜镇上肉孜买提于孜村和伊宁县阿热吾斯塘镇托万克村实施</w:t>
      </w:r>
      <w:r>
        <w:rPr>
          <w:rFonts w:hint="default" w:ascii="Times New Roman" w:hAnsi="Times New Roman" w:eastAsia="宋体" w:cs="Times New Roman"/>
          <w:color w:val="auto"/>
          <w:highlight w:val="none"/>
          <w:lang w:val="en-US" w:eastAsia="zh-CN"/>
        </w:rPr>
        <w:t>全民健身场地建设民生工程，助力乡村振兴</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kern w:val="2"/>
          <w:sz w:val="21"/>
          <w:szCs w:val="21"/>
          <w:highlight w:val="none"/>
          <w:lang w:val="en-US" w:eastAsia="zh-CN" w:bidi="ar-SA"/>
        </w:rPr>
        <w:t>为群众提供高效、便捷的全民健身场地服务</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 w:val="0"/>
          <w:bCs w:val="0"/>
          <w:color w:val="auto"/>
          <w:kern w:val="2"/>
          <w:sz w:val="21"/>
          <w:szCs w:val="21"/>
          <w:highlight w:val="none"/>
          <w:lang w:val="en-US" w:eastAsia="zh-CN" w:bidi="ar-SA"/>
        </w:rPr>
        <w:t>提升公众健康水平。</w:t>
      </w:r>
      <w:bookmarkEnd w:id="51"/>
    </w:p>
    <w:p w14:paraId="076B9471">
      <w:pPr>
        <w:pStyle w:val="5"/>
        <w:bidi w:val="0"/>
        <w:spacing w:before="0" w:after="0" w:line="360" w:lineRule="auto"/>
        <w:rPr>
          <w:rFonts w:ascii="Times New Roman" w:hAnsi="Times New Roman" w:eastAsia="宋体" w:cs="Times New Roman"/>
          <w:color w:val="auto"/>
          <w:highlight w:val="none"/>
        </w:rPr>
      </w:pPr>
      <w:bookmarkStart w:id="52" w:name="_Toc2716"/>
      <w:bookmarkStart w:id="53" w:name="_Toc8647"/>
      <w:r>
        <w:rPr>
          <w:rFonts w:hint="eastAsia" w:ascii="Times New Roman" w:hAnsi="Times New Roman" w:eastAsia="宋体" w:cs="Times New Roman"/>
          <w:color w:val="auto"/>
          <w:highlight w:val="none"/>
        </w:rPr>
        <w:t>（二）年度绩效</w:t>
      </w:r>
      <w:r>
        <w:rPr>
          <w:rFonts w:ascii="Times New Roman" w:hAnsi="Times New Roman" w:eastAsia="宋体" w:cs="Times New Roman"/>
          <w:color w:val="auto"/>
          <w:highlight w:val="none"/>
        </w:rPr>
        <w:t>目标</w:t>
      </w:r>
      <w:bookmarkEnd w:id="52"/>
      <w:bookmarkEnd w:id="53"/>
    </w:p>
    <w:p w14:paraId="54A731C0">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b w:val="0"/>
          <w:bCs w:val="0"/>
          <w:color w:val="auto"/>
          <w:kern w:val="2"/>
          <w:sz w:val="21"/>
          <w:szCs w:val="21"/>
          <w:highlight w:val="none"/>
          <w:lang w:val="en-US" w:eastAsia="zh-CN" w:bidi="ar-SA"/>
        </w:rPr>
        <w:t>根据《项目支出绩效评价管理办法》（财预〔2020〕10号）的规定，绩效评价小组结合项目实际情况，对</w:t>
      </w:r>
      <w:r>
        <w:rPr>
          <w:rFonts w:hint="eastAsia" w:ascii="Times New Roman" w:hAnsi="Times New Roman" w:eastAsia="宋体" w:cs="Times New Roman"/>
          <w:color w:val="auto"/>
          <w:kern w:val="2"/>
          <w:sz w:val="21"/>
          <w:szCs w:val="21"/>
          <w:highlight w:val="none"/>
          <w:lang w:val="en-US" w:eastAsia="zh-CN" w:bidi="ar-SA"/>
        </w:rPr>
        <w:t>伊宁县全民健身场地设施项目</w:t>
      </w:r>
      <w:r>
        <w:rPr>
          <w:rFonts w:hint="eastAsia" w:ascii="Times New Roman" w:hAnsi="Times New Roman" w:eastAsia="宋体" w:cs="Times New Roman"/>
          <w:b w:val="0"/>
          <w:bCs w:val="0"/>
          <w:color w:val="auto"/>
          <w:kern w:val="2"/>
          <w:sz w:val="21"/>
          <w:szCs w:val="21"/>
          <w:highlight w:val="none"/>
          <w:lang w:val="en-US" w:eastAsia="zh-CN" w:bidi="ar-SA"/>
        </w:rPr>
        <w:t>绩效目标进行梳理、细化和补充完善，经报委托方审核，最终确定该项目年度目标为：</w:t>
      </w:r>
      <w:r>
        <w:rPr>
          <w:rFonts w:hint="eastAsia" w:ascii="Times New Roman" w:hAnsi="Times New Roman" w:eastAsia="宋体" w:cs="Times New Roman"/>
          <w:color w:val="auto"/>
          <w:kern w:val="2"/>
          <w:sz w:val="21"/>
          <w:szCs w:val="21"/>
          <w:highlight w:val="none"/>
          <w:lang w:val="en-US" w:eastAsia="zh-CN" w:bidi="ar-SA"/>
        </w:rPr>
        <w:t>在伊宁县吉里于孜镇上肉孜买提于孜村建设五人制笼式足球场1块，总面积为1,080.00平方米；标准篮球场1块，总面积为798.00平方米；在伊宁县阿热吾斯塘镇托万克村建设标准篮球场1块，总面积789.00平方米</w:t>
      </w:r>
      <w:r>
        <w:rPr>
          <w:rFonts w:hint="eastAsia" w:ascii="Times New Roman" w:hAnsi="Times New Roman" w:eastAsia="宋体" w:cs="Times New Roman"/>
          <w:b w:val="0"/>
          <w:bCs w:val="0"/>
          <w:color w:val="auto"/>
          <w:kern w:val="2"/>
          <w:sz w:val="21"/>
          <w:szCs w:val="21"/>
          <w:highlight w:val="none"/>
          <w:lang w:val="en-US" w:eastAsia="zh-CN" w:bidi="ar-SA"/>
        </w:rPr>
        <w:t>，</w:t>
      </w:r>
      <w:r>
        <w:rPr>
          <w:rFonts w:hint="eastAsia" w:eastAsia="宋体" w:cs="Times New Roman"/>
          <w:b w:val="0"/>
          <w:bCs w:val="0"/>
          <w:color w:val="auto"/>
          <w:kern w:val="2"/>
          <w:sz w:val="21"/>
          <w:szCs w:val="21"/>
          <w:highlight w:val="none"/>
          <w:lang w:val="en-US" w:eastAsia="zh-CN" w:bidi="ar-SA"/>
        </w:rPr>
        <w:t>确保项目按合同约定按期完工</w:t>
      </w:r>
      <w:r>
        <w:rPr>
          <w:rFonts w:hint="eastAsia" w:ascii="Times New Roman" w:hAnsi="Times New Roman" w:eastAsia="宋体" w:cs="Times New Roman"/>
          <w:b w:val="0"/>
          <w:bCs w:val="0"/>
          <w:color w:val="auto"/>
          <w:kern w:val="2"/>
          <w:sz w:val="21"/>
          <w:szCs w:val="21"/>
          <w:highlight w:val="none"/>
          <w:lang w:val="en-US" w:eastAsia="zh-CN" w:bidi="ar-SA"/>
        </w:rPr>
        <w:t>，通过项目实施提升公众健康水平，</w:t>
      </w:r>
      <w:r>
        <w:rPr>
          <w:rFonts w:hint="eastAsia" w:ascii="Times New Roman" w:hAnsi="Times New Roman" w:eastAsia="宋体" w:cs="Times New Roman"/>
          <w:b w:val="0"/>
          <w:bCs w:val="0"/>
          <w:color w:val="auto"/>
          <w:kern w:val="2"/>
          <w:highlight w:val="none"/>
          <w:lang w:bidi="ar-SA"/>
        </w:rPr>
        <w:t>提升群众参与足球</w:t>
      </w:r>
      <w:r>
        <w:rPr>
          <w:rFonts w:hint="eastAsia" w:ascii="Times New Roman" w:hAnsi="Times New Roman" w:eastAsia="宋体" w:cs="Times New Roman"/>
          <w:b w:val="0"/>
          <w:bCs w:val="0"/>
          <w:color w:val="auto"/>
          <w:kern w:val="2"/>
          <w:highlight w:val="none"/>
          <w:lang w:eastAsia="zh-CN" w:bidi="ar-SA"/>
        </w:rPr>
        <w:t>、</w:t>
      </w:r>
      <w:r>
        <w:rPr>
          <w:rFonts w:hint="eastAsia" w:ascii="Times New Roman" w:hAnsi="Times New Roman" w:eastAsia="宋体" w:cs="Times New Roman"/>
          <w:b w:val="0"/>
          <w:bCs w:val="0"/>
          <w:color w:val="auto"/>
          <w:kern w:val="2"/>
          <w:highlight w:val="none"/>
          <w:lang w:val="en-US" w:eastAsia="zh-CN" w:bidi="ar-SA"/>
        </w:rPr>
        <w:t>篮球</w:t>
      </w:r>
      <w:r>
        <w:rPr>
          <w:rFonts w:hint="eastAsia" w:ascii="Times New Roman" w:hAnsi="Times New Roman" w:eastAsia="宋体" w:cs="Times New Roman"/>
          <w:b w:val="0"/>
          <w:bCs w:val="0"/>
          <w:color w:val="auto"/>
          <w:kern w:val="2"/>
          <w:highlight w:val="none"/>
          <w:lang w:bidi="ar-SA"/>
        </w:rPr>
        <w:t>锻炼积极性</w:t>
      </w:r>
      <w:r>
        <w:rPr>
          <w:rFonts w:hint="eastAsia" w:ascii="Times New Roman" w:hAnsi="Times New Roman" w:eastAsia="宋体" w:cs="Times New Roman"/>
          <w:b w:val="0"/>
          <w:bCs w:val="0"/>
          <w:color w:val="auto"/>
          <w:kern w:val="2"/>
          <w:sz w:val="21"/>
          <w:szCs w:val="21"/>
          <w:highlight w:val="none"/>
          <w:lang w:val="en-US" w:eastAsia="zh-CN" w:bidi="ar-SA"/>
        </w:rPr>
        <w:t>。该项目个性目标设置具体如下：</w:t>
      </w:r>
    </w:p>
    <w:p w14:paraId="5F8611D3">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1.项目产出目标</w:t>
      </w:r>
    </w:p>
    <w:p w14:paraId="273D1725">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（1）数量指标</w:t>
      </w:r>
    </w:p>
    <w:p w14:paraId="7E7B646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“C11新建</w:t>
      </w:r>
      <w:r>
        <w:rPr>
          <w:rFonts w:hint="eastAsia" w:ascii="Times New Roman" w:hAnsi="Times New Roman" w:eastAsia="宋体" w:cs="Times New Roman"/>
          <w:color w:val="auto"/>
          <w:kern w:val="2"/>
          <w:sz w:val="21"/>
          <w:szCs w:val="21"/>
          <w:highlight w:val="none"/>
          <w:lang w:val="en-US" w:eastAsia="zh-CN" w:bidi="ar-SA"/>
        </w:rPr>
        <w:t>建设五人制笼式足球场</w:t>
      </w:r>
      <w:r>
        <w:rPr>
          <w:rFonts w:hint="eastAsia" w:ascii="Times New Roman" w:hAnsi="Times New Roman" w:eastAsia="宋体" w:cs="Times New Roman"/>
          <w:color w:val="auto"/>
          <w:highlight w:val="none"/>
          <w:lang w:val="en-US" w:eastAsia="zh-CN"/>
        </w:rPr>
        <w:t>工程量</w:t>
      </w:r>
      <w:r>
        <w:rPr>
          <w:rFonts w:ascii="Times New Roman" w:hAnsi="Times New Roman" w:eastAsia="宋体" w:cs="Times New Roman"/>
          <w:color w:val="auto"/>
          <w:highlight w:val="none"/>
        </w:rPr>
        <w:t>”指标，预期指标值为</w:t>
      </w:r>
      <w:r>
        <w:rPr>
          <w:rFonts w:hint="eastAsia" w:ascii="Times New Roman" w:hAnsi="Times New Roman" w:eastAsia="宋体" w:cs="Times New Roman"/>
          <w:color w:val="auto"/>
          <w:highlight w:val="none"/>
          <w:lang w:val="en-US" w:eastAsia="zh-CN"/>
        </w:rPr>
        <w:t>大于等于</w:t>
      </w:r>
      <w:r>
        <w:rPr>
          <w:rFonts w:hint="eastAsia" w:ascii="Times New Roman" w:hAnsi="Times New Roman" w:eastAsia="宋体" w:cs="Times New Roman"/>
          <w:color w:val="auto"/>
          <w:kern w:val="2"/>
          <w:sz w:val="21"/>
          <w:szCs w:val="21"/>
          <w:highlight w:val="none"/>
          <w:lang w:val="en-US" w:eastAsia="zh-CN" w:bidi="ar-SA"/>
        </w:rPr>
        <w:t>1,080.00平方米</w:t>
      </w:r>
      <w:r>
        <w:rPr>
          <w:rFonts w:hint="eastAsia" w:ascii="Times New Roman" w:hAnsi="Times New Roman" w:eastAsia="宋体" w:cs="Times New Roman"/>
          <w:color w:val="auto"/>
          <w:highlight w:val="none"/>
        </w:rPr>
        <w:t>。</w:t>
      </w:r>
    </w:p>
    <w:p w14:paraId="24E95273">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szCs w:val="21"/>
          <w:highlight w:val="none"/>
        </w:rPr>
      </w:pPr>
      <w:r>
        <w:rPr>
          <w:rFonts w:ascii="Times New Roman" w:hAnsi="Times New Roman" w:eastAsia="宋体" w:cs="Times New Roman"/>
          <w:color w:val="auto"/>
          <w:highlight w:val="none"/>
        </w:rPr>
        <w:t>“C12新建</w:t>
      </w:r>
      <w:r>
        <w:rPr>
          <w:rFonts w:hint="eastAsia" w:ascii="Times New Roman" w:hAnsi="Times New Roman" w:eastAsia="宋体" w:cs="Times New Roman"/>
          <w:color w:val="auto"/>
          <w:kern w:val="2"/>
          <w:sz w:val="21"/>
          <w:szCs w:val="21"/>
          <w:highlight w:val="none"/>
          <w:lang w:val="en-US" w:eastAsia="zh-CN" w:bidi="ar-SA"/>
        </w:rPr>
        <w:t>标准篮球场</w:t>
      </w:r>
      <w:r>
        <w:rPr>
          <w:rFonts w:hint="eastAsia" w:ascii="Times New Roman" w:hAnsi="Times New Roman" w:eastAsia="宋体" w:cs="Times New Roman"/>
          <w:color w:val="auto"/>
          <w:highlight w:val="none"/>
          <w:lang w:val="en-US" w:eastAsia="zh-CN"/>
        </w:rPr>
        <w:t>工程量</w:t>
      </w:r>
      <w:r>
        <w:rPr>
          <w:rFonts w:ascii="Times New Roman" w:hAnsi="Times New Roman" w:eastAsia="宋体" w:cs="Times New Roman"/>
          <w:color w:val="auto"/>
          <w:highlight w:val="none"/>
        </w:rPr>
        <w:t>”指标，预期指标</w:t>
      </w:r>
      <w:r>
        <w:rPr>
          <w:rFonts w:hint="eastAsia" w:ascii="Times New Roman" w:hAnsi="Times New Roman" w:eastAsia="宋体" w:cs="Times New Roman"/>
          <w:color w:val="auto"/>
          <w:szCs w:val="21"/>
          <w:highlight w:val="none"/>
        </w:rPr>
        <w:t>值为</w:t>
      </w:r>
      <w:r>
        <w:rPr>
          <w:rFonts w:hint="eastAsia" w:ascii="Times New Roman" w:hAnsi="Times New Roman" w:eastAsia="宋体" w:cs="Times New Roman"/>
          <w:color w:val="auto"/>
          <w:szCs w:val="21"/>
          <w:highlight w:val="none"/>
          <w:lang w:val="en-US" w:eastAsia="zh-CN"/>
        </w:rPr>
        <w:t>大于等于1,587.00平方米</w:t>
      </w:r>
      <w:r>
        <w:rPr>
          <w:rFonts w:hint="eastAsia" w:ascii="Times New Roman" w:hAnsi="Times New Roman" w:eastAsia="宋体" w:cs="Times New Roman"/>
          <w:color w:val="auto"/>
          <w:szCs w:val="21"/>
          <w:highlight w:val="none"/>
        </w:rPr>
        <w:t>。</w:t>
      </w:r>
    </w:p>
    <w:p w14:paraId="4DA63557">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（2）质量指标</w:t>
      </w:r>
    </w:p>
    <w:p w14:paraId="182DE44E">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“C21</w:t>
      </w:r>
      <w:r>
        <w:rPr>
          <w:rFonts w:hint="eastAsia" w:ascii="Times New Roman" w:hAnsi="Times New Roman" w:eastAsia="宋体" w:cs="Times New Roman"/>
          <w:color w:val="auto"/>
          <w:highlight w:val="none"/>
          <w:lang w:val="en-US" w:eastAsia="zh-CN"/>
        </w:rPr>
        <w:t>项目</w:t>
      </w:r>
      <w:r>
        <w:rPr>
          <w:rFonts w:hint="eastAsia" w:ascii="Times New Roman" w:hAnsi="Times New Roman" w:eastAsia="宋体" w:cs="Times New Roman"/>
          <w:color w:val="auto"/>
          <w:highlight w:val="none"/>
          <w:lang w:eastAsia="zh-CN"/>
        </w:rPr>
        <w:t>竣工验收合格率</w:t>
      </w:r>
      <w:r>
        <w:rPr>
          <w:rFonts w:ascii="Times New Roman" w:hAnsi="Times New Roman" w:eastAsia="宋体" w:cs="Times New Roman"/>
          <w:color w:val="auto"/>
          <w:highlight w:val="none"/>
        </w:rPr>
        <w:t>”指标，预期指标值为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7CD3D0C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（3）时效指标</w:t>
      </w:r>
    </w:p>
    <w:p w14:paraId="02C7069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“C31项目开工及时率”指标，预期指标值为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3FB28184">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“C32项目完工及时率”指标，预期指标值为</w:t>
      </w:r>
      <w:r>
        <w:rPr>
          <w:rFonts w:hint="eastAsia" w:ascii="Times New Roman" w:hAnsi="Times New Roman" w:eastAsia="宋体" w:cs="Times New Roman"/>
          <w:color w:val="auto"/>
          <w:highlight w:val="none"/>
          <w:lang w:val="en-US" w:eastAsia="zh-CN"/>
        </w:rPr>
        <w:t>100.00%</w:t>
      </w:r>
      <w:r>
        <w:rPr>
          <w:rFonts w:hint="eastAsia" w:ascii="Times New Roman" w:hAnsi="Times New Roman" w:eastAsia="宋体" w:cs="Times New Roman"/>
          <w:color w:val="auto"/>
          <w:highlight w:val="none"/>
        </w:rPr>
        <w:t>。</w:t>
      </w:r>
    </w:p>
    <w:p w14:paraId="629898B3">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（4）成本指标</w:t>
      </w:r>
    </w:p>
    <w:p w14:paraId="2030F38A">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“C41</w:t>
      </w:r>
      <w:r>
        <w:rPr>
          <w:rFonts w:hint="eastAsia" w:eastAsia="宋体" w:cs="Times New Roman"/>
          <w:color w:val="auto"/>
          <w:highlight w:val="none"/>
          <w:lang w:eastAsia="zh-CN"/>
        </w:rPr>
        <w:t>项目工程建设成本</w:t>
      </w:r>
      <w:r>
        <w:rPr>
          <w:rFonts w:ascii="Times New Roman" w:hAnsi="Times New Roman" w:eastAsia="宋体" w:cs="Times New Roman"/>
          <w:color w:val="auto"/>
          <w:highlight w:val="none"/>
        </w:rPr>
        <w:t>”指标，预期指标值为</w:t>
      </w:r>
      <w:r>
        <w:rPr>
          <w:rFonts w:hint="eastAsia" w:eastAsia="宋体" w:cs="Times New Roman"/>
          <w:color w:val="auto"/>
          <w:kern w:val="0"/>
          <w:sz w:val="21"/>
          <w:szCs w:val="21"/>
          <w:highlight w:val="none"/>
          <w:lang w:val="en-US" w:eastAsia="zh-CN" w:bidi="ar"/>
        </w:rPr>
        <w:t>小于等于100.00万元</w:t>
      </w:r>
      <w:r>
        <w:rPr>
          <w:rFonts w:hint="eastAsia" w:ascii="Times New Roman" w:hAnsi="Times New Roman" w:eastAsia="宋体" w:cs="Times New Roman"/>
          <w:color w:val="auto"/>
          <w:highlight w:val="none"/>
        </w:rPr>
        <w:t>。</w:t>
      </w:r>
    </w:p>
    <w:p w14:paraId="663D6EAA">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color w:val="auto"/>
          <w:highlight w:val="none"/>
        </w:rPr>
      </w:pPr>
      <w:r>
        <w:rPr>
          <w:rFonts w:ascii="Times New Roman" w:hAnsi="Times New Roman" w:eastAsia="宋体" w:cs="Times New Roman"/>
          <w:b/>
          <w:color w:val="auto"/>
          <w:highlight w:val="none"/>
        </w:rPr>
        <w:t>2.项目效益目标</w:t>
      </w:r>
    </w:p>
    <w:p w14:paraId="6BCC6F42">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（1）社会效益指标</w:t>
      </w:r>
    </w:p>
    <w:p w14:paraId="1718CF64">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rPr>
      </w:pPr>
      <w:r>
        <w:rPr>
          <w:rFonts w:ascii="Times New Roman" w:hAnsi="Times New Roman" w:eastAsia="宋体" w:cs="Times New Roman"/>
          <w:color w:val="auto"/>
          <w:highlight w:val="none"/>
        </w:rPr>
        <w:t>“D11提升公众健康水平”指标，预期指标值为</w:t>
      </w:r>
      <w:r>
        <w:rPr>
          <w:rFonts w:hint="eastAsia" w:ascii="Times New Roman" w:hAnsi="Times New Roman" w:eastAsia="宋体" w:cs="Times New Roman"/>
          <w:color w:val="auto"/>
          <w:highlight w:val="none"/>
          <w:lang w:val="en-US" w:eastAsia="zh-CN"/>
        </w:rPr>
        <w:t>有效提升</w:t>
      </w:r>
      <w:r>
        <w:rPr>
          <w:rFonts w:hint="eastAsia" w:ascii="Times New Roman" w:hAnsi="Times New Roman" w:eastAsia="宋体" w:cs="Times New Roman"/>
          <w:color w:val="auto"/>
          <w:highlight w:val="none"/>
        </w:rPr>
        <w:t>。</w:t>
      </w:r>
    </w:p>
    <w:p w14:paraId="1DDFC40D">
      <w:pPr>
        <w:pStyle w:val="2"/>
        <w:spacing w:line="360" w:lineRule="auto"/>
        <w:ind w:firstLine="420" w:firstLineChars="200"/>
        <w:rPr>
          <w:rFonts w:hint="default" w:ascii="Times New Roman" w:hAnsi="Times New Roman" w:eastAsia="宋体" w:cs="Times New Roman"/>
          <w:color w:val="auto"/>
          <w:highlight w:val="none"/>
        </w:rPr>
      </w:pPr>
      <w:r>
        <w:rPr>
          <w:rFonts w:ascii="Times New Roman" w:hAnsi="Times New Roman" w:eastAsia="宋体" w:cs="Times New Roman"/>
          <w:color w:val="auto"/>
          <w:highlight w:val="none"/>
        </w:rPr>
        <w:t>“</w:t>
      </w:r>
      <w:r>
        <w:rPr>
          <w:rFonts w:hint="eastAsia" w:ascii="Times New Roman" w:hAnsi="Times New Roman" w:eastAsia="宋体" w:cs="Times New Roman"/>
          <w:color w:val="auto"/>
          <w:kern w:val="0"/>
          <w:sz w:val="21"/>
          <w:szCs w:val="21"/>
          <w:highlight w:val="none"/>
          <w:lang w:bidi="ar"/>
        </w:rPr>
        <w:t>D</w:t>
      </w:r>
      <w:r>
        <w:rPr>
          <w:rFonts w:hint="eastAsia" w:ascii="Times New Roman" w:hAnsi="Times New Roman" w:eastAsia="宋体" w:cs="Times New Roman"/>
          <w:color w:val="auto"/>
          <w:kern w:val="2"/>
          <w:sz w:val="21"/>
          <w:szCs w:val="21"/>
          <w:highlight w:val="none"/>
          <w:lang w:val="en-US" w:eastAsia="zh-CN" w:bidi="ar-SA"/>
        </w:rPr>
        <w:t>12</w:t>
      </w:r>
      <w:r>
        <w:rPr>
          <w:rFonts w:hint="default" w:ascii="Times New Roman" w:hAnsi="Times New Roman" w:eastAsia="宋体" w:cs="Times New Roman"/>
          <w:color w:val="auto"/>
          <w:kern w:val="2"/>
          <w:sz w:val="21"/>
          <w:szCs w:val="21"/>
          <w:highlight w:val="none"/>
          <w:lang w:bidi="ar-SA"/>
        </w:rPr>
        <w:t>提升群众参与足球</w:t>
      </w:r>
      <w:r>
        <w:rPr>
          <w:rFonts w:hint="default" w:ascii="Times New Roman" w:hAnsi="Times New Roman" w:eastAsia="宋体" w:cs="Times New Roman"/>
          <w:color w:val="auto"/>
          <w:kern w:val="2"/>
          <w:sz w:val="21"/>
          <w:szCs w:val="21"/>
          <w:highlight w:val="none"/>
          <w:lang w:eastAsia="zh-CN" w:bidi="ar-SA"/>
        </w:rPr>
        <w:t>、</w:t>
      </w:r>
      <w:r>
        <w:rPr>
          <w:rFonts w:hint="default" w:ascii="Times New Roman" w:hAnsi="Times New Roman" w:eastAsia="宋体" w:cs="Times New Roman"/>
          <w:color w:val="auto"/>
          <w:kern w:val="2"/>
          <w:sz w:val="21"/>
          <w:szCs w:val="21"/>
          <w:highlight w:val="none"/>
          <w:lang w:val="en-US" w:eastAsia="zh-CN" w:bidi="ar-SA"/>
        </w:rPr>
        <w:t>篮球</w:t>
      </w:r>
      <w:r>
        <w:rPr>
          <w:rFonts w:hint="default" w:ascii="Times New Roman" w:hAnsi="Times New Roman" w:eastAsia="宋体" w:cs="Times New Roman"/>
          <w:color w:val="auto"/>
          <w:kern w:val="2"/>
          <w:sz w:val="21"/>
          <w:szCs w:val="21"/>
          <w:highlight w:val="none"/>
          <w:lang w:bidi="ar-SA"/>
        </w:rPr>
        <w:t>锻炼积极性</w:t>
      </w:r>
      <w:r>
        <w:rPr>
          <w:rFonts w:ascii="Times New Roman" w:hAnsi="Times New Roman" w:eastAsia="宋体" w:cs="Times New Roman"/>
          <w:color w:val="auto"/>
          <w:highlight w:val="none"/>
        </w:rPr>
        <w:t>”指标，预期指标值为</w:t>
      </w:r>
      <w:r>
        <w:rPr>
          <w:rFonts w:hint="default" w:ascii="Times New Roman" w:hAnsi="Times New Roman" w:eastAsia="宋体" w:cs="Times New Roman"/>
          <w:color w:val="auto"/>
          <w:highlight w:val="none"/>
          <w:lang w:val="en-US" w:eastAsia="zh-CN"/>
        </w:rPr>
        <w:t>有效提升</w:t>
      </w:r>
      <w:r>
        <w:rPr>
          <w:rFonts w:hint="default" w:ascii="Times New Roman" w:hAnsi="Times New Roman" w:eastAsia="宋体" w:cs="Times New Roman"/>
          <w:color w:val="auto"/>
          <w:highlight w:val="none"/>
        </w:rPr>
        <w:t>。</w:t>
      </w:r>
    </w:p>
    <w:p w14:paraId="032FCD64">
      <w:pPr>
        <w:pStyle w:val="2"/>
        <w:spacing w:line="360" w:lineRule="auto"/>
        <w:rPr>
          <w:rFonts w:ascii="Times New Roman" w:hAnsi="Times New Roman" w:eastAsia="宋体" w:cs="Times New Roman"/>
          <w:color w:val="auto"/>
          <w:highlight w:val="none"/>
        </w:rPr>
      </w:pPr>
      <w:r>
        <w:rPr>
          <w:rFonts w:ascii="Times New Roman" w:hAnsi="Times New Roman" w:eastAsia="宋体" w:cs="Times New Roman"/>
          <w:b/>
          <w:color w:val="auto"/>
          <w:highlight w:val="none"/>
        </w:rPr>
        <w:t>3.</w:t>
      </w:r>
      <w:r>
        <w:rPr>
          <w:rFonts w:ascii="Times New Roman" w:hAnsi="Times New Roman" w:eastAsia="宋体" w:cs="Times New Roman"/>
          <w:b/>
          <w:color w:val="auto"/>
          <w:highlight w:val="none"/>
          <w:lang w:eastAsia="zh-Hans"/>
        </w:rPr>
        <w:t>满意度目标</w:t>
      </w:r>
    </w:p>
    <w:p w14:paraId="4D745E8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（1）满意度指标</w:t>
      </w:r>
    </w:p>
    <w:p w14:paraId="34C5F30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bookmarkStart w:id="54" w:name="_Toc68364660"/>
      <w:r>
        <w:rPr>
          <w:rFonts w:ascii="Times New Roman" w:hAnsi="Times New Roman" w:eastAsia="宋体" w:cs="Times New Roman"/>
          <w:color w:val="auto"/>
          <w:highlight w:val="none"/>
        </w:rPr>
        <w:t>“D21</w:t>
      </w:r>
      <w:r>
        <w:rPr>
          <w:rFonts w:hint="default" w:ascii="Times New Roman" w:hAnsi="Times New Roman" w:eastAsia="宋体" w:cs="Times New Roman"/>
          <w:color w:val="auto"/>
          <w:highlight w:val="none"/>
          <w:lang w:eastAsia="zh-CN"/>
        </w:rPr>
        <w:t>项目所在村受益村民满意度</w:t>
      </w:r>
      <w:r>
        <w:rPr>
          <w:rFonts w:ascii="Times New Roman" w:hAnsi="Times New Roman" w:eastAsia="宋体" w:cs="Times New Roman"/>
          <w:color w:val="auto"/>
          <w:highlight w:val="none"/>
        </w:rPr>
        <w:t>”指标，预期指标值为</w:t>
      </w:r>
      <w:r>
        <w:rPr>
          <w:rFonts w:hint="default" w:ascii="Times New Roman" w:hAnsi="Times New Roman" w:eastAsia="宋体" w:cs="Times New Roman"/>
          <w:color w:val="auto"/>
          <w:highlight w:val="none"/>
          <w:lang w:val="en-US" w:eastAsia="zh-CN"/>
        </w:rPr>
        <w:t>大于等于90.00%</w:t>
      </w:r>
      <w:r>
        <w:rPr>
          <w:rFonts w:hint="eastAsia" w:ascii="Times New Roman" w:hAnsi="Times New Roman" w:eastAsia="宋体" w:cs="Times New Roman"/>
          <w:color w:val="auto"/>
          <w:highlight w:val="none"/>
        </w:rPr>
        <w:t>。</w:t>
      </w:r>
    </w:p>
    <w:p w14:paraId="57E0B379">
      <w:pPr>
        <w:pStyle w:val="4"/>
        <w:bidi w:val="0"/>
        <w:spacing w:line="360" w:lineRule="auto"/>
        <w:rPr>
          <w:rFonts w:ascii="Times New Roman" w:hAnsi="Times New Roman" w:eastAsia="宋体" w:cs="Times New Roman"/>
          <w:color w:val="auto"/>
          <w:highlight w:val="none"/>
        </w:rPr>
      </w:pPr>
      <w:bookmarkStart w:id="55" w:name="_Toc13970"/>
      <w:bookmarkStart w:id="56" w:name="_Toc10295"/>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、绩效评价工作开展情况</w:t>
      </w:r>
      <w:bookmarkEnd w:id="54"/>
      <w:bookmarkEnd w:id="55"/>
      <w:bookmarkEnd w:id="56"/>
    </w:p>
    <w:p w14:paraId="4F0B0BB2">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57" w:name="_Toc21424"/>
      <w:bookmarkStart w:id="58" w:name="_Toc8283"/>
      <w:bookmarkStart w:id="59" w:name="_Toc27940"/>
      <w:bookmarkStart w:id="60" w:name="_Toc68364661"/>
      <w:r>
        <w:rPr>
          <w:rFonts w:hint="eastAsia" w:ascii="Times New Roman" w:hAnsi="Times New Roman" w:eastAsia="宋体" w:cs="Times New Roman"/>
          <w:color w:val="auto"/>
          <w:highlight w:val="none"/>
        </w:rPr>
        <w:t>（一</w:t>
      </w:r>
      <w:r>
        <w:rPr>
          <w:rFonts w:ascii="Times New Roman" w:hAnsi="Times New Roman" w:eastAsia="宋体" w:cs="Times New Roman"/>
          <w:color w:val="auto"/>
          <w:highlight w:val="none"/>
        </w:rPr>
        <w:t>）绩效评价</w:t>
      </w:r>
      <w:r>
        <w:rPr>
          <w:rFonts w:hint="eastAsia" w:ascii="Times New Roman" w:hAnsi="Times New Roman" w:eastAsia="宋体" w:cs="Times New Roman"/>
          <w:color w:val="auto"/>
          <w:highlight w:val="none"/>
        </w:rPr>
        <w:t>依据</w:t>
      </w:r>
      <w:bookmarkEnd w:id="57"/>
      <w:bookmarkEnd w:id="58"/>
      <w:bookmarkEnd w:id="59"/>
    </w:p>
    <w:p w14:paraId="32877765">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1.</w:t>
      </w:r>
      <w:r>
        <w:rPr>
          <w:rFonts w:hint="default" w:ascii="Times New Roman" w:hAnsi="Times New Roman" w:eastAsia="宋体" w:cs="Times New Roman"/>
          <w:color w:val="auto"/>
          <w:highlight w:val="none"/>
        </w:rPr>
        <w:t>《中华人民共和国预算法》；</w:t>
      </w:r>
    </w:p>
    <w:p w14:paraId="14D53D82">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2.</w:t>
      </w:r>
      <w:r>
        <w:rPr>
          <w:rFonts w:hint="default" w:ascii="Times New Roman" w:hAnsi="Times New Roman" w:eastAsia="宋体" w:cs="Times New Roman"/>
          <w:color w:val="auto"/>
          <w:highlight w:val="none"/>
        </w:rPr>
        <w:t>《中共中央国务院关于全面实施预算绩效管理的意见》（中发〔2018〕34号）；</w:t>
      </w:r>
    </w:p>
    <w:p w14:paraId="35D25645">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3.</w:t>
      </w:r>
      <w:r>
        <w:rPr>
          <w:rFonts w:hint="default" w:ascii="Times New Roman" w:hAnsi="Times New Roman" w:eastAsia="宋体" w:cs="Times New Roman"/>
          <w:color w:val="auto"/>
          <w:highlight w:val="none"/>
        </w:rPr>
        <w:t>《项目支出绩效评价管理办法》（财预〔2020〕10号）；</w:t>
      </w:r>
    </w:p>
    <w:p w14:paraId="5AF2F314">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4.</w:t>
      </w:r>
      <w:r>
        <w:rPr>
          <w:rFonts w:hint="default" w:ascii="Times New Roman" w:hAnsi="Times New Roman" w:eastAsia="宋体" w:cs="Times New Roman"/>
          <w:color w:val="auto"/>
          <w:highlight w:val="none"/>
        </w:rPr>
        <w:t>《自治区党委自治区人民政府关于全面实施预算绩效管理的实施意见》（新党发〔2018〕30号）；</w:t>
      </w:r>
    </w:p>
    <w:p w14:paraId="3BB09B41">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5.</w:t>
      </w:r>
      <w:r>
        <w:rPr>
          <w:rFonts w:hint="default" w:ascii="Times New Roman" w:hAnsi="Times New Roman" w:eastAsia="宋体" w:cs="Times New Roman"/>
          <w:color w:val="auto"/>
          <w:highlight w:val="none"/>
        </w:rPr>
        <w:t>《自治区全面实施预算绩效管理的工作方案》（新财预〔2018〕158号）；</w:t>
      </w:r>
    </w:p>
    <w:p w14:paraId="4BBE60F8">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6.</w:t>
      </w:r>
      <w:r>
        <w:rPr>
          <w:rFonts w:hint="default" w:ascii="Times New Roman" w:hAnsi="Times New Roman" w:eastAsia="宋体" w:cs="Times New Roman"/>
          <w:color w:val="auto"/>
          <w:highlight w:val="none"/>
        </w:rPr>
        <w:t>《自治区财政支出绩效评价管理暂行办法》（新财预〔2018〕189号）；</w:t>
      </w:r>
    </w:p>
    <w:p w14:paraId="1391495E">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7.</w:t>
      </w:r>
      <w:r>
        <w:rPr>
          <w:rFonts w:hint="default" w:ascii="Times New Roman" w:hAnsi="Times New Roman" w:eastAsia="宋体" w:cs="Times New Roman"/>
          <w:color w:val="auto"/>
          <w:highlight w:val="none"/>
        </w:rPr>
        <w:t>《关于委托第三方机构参与预算绩效管理的指导意见》（财预〔2021〕6号）；</w:t>
      </w:r>
    </w:p>
    <w:p w14:paraId="1147112E">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8.</w:t>
      </w:r>
      <w:r>
        <w:rPr>
          <w:rFonts w:hint="default" w:ascii="Times New Roman" w:hAnsi="Times New Roman" w:eastAsia="宋体" w:cs="Times New Roman"/>
          <w:color w:val="auto"/>
          <w:highlight w:val="none"/>
        </w:rPr>
        <w:t>《财政部关于印发〈第三方机构预算绩效评价业务监督管理暂行办法〉的通知》（财监〔2021〕4号）；</w:t>
      </w:r>
    </w:p>
    <w:p w14:paraId="28EFD26C">
      <w:pPr>
        <w:pageBreakBefore w:val="0"/>
        <w:numPr>
          <w:ilvl w:val="0"/>
          <w:numId w:val="0"/>
        </w:numPr>
        <w:kinsoku/>
        <w:wordWrap/>
        <w:overflowPunct/>
        <w:topLinePunct w:val="0"/>
        <w:autoSpaceDE/>
        <w:autoSpaceDN/>
        <w:bidi w:val="0"/>
        <w:snapToGrid w:val="0"/>
        <w:spacing w:before="0" w:after="0" w:line="360" w:lineRule="auto"/>
        <w:ind w:left="0" w:leftChars="0"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2"/>
          <w:sz w:val="21"/>
          <w:szCs w:val="21"/>
          <w:highlight w:val="none"/>
          <w:lang w:val="en-US" w:eastAsia="zh-CN" w:bidi="ar-SA"/>
        </w:rPr>
        <w:t>9.</w:t>
      </w:r>
      <w:r>
        <w:rPr>
          <w:rFonts w:hint="default" w:ascii="Times New Roman" w:hAnsi="Times New Roman" w:eastAsia="宋体" w:cs="Times New Roman"/>
          <w:color w:val="auto"/>
          <w:highlight w:val="none"/>
        </w:rPr>
        <w:t>《关于进一步加强和规范第三方机构参与预算绩效管理的通知》（新财预〔2021〕49号）；</w:t>
      </w:r>
    </w:p>
    <w:p w14:paraId="78D04E1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10.</w:t>
      </w:r>
      <w:r>
        <w:rPr>
          <w:rFonts w:hint="eastAsia" w:ascii="Times New Roman" w:hAnsi="Times New Roman" w:eastAsia="宋体" w:cs="Times New Roman"/>
          <w:color w:val="auto"/>
          <w:highlight w:val="none"/>
        </w:rPr>
        <w:t>国务院办公厅《关于印发&lt;体育强国建设纲要&gt;的通知》（国办发〔2019〕40号）</w:t>
      </w:r>
      <w:r>
        <w:rPr>
          <w:rFonts w:hint="eastAsia" w:ascii="Times New Roman" w:hAnsi="Times New Roman" w:eastAsia="宋体" w:cs="Times New Roman"/>
          <w:color w:val="auto"/>
          <w:highlight w:val="none"/>
          <w:lang w:eastAsia="zh-CN"/>
        </w:rPr>
        <w:t>；</w:t>
      </w:r>
    </w:p>
    <w:p w14:paraId="2CEA768D">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11.</w:t>
      </w:r>
      <w:r>
        <w:rPr>
          <w:rFonts w:hint="eastAsia" w:ascii="Times New Roman" w:hAnsi="Times New Roman" w:eastAsia="宋体" w:cs="Times New Roman"/>
          <w:color w:val="auto"/>
          <w:highlight w:val="none"/>
        </w:rPr>
        <w:t>《“健康中国2030”规划纲要》</w:t>
      </w:r>
      <w:r>
        <w:rPr>
          <w:rFonts w:hint="eastAsia" w:ascii="Times New Roman" w:hAnsi="Times New Roman" w:eastAsia="宋体" w:cs="Times New Roman"/>
          <w:color w:val="auto"/>
          <w:highlight w:val="none"/>
          <w:lang w:eastAsia="zh-CN"/>
        </w:rPr>
        <w:t>；</w:t>
      </w:r>
    </w:p>
    <w:p w14:paraId="090EA65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12.</w:t>
      </w:r>
      <w:r>
        <w:rPr>
          <w:rFonts w:hint="eastAsia" w:ascii="Times New Roman" w:hAnsi="Times New Roman" w:eastAsia="宋体" w:cs="Times New Roman"/>
          <w:color w:val="auto"/>
          <w:highlight w:val="none"/>
        </w:rPr>
        <w:t>《“十四五”时期全民健身设施补短板工程实施方案》</w:t>
      </w:r>
      <w:r>
        <w:rPr>
          <w:rFonts w:hint="eastAsia" w:ascii="Times New Roman" w:hAnsi="Times New Roman" w:eastAsia="宋体" w:cs="Times New Roman"/>
          <w:color w:val="auto"/>
          <w:highlight w:val="none"/>
          <w:lang w:eastAsia="zh-CN"/>
        </w:rPr>
        <w:t>；</w:t>
      </w:r>
    </w:p>
    <w:p w14:paraId="1CA81BD3">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13.</w:t>
      </w:r>
      <w:r>
        <w:rPr>
          <w:rFonts w:hint="eastAsia" w:ascii="Times New Roman" w:hAnsi="Times New Roman" w:eastAsia="宋体" w:cs="Times New Roman"/>
          <w:color w:val="auto"/>
          <w:highlight w:val="none"/>
        </w:rPr>
        <w:t>《关于提前下达2024年中央集中彩票公益金支持体育事业专项资金预算的通知》（伊州财教〔2023〕52 号）</w:t>
      </w:r>
      <w:r>
        <w:rPr>
          <w:rFonts w:hint="eastAsia" w:ascii="Times New Roman" w:hAnsi="Times New Roman" w:eastAsia="宋体" w:cs="Times New Roman"/>
          <w:color w:val="auto"/>
          <w:highlight w:val="none"/>
          <w:lang w:eastAsia="zh-CN"/>
        </w:rPr>
        <w:t>；</w:t>
      </w:r>
    </w:p>
    <w:p w14:paraId="7C2BEA79">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14.《关于伊宁县全民健身场地建设项目选址的审查意见》（伊县自然资函〔2024〕49号）；</w:t>
      </w:r>
    </w:p>
    <w:p w14:paraId="69C86B65">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15.《关于伊宁县全民健身场地建设项目可行性研究报告的批复》（伊县发改字〔2024〕87号）；</w:t>
      </w:r>
    </w:p>
    <w:p w14:paraId="55B18419">
      <w:pPr>
        <w:spacing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16.《伊宁县国民经济和社会发展第十四个五年规划和2035年远景目标纲要》；</w:t>
      </w:r>
    </w:p>
    <w:p w14:paraId="55ECA59F">
      <w:pPr>
        <w:spacing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17.《伊宁县全民健身场地建设项目可行性研究报告》；</w:t>
      </w:r>
    </w:p>
    <w:p w14:paraId="384028C6">
      <w:pPr>
        <w:spacing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18.《伊宁县文化体育广播电视和旅游局财务制度》《伊宁县文化体育广播电视和旅游局采购管理制度》《伊宁县文化体育广播电视和旅游局合同业务管理内控制度》《伊宁县文化体育广播电视和旅游局预算管理制度》；</w:t>
      </w:r>
    </w:p>
    <w:p w14:paraId="6D63C709">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19.项目合同、竣工验收报告、工程结算审核报告等项目资料。</w:t>
      </w:r>
    </w:p>
    <w:p w14:paraId="090080F1">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1" w:name="_Toc30019"/>
      <w:bookmarkStart w:id="62" w:name="_Toc21834"/>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二</w:t>
      </w:r>
      <w:r>
        <w:rPr>
          <w:rFonts w:ascii="Times New Roman" w:hAnsi="Times New Roman" w:eastAsia="宋体" w:cs="Times New Roman"/>
          <w:color w:val="auto"/>
          <w:highlight w:val="none"/>
        </w:rPr>
        <w:t>）绩效评价目的、对象和范围</w:t>
      </w:r>
      <w:bookmarkEnd w:id="60"/>
      <w:bookmarkEnd w:id="61"/>
      <w:bookmarkEnd w:id="62"/>
    </w:p>
    <w:p w14:paraId="5DC5DD66">
      <w:pPr>
        <w:spacing w:before="0" w:after="0" w:line="360" w:lineRule="auto"/>
        <w:ind w:firstLine="664"/>
        <w:rPr>
          <w:rFonts w:hint="default" w:ascii="Times New Roman" w:hAnsi="Times New Roman" w:eastAsia="宋体" w:cs="Times New Roman"/>
          <w:color w:val="auto"/>
          <w:highlight w:val="none"/>
        </w:rPr>
      </w:pPr>
      <w:bookmarkStart w:id="63" w:name="_Toc68364662"/>
      <w:r>
        <w:rPr>
          <w:rFonts w:hint="default" w:ascii="Times New Roman" w:hAnsi="Times New Roman" w:eastAsia="宋体" w:cs="Times New Roman"/>
          <w:color w:val="auto"/>
          <w:highlight w:val="none"/>
        </w:rPr>
        <w:t>1.绩效评价目的</w:t>
      </w:r>
    </w:p>
    <w:p w14:paraId="04A51381">
      <w:pPr>
        <w:spacing w:before="0" w:after="0" w:line="360" w:lineRule="auto"/>
        <w:ind w:firstLine="664"/>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本次</w:t>
      </w:r>
      <w:r>
        <w:rPr>
          <w:rFonts w:hint="default" w:ascii="Times New Roman" w:hAnsi="Times New Roman" w:eastAsia="宋体" w:cs="Times New Roman"/>
          <w:color w:val="auto"/>
          <w:highlight w:val="none"/>
        </w:rPr>
        <w:t>绩效评价的目的是为全面了解该项目预算编</w:t>
      </w:r>
      <w:r>
        <w:rPr>
          <w:rFonts w:hint="eastAsia" w:ascii="Times New Roman" w:hAnsi="Times New Roman" w:eastAsia="宋体" w:cs="Times New Roman"/>
          <w:color w:val="auto"/>
          <w:highlight w:val="none"/>
          <w:lang w:eastAsia="zh-CN"/>
        </w:rPr>
        <w:t>制的</w:t>
      </w:r>
      <w:r>
        <w:rPr>
          <w:rFonts w:hint="default" w:ascii="Times New Roman" w:hAnsi="Times New Roman" w:eastAsia="宋体"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152FA12B">
      <w:pPr>
        <w:spacing w:before="0" w:after="0" w:line="360" w:lineRule="auto"/>
        <w:ind w:firstLine="664"/>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rPr>
        <w:t>2.绩效评价对象</w:t>
      </w:r>
      <w:r>
        <w:rPr>
          <w:rFonts w:hint="eastAsia" w:ascii="Times New Roman" w:hAnsi="Times New Roman" w:eastAsia="宋体" w:cs="Times New Roman"/>
          <w:color w:val="auto"/>
          <w:highlight w:val="none"/>
          <w:lang w:val="en-US" w:eastAsia="zh-CN"/>
        </w:rPr>
        <w:t>及范围</w:t>
      </w:r>
    </w:p>
    <w:p w14:paraId="51A4A3B6">
      <w:pPr>
        <w:spacing w:before="0" w:after="0" w:line="360" w:lineRule="auto"/>
        <w:ind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本次绩效评价的对象为</w:t>
      </w:r>
      <w:r>
        <w:rPr>
          <w:rFonts w:hint="eastAsia" w:ascii="Times New Roman" w:hAnsi="Times New Roman" w:eastAsia="宋体" w:cs="Times New Roman"/>
          <w:color w:val="auto"/>
          <w:highlight w:val="none"/>
          <w:lang w:val="en-US" w:eastAsia="zh-CN"/>
        </w:rPr>
        <w:t>伊宁县全民健身场地设施项目</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主要对该项目的</w:t>
      </w:r>
      <w:r>
        <w:rPr>
          <w:rFonts w:hint="default" w:ascii="Times New Roman" w:hAnsi="Times New Roman" w:eastAsia="宋体" w:cs="Times New Roman"/>
          <w:color w:val="auto"/>
          <w:highlight w:val="none"/>
        </w:rPr>
        <w:t>决策情况、资金管理</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使用情况</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相关管理制度办法的健全性及执行情况、实现的产出情况、取得的效益情况以及其他相关内容。</w:t>
      </w:r>
    </w:p>
    <w:p w14:paraId="31FAA923">
      <w:pPr>
        <w:spacing w:before="0" w:after="0" w:line="360" w:lineRule="auto"/>
        <w:ind w:firstLine="664"/>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3.</w:t>
      </w:r>
      <w:r>
        <w:rPr>
          <w:rFonts w:hint="default" w:ascii="Times New Roman" w:hAnsi="Times New Roman" w:eastAsia="宋体" w:cs="Times New Roman"/>
          <w:color w:val="auto"/>
          <w:highlight w:val="none"/>
        </w:rPr>
        <w:t>绩效评价时段</w:t>
      </w:r>
    </w:p>
    <w:p w14:paraId="2B267E61">
      <w:pPr>
        <w:spacing w:before="0" w:after="0" w:line="360" w:lineRule="auto"/>
        <w:ind w:firstLine="664"/>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本次绩效评价评价时段为</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Cs/>
          <w:color w:val="auto"/>
          <w:highlight w:val="none"/>
          <w:lang w:eastAsia="zh-CN"/>
        </w:rPr>
        <w:t>202</w:t>
      </w:r>
      <w:r>
        <w:rPr>
          <w:rFonts w:hint="eastAsia" w:ascii="Times New Roman" w:hAnsi="Times New Roman" w:eastAsia="宋体" w:cs="Times New Roman"/>
          <w:bCs/>
          <w:color w:val="auto"/>
          <w:highlight w:val="none"/>
          <w:lang w:val="en-US" w:eastAsia="zh-CN"/>
        </w:rPr>
        <w:t>4</w:t>
      </w:r>
      <w:r>
        <w:rPr>
          <w:rFonts w:hint="eastAsia" w:ascii="Times New Roman" w:hAnsi="Times New Roman" w:eastAsia="宋体" w:cs="Times New Roman"/>
          <w:bCs/>
          <w:color w:val="auto"/>
          <w:highlight w:val="none"/>
          <w:lang w:eastAsia="zh-CN"/>
        </w:rPr>
        <w:t>年</w:t>
      </w:r>
      <w:r>
        <w:rPr>
          <w:rFonts w:hint="eastAsia" w:ascii="Times New Roman" w:hAnsi="Times New Roman" w:eastAsia="宋体" w:cs="Times New Roman"/>
          <w:bCs/>
          <w:color w:val="auto"/>
          <w:highlight w:val="none"/>
        </w:rPr>
        <w:t>1</w:t>
      </w:r>
      <w:r>
        <w:rPr>
          <w:rFonts w:hint="eastAsia" w:ascii="Times New Roman" w:hAnsi="Times New Roman" w:eastAsia="宋体" w:cs="Times New Roman"/>
          <w:bCs/>
          <w:color w:val="auto"/>
          <w:highlight w:val="none"/>
          <w:lang w:eastAsia="zh-CN"/>
        </w:rPr>
        <w:t>月</w:t>
      </w:r>
      <w:r>
        <w:rPr>
          <w:rFonts w:hint="eastAsia" w:ascii="Times New Roman" w:hAnsi="Times New Roman" w:eastAsia="宋体" w:cs="Times New Roman"/>
          <w:bCs/>
          <w:color w:val="auto"/>
          <w:highlight w:val="none"/>
        </w:rPr>
        <w:t>1</w:t>
      </w:r>
      <w:r>
        <w:rPr>
          <w:rFonts w:hint="eastAsia" w:ascii="Times New Roman" w:hAnsi="Times New Roman" w:eastAsia="宋体" w:cs="Times New Roman"/>
          <w:bCs/>
          <w:color w:val="auto"/>
          <w:highlight w:val="none"/>
          <w:lang w:eastAsia="zh-CN"/>
        </w:rPr>
        <w:t>日至202</w:t>
      </w:r>
      <w:r>
        <w:rPr>
          <w:rFonts w:hint="eastAsia" w:ascii="Times New Roman" w:hAnsi="Times New Roman" w:eastAsia="宋体" w:cs="Times New Roman"/>
          <w:bCs/>
          <w:color w:val="auto"/>
          <w:highlight w:val="none"/>
          <w:lang w:val="en-US" w:eastAsia="zh-CN"/>
        </w:rPr>
        <w:t>4</w:t>
      </w:r>
      <w:r>
        <w:rPr>
          <w:rFonts w:hint="eastAsia" w:ascii="Times New Roman" w:hAnsi="Times New Roman" w:eastAsia="宋体" w:cs="Times New Roman"/>
          <w:bCs/>
          <w:color w:val="auto"/>
          <w:highlight w:val="none"/>
          <w:lang w:eastAsia="zh-CN"/>
        </w:rPr>
        <w:t>年</w:t>
      </w:r>
      <w:r>
        <w:rPr>
          <w:rFonts w:hint="eastAsia" w:ascii="Times New Roman" w:hAnsi="Times New Roman" w:eastAsia="宋体" w:cs="Times New Roman"/>
          <w:bCs/>
          <w:color w:val="auto"/>
          <w:highlight w:val="none"/>
        </w:rPr>
        <w:t>12</w:t>
      </w:r>
      <w:r>
        <w:rPr>
          <w:rFonts w:hint="eastAsia" w:ascii="Times New Roman" w:hAnsi="Times New Roman" w:eastAsia="宋体" w:cs="Times New Roman"/>
          <w:bCs/>
          <w:color w:val="auto"/>
          <w:highlight w:val="none"/>
          <w:lang w:eastAsia="zh-CN"/>
        </w:rPr>
        <w:t>月</w:t>
      </w:r>
      <w:r>
        <w:rPr>
          <w:rFonts w:hint="eastAsia" w:ascii="Times New Roman" w:hAnsi="Times New Roman" w:eastAsia="宋体" w:cs="Times New Roman"/>
          <w:bCs/>
          <w:color w:val="auto"/>
          <w:highlight w:val="none"/>
        </w:rPr>
        <w:t>3</w:t>
      </w:r>
      <w:r>
        <w:rPr>
          <w:rFonts w:hint="eastAsia" w:ascii="Times New Roman" w:hAnsi="Times New Roman" w:eastAsia="宋体" w:cs="Times New Roman"/>
          <w:bCs/>
          <w:color w:val="auto"/>
          <w:highlight w:val="none"/>
          <w:lang w:val="en-US" w:eastAsia="zh-CN"/>
        </w:rPr>
        <w:t>1</w:t>
      </w:r>
      <w:r>
        <w:rPr>
          <w:rFonts w:hint="eastAsia" w:ascii="Times New Roman" w:hAnsi="Times New Roman" w:eastAsia="宋体" w:cs="Times New Roman"/>
          <w:bCs/>
          <w:color w:val="auto"/>
          <w:highlight w:val="none"/>
          <w:lang w:eastAsia="zh-CN"/>
        </w:rPr>
        <w:t>日</w:t>
      </w:r>
      <w:r>
        <w:rPr>
          <w:rFonts w:hint="default" w:ascii="Times New Roman" w:hAnsi="Times New Roman" w:eastAsia="宋体" w:cs="Times New Roman"/>
          <w:color w:val="auto"/>
          <w:highlight w:val="none"/>
        </w:rPr>
        <w:t>。</w:t>
      </w:r>
    </w:p>
    <w:p w14:paraId="5613D351">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4" w:name="_Toc24449"/>
      <w:bookmarkStart w:id="65" w:name="_Toc20939"/>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三</w:t>
      </w:r>
      <w:r>
        <w:rPr>
          <w:rFonts w:ascii="Times New Roman" w:hAnsi="Times New Roman" w:eastAsia="宋体" w:cs="Times New Roman"/>
          <w:color w:val="auto"/>
          <w:highlight w:val="none"/>
        </w:rPr>
        <w:t>）绩效评价原则</w:t>
      </w:r>
      <w:bookmarkEnd w:id="63"/>
      <w:bookmarkEnd w:id="64"/>
      <w:bookmarkEnd w:id="65"/>
    </w:p>
    <w:p w14:paraId="38B143F8">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本次绩效评价遵循的原则包括：</w:t>
      </w:r>
    </w:p>
    <w:p w14:paraId="514E6F1C">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（1）独立性原则：在评价工作中保持充分的第三方独立性，不受其他第三方不当干预。</w:t>
      </w:r>
    </w:p>
    <w:p w14:paraId="5C80B3AF">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（2）客观性原则：第三方机构应当按照协议（合同）约定事项开展绩效评价，以客观事实为依据，实事求是地向委托方提供服务。</w:t>
      </w:r>
    </w:p>
    <w:p w14:paraId="5CA546AE">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（3）科学性原则。第三方机构应当履行必要评价程序，对原始资料进行核查验证，选择一种或多种方法进行对比分析，形成结论并出具评价报告。</w:t>
      </w:r>
    </w:p>
    <w:p w14:paraId="5DFA9377">
      <w:pPr>
        <w:spacing w:before="0" w:after="0" w:line="360" w:lineRule="auto"/>
        <w:ind w:firstLine="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（4）公正性原则：在评价过程中坚持公正、客观地反映实际情况，不隐瞒、弄虚作假。</w:t>
      </w:r>
    </w:p>
    <w:p w14:paraId="16C0A28D">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6" w:name="_Toc29641"/>
      <w:bookmarkStart w:id="67" w:name="_Toc17174"/>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绩效评价标准</w:t>
      </w:r>
      <w:bookmarkEnd w:id="66"/>
      <w:bookmarkEnd w:id="67"/>
    </w:p>
    <w:p w14:paraId="2C45809B">
      <w:pPr>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绩效评价标准通常包括计划标准、行业标准、历史标准等。</w:t>
      </w:r>
      <w:r>
        <w:rPr>
          <w:rFonts w:hint="eastAsia" w:ascii="Times New Roman" w:hAnsi="Times New Roman" w:eastAsia="宋体" w:cs="Times New Roman"/>
          <w:color w:val="auto"/>
          <w:highlight w:val="none"/>
        </w:rPr>
        <w:t>本次绩效评价采用计划标准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行业标准</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本次绩效评价优先参照国家公布的行业指标数据制定的评价标准</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无行业标准的</w:t>
      </w:r>
      <w:r>
        <w:rPr>
          <w:rFonts w:hint="eastAsia" w:ascii="Times New Roman" w:hAnsi="Times New Roman" w:eastAsia="宋体" w:cs="Times New Roman"/>
          <w:color w:val="auto"/>
          <w:highlight w:val="none"/>
        </w:rPr>
        <w:t>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23788721">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68" w:name="_Toc23002"/>
      <w:bookmarkStart w:id="69" w:name="_Toc13568"/>
      <w:r>
        <w:rPr>
          <w:rFonts w:hint="eastAsia" w:ascii="Times New Roman" w:hAnsi="Times New Roman" w:eastAsia="宋体" w:cs="Times New Roman"/>
          <w:color w:val="auto"/>
          <w:highlight w:val="none"/>
        </w:rPr>
        <w:t>（五）</w:t>
      </w:r>
      <w:r>
        <w:rPr>
          <w:rFonts w:ascii="Times New Roman" w:hAnsi="Times New Roman" w:eastAsia="宋体" w:cs="Times New Roman"/>
          <w:color w:val="auto"/>
          <w:highlight w:val="none"/>
        </w:rPr>
        <w:t>绩效评价方法</w:t>
      </w:r>
      <w:bookmarkEnd w:id="68"/>
      <w:bookmarkEnd w:id="69"/>
    </w:p>
    <w:p w14:paraId="40D441B7">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正确的评价方法是评价工作顺利</w:t>
      </w:r>
      <w:r>
        <w:rPr>
          <w:rFonts w:hint="eastAsia" w:ascii="Times New Roman" w:hAnsi="Times New Roman" w:eastAsia="宋体" w:cs="Times New Roman"/>
          <w:b w:val="0"/>
          <w:bCs w:val="0"/>
          <w:color w:val="auto"/>
          <w:highlight w:val="none"/>
        </w:rPr>
        <w:t>开展的保障，在结合实际经验的情况下，绩效评价小组根据该项目资金的性质和特点，选用比较法、因素分析法、公众评判法以及文献法</w:t>
      </w:r>
      <w:r>
        <w:rPr>
          <w:rFonts w:hint="eastAsia" w:ascii="Times New Roman" w:hAnsi="Times New Roman" w:eastAsia="宋体" w:cs="Times New Roman"/>
          <w:color w:val="auto"/>
          <w:highlight w:val="none"/>
        </w:rPr>
        <w:t>对项目进行评价，旨在通过综合分析影响绩效目标实现、实施效果的内外部因素，从而评价该项目绩效。</w:t>
      </w:r>
    </w:p>
    <w:p w14:paraId="40E8C9DB">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（1）项目决策类指标评价方法</w:t>
      </w:r>
    </w:p>
    <w:p w14:paraId="68C133A4">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立项依据充分性：比较法和文献法，查找法律法规政策以及规划，对比实际执行内容和政策支持内容是否匹配，分析立项依据充分性。</w:t>
      </w:r>
    </w:p>
    <w:p w14:paraId="28837751">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立项程序规范性：比较法和文献法，查找相关项目设立的政策和文件要求，对比分析实际执行程序是否按照政策及文件要求执行，分析立项程序的规范性。</w:t>
      </w:r>
    </w:p>
    <w:p w14:paraId="4C30A887">
      <w:pPr>
        <w:spacing w:before="0" w:after="0"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绩效目标合理性：文献法和因素分析法，对比分析年初编制项目支出绩效目标表与项目内容的相关性、资金的匹配性等。</w:t>
      </w:r>
    </w:p>
    <w:p w14:paraId="2EB9F87B">
      <w:pPr>
        <w:pStyle w:val="6"/>
        <w:spacing w:line="360" w:lineRule="auto"/>
        <w:rPr>
          <w:rFonts w:hint="eastAsia" w:ascii="Times New Roman" w:hAnsi="Times New Roman" w:eastAsia="宋体" w:cs="Times New Roman"/>
          <w:b w:val="0"/>
          <w:bCs w:val="0"/>
          <w:color w:val="auto"/>
          <w:highlight w:val="none"/>
        </w:rPr>
      </w:pPr>
      <w:r>
        <w:rPr>
          <w:rFonts w:hint="eastAsia" w:ascii="Times New Roman" w:hAnsi="Times New Roman" w:eastAsia="宋体" w:cs="Times New Roman"/>
          <w:b w:val="0"/>
          <w:bCs w:val="0"/>
          <w:color w:val="auto"/>
          <w:highlight w:val="none"/>
          <w:lang w:val="en-US" w:eastAsia="zh-CN"/>
        </w:rPr>
        <w:t>绩效指标明确性：</w:t>
      </w:r>
      <w:r>
        <w:rPr>
          <w:rFonts w:hint="eastAsia" w:ascii="Times New Roman" w:hAnsi="Times New Roman" w:eastAsia="宋体" w:cs="Times New Roman"/>
          <w:b w:val="0"/>
          <w:bCs w:val="0"/>
          <w:color w:val="auto"/>
          <w:highlight w:val="none"/>
        </w:rPr>
        <w:t>文献法和因素分析法，对比分析年初编制项目支出绩效目标表与项目内容的相关性</w:t>
      </w:r>
      <w:r>
        <w:rPr>
          <w:rFonts w:hint="eastAsia" w:ascii="Times New Roman" w:hAnsi="Times New Roman" w:eastAsia="宋体" w:cs="Times New Roman"/>
          <w:b w:val="0"/>
          <w:bCs w:val="0"/>
          <w:color w:val="auto"/>
          <w:highlight w:val="none"/>
          <w:lang w:eastAsia="zh-CN"/>
        </w:rPr>
        <w:t>，</w:t>
      </w:r>
      <w:r>
        <w:rPr>
          <w:rFonts w:hint="eastAsia" w:ascii="Times New Roman" w:hAnsi="Times New Roman" w:eastAsia="宋体" w:cs="Times New Roman"/>
          <w:b w:val="0"/>
          <w:bCs w:val="0"/>
          <w:color w:val="auto"/>
          <w:highlight w:val="none"/>
        </w:rPr>
        <w:t>绩效指标指向</w:t>
      </w:r>
      <w:r>
        <w:rPr>
          <w:rFonts w:hint="eastAsia" w:ascii="Times New Roman" w:hAnsi="Times New Roman" w:eastAsia="宋体" w:cs="Times New Roman"/>
          <w:b w:val="0"/>
          <w:bCs w:val="0"/>
          <w:color w:val="auto"/>
          <w:highlight w:val="none"/>
          <w:lang w:val="en-US" w:eastAsia="zh-CN"/>
        </w:rPr>
        <w:t>是否</w:t>
      </w:r>
      <w:r>
        <w:rPr>
          <w:rFonts w:hint="eastAsia" w:ascii="Times New Roman" w:hAnsi="Times New Roman" w:eastAsia="宋体" w:cs="Times New Roman"/>
          <w:b w:val="0"/>
          <w:bCs w:val="0"/>
          <w:color w:val="auto"/>
          <w:highlight w:val="none"/>
        </w:rPr>
        <w:t>明确，可通过清晰、可衡量的指标予以体现，指标设置清晰准确等。</w:t>
      </w:r>
    </w:p>
    <w:p w14:paraId="5389278D">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预算编制科学性：比较法和因素分析法，项目预算编制是否经过科学论证、有明确标准，资金额度与年度目标是否相适应，用以反映和考核项目预算编制的科学性、合理性情况。</w:t>
      </w:r>
    </w:p>
    <w:p w14:paraId="04E1BE00">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资金分配合理性：因素分析法，综合分析资金的分配依据是否充分，分配金额是否与项目实施单位需求金额一致。</w:t>
      </w:r>
    </w:p>
    <w:p w14:paraId="6191BD45">
      <w:pPr>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（2）项目过程类指标评价方法</w:t>
      </w:r>
    </w:p>
    <w:p w14:paraId="20A5504B">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资金到位率：比较法和因素分析法，项目是否完成且资金到位数满足年度预算规模需求；项目尚未完成，分析实际完成值和预期指标值之间的差距和原因。</w:t>
      </w:r>
    </w:p>
    <w:p w14:paraId="15889B78">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预算执行率：比较法和因素分析法，项目是否完成且执行数控制在年度预算规模之内的；项目尚未完成，并分析实际完成值和预期指标值之间的差距和原因。</w:t>
      </w:r>
    </w:p>
    <w:p w14:paraId="2FF53D00">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资金使用合规性：比较法</w:t>
      </w:r>
      <w:r>
        <w:rPr>
          <w:rFonts w:hint="eastAsia" w:ascii="Times New Roman" w:hAnsi="Times New Roman" w:eastAsia="宋体" w:cs="Times New Roman"/>
          <w:color w:val="auto"/>
          <w:highlight w:val="none"/>
          <w:lang w:val="en-US" w:eastAsia="zh-CN"/>
        </w:rPr>
        <w:t>和</w:t>
      </w:r>
      <w:r>
        <w:rPr>
          <w:rFonts w:hint="eastAsia" w:ascii="Times New Roman" w:hAnsi="Times New Roman" w:eastAsia="宋体" w:cs="Times New Roman"/>
          <w:color w:val="auto"/>
          <w:highlight w:val="none"/>
        </w:rPr>
        <w:t>因素分析法，通过实地调研，检查项目资金使用情况，对比专项资金管理办法要求，分析资金使用合规性。</w:t>
      </w:r>
    </w:p>
    <w:p w14:paraId="1ADEAFF2">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管理制度健全性：</w:t>
      </w:r>
      <w:r>
        <w:rPr>
          <w:rFonts w:hint="default" w:ascii="Times New Roman" w:hAnsi="Times New Roman" w:eastAsia="宋体" w:cs="Times New Roman"/>
          <w:color w:val="auto"/>
          <w:sz w:val="21"/>
          <w:szCs w:val="21"/>
          <w:highlight w:val="none"/>
        </w:rPr>
        <w:t>比较法、文献法和因素分析法等，通过实地调研，检查项目资金使用情况，对比专项资金管理办法要求，分析资金使用合规性</w:t>
      </w:r>
      <w:r>
        <w:rPr>
          <w:rFonts w:hint="eastAsia" w:ascii="Times New Roman" w:hAnsi="Times New Roman" w:eastAsia="宋体" w:cs="Times New Roman"/>
          <w:color w:val="auto"/>
          <w:highlight w:val="none"/>
        </w:rPr>
        <w:t>。</w:t>
      </w:r>
    </w:p>
    <w:p w14:paraId="6A05414D">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制度执行有效性：</w:t>
      </w:r>
      <w:r>
        <w:rPr>
          <w:rFonts w:hint="default" w:ascii="Times New Roman" w:hAnsi="Times New Roman" w:eastAsia="宋体" w:cs="Times New Roman"/>
          <w:color w:val="auto"/>
          <w:sz w:val="21"/>
          <w:szCs w:val="21"/>
          <w:highlight w:val="none"/>
        </w:rPr>
        <w:t>比较法</w:t>
      </w:r>
      <w:r>
        <w:rPr>
          <w:rFonts w:hint="default" w:ascii="Times New Roman" w:hAnsi="Times New Roman" w:eastAsia="宋体" w:cs="Times New Roman"/>
          <w:color w:val="auto"/>
          <w:sz w:val="21"/>
          <w:szCs w:val="21"/>
          <w:highlight w:val="none"/>
          <w:lang w:val="en-US" w:eastAsia="zh-CN"/>
        </w:rPr>
        <w:t>和</w:t>
      </w:r>
      <w:r>
        <w:rPr>
          <w:rFonts w:hint="default" w:ascii="Times New Roman" w:hAnsi="Times New Roman" w:eastAsia="宋体" w:cs="Times New Roman"/>
          <w:color w:val="auto"/>
          <w:sz w:val="21"/>
          <w:szCs w:val="21"/>
          <w:highlight w:val="none"/>
        </w:rPr>
        <w:t>因素分析法，</w:t>
      </w:r>
      <w:r>
        <w:rPr>
          <w:rFonts w:hint="default" w:ascii="Times New Roman" w:hAnsi="Times New Roman" w:eastAsia="宋体" w:cs="Times New Roman"/>
          <w:color w:val="auto"/>
          <w:sz w:val="21"/>
          <w:szCs w:val="21"/>
          <w:highlight w:val="none"/>
          <w:lang w:val="en-US" w:eastAsia="zh-CN"/>
        </w:rPr>
        <w:t>项目</w:t>
      </w:r>
      <w:r>
        <w:rPr>
          <w:rFonts w:hint="default" w:ascii="Times New Roman" w:hAnsi="Times New Roman" w:eastAsia="宋体" w:cs="Times New Roman"/>
          <w:color w:val="auto"/>
          <w:sz w:val="21"/>
          <w:szCs w:val="21"/>
          <w:highlight w:val="none"/>
        </w:rPr>
        <w:t>是否已制定或具有相应的财务和业务管理制度；财务和业务管理制度是否</w:t>
      </w:r>
      <w:r>
        <w:rPr>
          <w:rFonts w:hint="default" w:ascii="Times New Roman" w:hAnsi="Times New Roman" w:eastAsia="宋体" w:cs="Times New Roman"/>
          <w:color w:val="auto"/>
          <w:sz w:val="21"/>
          <w:szCs w:val="21"/>
          <w:highlight w:val="none"/>
          <w:lang w:val="en-US" w:eastAsia="zh-CN"/>
        </w:rPr>
        <w:t>健全</w:t>
      </w:r>
      <w:r>
        <w:rPr>
          <w:rFonts w:hint="default" w:ascii="Times New Roman" w:hAnsi="Times New Roman" w:eastAsia="宋体" w:cs="Times New Roman"/>
          <w:color w:val="auto"/>
          <w:highlight w:val="none"/>
          <w:lang w:val="en-US" w:eastAsia="zh-CN"/>
        </w:rPr>
        <w:t>。</w:t>
      </w:r>
    </w:p>
    <w:p w14:paraId="568655BA">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（3）项目产出类指标评价方法</w:t>
      </w:r>
    </w:p>
    <w:p w14:paraId="1857A3C1">
      <w:pPr>
        <w:bidi w:val="0"/>
        <w:spacing w:before="0" w:after="0" w:line="360" w:lineRule="auto"/>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rPr>
        <w:t>新建建设五人制笼式足球场工程量</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kern w:val="0"/>
          <w:sz w:val="21"/>
          <w:szCs w:val="21"/>
          <w:highlight w:val="none"/>
          <w:lang w:val="en-US" w:eastAsia="zh-CN" w:bidi="ar"/>
        </w:rPr>
        <w:t>比较法，</w:t>
      </w:r>
      <w:r>
        <w:rPr>
          <w:rFonts w:hint="default" w:ascii="Times New Roman" w:hAnsi="Times New Roman" w:eastAsia="宋体" w:cs="Times New Roman"/>
          <w:color w:val="auto"/>
          <w:sz w:val="21"/>
          <w:szCs w:val="21"/>
          <w:highlight w:val="none"/>
        </w:rPr>
        <w:t>通过对实际完成值和预期指标值</w:t>
      </w:r>
      <w:r>
        <w:rPr>
          <w:rFonts w:hint="default" w:ascii="Times New Roman" w:hAnsi="Times New Roman" w:eastAsia="宋体" w:cs="Times New Roman"/>
          <w:color w:val="auto"/>
          <w:sz w:val="21"/>
          <w:szCs w:val="21"/>
          <w:highlight w:val="none"/>
          <w:lang w:val="en-US" w:eastAsia="zh-CN"/>
        </w:rPr>
        <w:t>进行</w:t>
      </w:r>
      <w:r>
        <w:rPr>
          <w:rFonts w:hint="default" w:ascii="Times New Roman" w:hAnsi="Times New Roman" w:eastAsia="宋体" w:cs="Times New Roman"/>
          <w:color w:val="auto"/>
          <w:sz w:val="21"/>
          <w:szCs w:val="21"/>
          <w:highlight w:val="none"/>
        </w:rPr>
        <w:t>对比分析，</w:t>
      </w:r>
      <w:r>
        <w:rPr>
          <w:rFonts w:hint="default" w:ascii="Times New Roman" w:hAnsi="Times New Roman" w:eastAsia="宋体" w:cs="Times New Roman"/>
          <w:color w:val="auto"/>
          <w:kern w:val="0"/>
          <w:sz w:val="21"/>
          <w:szCs w:val="21"/>
          <w:highlight w:val="none"/>
          <w:lang w:val="en-US" w:eastAsia="zh-CN" w:bidi="ar"/>
        </w:rPr>
        <w:t>考核项目是否按要求完成</w:t>
      </w:r>
      <w:r>
        <w:rPr>
          <w:rFonts w:hint="eastAsia" w:ascii="Times New Roman" w:hAnsi="Times New Roman" w:eastAsia="宋体" w:cs="Times New Roman"/>
          <w:color w:val="auto"/>
          <w:highlight w:val="none"/>
        </w:rPr>
        <w:t>新建建设五人制笼式足球场工程量</w:t>
      </w:r>
      <w:r>
        <w:rPr>
          <w:rFonts w:hint="default" w:ascii="Times New Roman" w:hAnsi="Times New Roman" w:eastAsia="宋体" w:cs="Times New Roman"/>
          <w:color w:val="auto"/>
          <w:kern w:val="0"/>
          <w:sz w:val="21"/>
          <w:szCs w:val="21"/>
          <w:highlight w:val="none"/>
          <w:lang w:val="en-US" w:eastAsia="zh-CN" w:bidi="ar"/>
        </w:rPr>
        <w:t>的预期目标；若预期目标未达成，</w:t>
      </w:r>
      <w:r>
        <w:rPr>
          <w:rFonts w:hint="default" w:ascii="Times New Roman" w:hAnsi="Times New Roman" w:eastAsia="宋体" w:cs="Times New Roman"/>
          <w:color w:val="auto"/>
          <w:sz w:val="21"/>
          <w:szCs w:val="21"/>
          <w:highlight w:val="none"/>
        </w:rPr>
        <w:t>分析实际完成值和预期指标值之间的差距和原因</w:t>
      </w:r>
      <w:r>
        <w:rPr>
          <w:rFonts w:hint="default" w:ascii="Times New Roman" w:hAnsi="Times New Roman" w:eastAsia="宋体" w:cs="Times New Roman"/>
          <w:color w:val="auto"/>
          <w:sz w:val="21"/>
          <w:szCs w:val="21"/>
          <w:highlight w:val="none"/>
          <w:lang w:eastAsia="zh-CN"/>
        </w:rPr>
        <w:t>。</w:t>
      </w:r>
    </w:p>
    <w:p w14:paraId="6B6E6F1C">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color w:val="auto"/>
          <w:highlight w:val="none"/>
          <w:lang w:val="en-US" w:eastAsia="zh-CN"/>
        </w:rPr>
      </w:pPr>
      <w:r>
        <w:rPr>
          <w:rFonts w:ascii="Times New Roman" w:hAnsi="Times New Roman" w:eastAsia="宋体" w:cs="Times New Roman"/>
          <w:color w:val="auto"/>
          <w:highlight w:val="none"/>
        </w:rPr>
        <w:t>新建</w:t>
      </w:r>
      <w:r>
        <w:rPr>
          <w:rFonts w:hint="eastAsia" w:ascii="Times New Roman" w:hAnsi="Times New Roman" w:eastAsia="宋体" w:cs="Times New Roman"/>
          <w:color w:val="auto"/>
          <w:kern w:val="2"/>
          <w:sz w:val="21"/>
          <w:szCs w:val="22"/>
          <w:highlight w:val="none"/>
          <w:lang w:val="en-US" w:eastAsia="zh-CN" w:bidi="ar-SA"/>
        </w:rPr>
        <w:t>标准篮球场</w:t>
      </w:r>
      <w:r>
        <w:rPr>
          <w:rFonts w:hint="eastAsia" w:ascii="Times New Roman" w:hAnsi="Times New Roman" w:eastAsia="宋体" w:cs="Times New Roman"/>
          <w:color w:val="auto"/>
          <w:highlight w:val="none"/>
          <w:lang w:val="en-US" w:eastAsia="zh-CN"/>
        </w:rPr>
        <w:t>工程量：</w:t>
      </w:r>
      <w:r>
        <w:rPr>
          <w:rFonts w:hint="default" w:ascii="Times New Roman" w:hAnsi="Times New Roman" w:eastAsia="宋体" w:cs="Times New Roman"/>
          <w:color w:val="auto"/>
          <w:kern w:val="0"/>
          <w:sz w:val="21"/>
          <w:szCs w:val="21"/>
          <w:highlight w:val="none"/>
          <w:lang w:val="en-US" w:eastAsia="zh-CN" w:bidi="ar"/>
        </w:rPr>
        <w:t>比较法，通过对</w:t>
      </w:r>
      <w:r>
        <w:rPr>
          <w:rFonts w:hint="default"/>
          <w:color w:val="auto"/>
          <w:sz w:val="21"/>
          <w:szCs w:val="21"/>
          <w:highlight w:val="none"/>
          <w:lang w:val="en-US" w:eastAsia="zh-CN"/>
        </w:rPr>
        <w:t>《工程竣工验收记录表》</w:t>
      </w:r>
      <w:r>
        <w:rPr>
          <w:rFonts w:hint="eastAsia"/>
          <w:color w:val="auto"/>
          <w:sz w:val="21"/>
          <w:szCs w:val="21"/>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实际完成值和</w:t>
      </w:r>
      <w:r>
        <w:rPr>
          <w:rFonts w:hint="eastAsia" w:ascii="Times New Roman" w:hAnsi="Times New Roman" w:eastAsia="宋体" w:cs="Times New Roman"/>
          <w:color w:val="auto"/>
          <w:highlight w:val="none"/>
        </w:rPr>
        <w:t>《关于伊宁全民健身场地建设项目可行性研究报告的批复》（伊县发改字〔2024〕87号）</w:t>
      </w:r>
      <w:r>
        <w:rPr>
          <w:rFonts w:hint="eastAsia" w:eastAsia="宋体" w:cs="Times New Roman"/>
          <w:color w:val="auto"/>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预期指标值进行对比分析，考核项目是否按要求完成</w:t>
      </w:r>
      <w:r>
        <w:rPr>
          <w:rFonts w:ascii="Times New Roman" w:hAnsi="Times New Roman" w:eastAsia="宋体" w:cs="Times New Roman"/>
          <w:color w:val="auto"/>
          <w:highlight w:val="none"/>
        </w:rPr>
        <w:t>新建</w:t>
      </w:r>
      <w:r>
        <w:rPr>
          <w:rFonts w:hint="eastAsia" w:ascii="Times New Roman" w:hAnsi="Times New Roman" w:eastAsia="宋体" w:cs="Times New Roman"/>
          <w:color w:val="auto"/>
          <w:kern w:val="2"/>
          <w:sz w:val="21"/>
          <w:szCs w:val="22"/>
          <w:highlight w:val="none"/>
          <w:lang w:val="en-US" w:eastAsia="zh-CN" w:bidi="ar-SA"/>
        </w:rPr>
        <w:t>标准篮球场</w:t>
      </w:r>
      <w:r>
        <w:rPr>
          <w:rFonts w:hint="eastAsia" w:ascii="Times New Roman" w:hAnsi="Times New Roman" w:eastAsia="宋体" w:cs="Times New Roman"/>
          <w:color w:val="auto"/>
          <w:highlight w:val="none"/>
          <w:lang w:val="en-US" w:eastAsia="zh-CN"/>
        </w:rPr>
        <w:t>工程量</w:t>
      </w:r>
      <w:r>
        <w:rPr>
          <w:rFonts w:hint="default" w:ascii="Times New Roman" w:hAnsi="Times New Roman" w:eastAsia="宋体" w:cs="Times New Roman"/>
          <w:color w:val="auto"/>
          <w:kern w:val="0"/>
          <w:sz w:val="21"/>
          <w:szCs w:val="21"/>
          <w:highlight w:val="none"/>
          <w:lang w:val="en-US" w:eastAsia="zh-CN" w:bidi="ar"/>
        </w:rPr>
        <w:t>的预期目标；若预期目标未达成，分析实际完成值和预期指标值之间的差距和原因。</w:t>
      </w:r>
    </w:p>
    <w:p w14:paraId="3F57E7E2">
      <w:pPr>
        <w:bidi w:val="0"/>
        <w:spacing w:before="0" w:after="0" w:line="360" w:lineRule="auto"/>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highlight w:val="none"/>
          <w:lang w:val="en-US" w:eastAsia="zh-CN"/>
        </w:rPr>
        <w:t>项目竣工验收合格率：</w:t>
      </w:r>
      <w:r>
        <w:rPr>
          <w:rFonts w:hint="default" w:ascii="Times New Roman" w:hAnsi="Times New Roman" w:eastAsia="宋体" w:cs="Times New Roman"/>
          <w:color w:val="auto"/>
          <w:kern w:val="0"/>
          <w:sz w:val="21"/>
          <w:szCs w:val="21"/>
          <w:highlight w:val="none"/>
          <w:lang w:val="en-US" w:eastAsia="zh-CN" w:bidi="ar"/>
        </w:rPr>
        <w:t>比较法，通过</w:t>
      </w:r>
      <w:r>
        <w:rPr>
          <w:rFonts w:hint="eastAsia" w:eastAsia="宋体" w:cs="Times New Roman"/>
          <w:color w:val="auto"/>
          <w:kern w:val="0"/>
          <w:sz w:val="21"/>
          <w:szCs w:val="21"/>
          <w:highlight w:val="none"/>
          <w:lang w:val="en-US" w:eastAsia="zh-CN" w:bidi="ar"/>
        </w:rPr>
        <w:t>对</w:t>
      </w:r>
      <w:r>
        <w:rPr>
          <w:rFonts w:hint="default"/>
          <w:color w:val="auto"/>
          <w:sz w:val="21"/>
          <w:szCs w:val="21"/>
          <w:highlight w:val="none"/>
          <w:lang w:val="en-US" w:eastAsia="zh-CN"/>
        </w:rPr>
        <w:t>《工程竣工验收记录表》</w:t>
      </w:r>
      <w:r>
        <w:rPr>
          <w:rFonts w:hint="eastAsia"/>
          <w:color w:val="auto"/>
          <w:sz w:val="21"/>
          <w:szCs w:val="21"/>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实际完成值和</w:t>
      </w:r>
      <w:r>
        <w:rPr>
          <w:rFonts w:hint="eastAsia" w:ascii="Times New Roman" w:hAnsi="Times New Roman" w:eastAsia="宋体" w:cs="Times New Roman"/>
          <w:color w:val="auto"/>
          <w:highlight w:val="none"/>
        </w:rPr>
        <w:t>《</w:t>
      </w:r>
      <w:r>
        <w:rPr>
          <w:rFonts w:hint="eastAsia" w:eastAsia="宋体" w:cs="Times New Roman"/>
          <w:color w:val="auto"/>
          <w:highlight w:val="none"/>
          <w:lang w:val="en-US" w:eastAsia="zh-CN"/>
        </w:rPr>
        <w:t>体育场地</w:t>
      </w:r>
      <w:r>
        <w:rPr>
          <w:rFonts w:hint="eastAsia" w:ascii="Times New Roman" w:hAnsi="Times New Roman" w:eastAsia="宋体" w:cs="Times New Roman"/>
          <w:color w:val="auto"/>
          <w:highlight w:val="none"/>
        </w:rPr>
        <w:t>建设工程施工协议》</w:t>
      </w:r>
      <w:r>
        <w:rPr>
          <w:rFonts w:hint="eastAsia" w:eastAsia="宋体" w:cs="Times New Roman"/>
          <w:color w:val="auto"/>
          <w:highlight w:val="none"/>
          <w:lang w:val="en-US" w:eastAsia="zh-CN"/>
        </w:rPr>
        <w:t>中</w:t>
      </w:r>
      <w:r>
        <w:rPr>
          <w:rFonts w:hint="default" w:ascii="Times New Roman" w:hAnsi="Times New Roman" w:eastAsia="宋体" w:cs="Times New Roman"/>
          <w:color w:val="auto"/>
          <w:kern w:val="0"/>
          <w:sz w:val="21"/>
          <w:szCs w:val="21"/>
          <w:highlight w:val="none"/>
          <w:lang w:val="en-US" w:eastAsia="zh-CN" w:bidi="ar"/>
        </w:rPr>
        <w:t>预期指标值进行对比分析，考察项目实际验收与合同约定完成验收的情况，若预期目标未达成，分析实际完成值和预期指标值之间的差距和原因。</w:t>
      </w:r>
    </w:p>
    <w:p w14:paraId="47D7A72D">
      <w:pPr>
        <w:bidi w:val="0"/>
        <w:spacing w:before="0" w:after="0" w:line="360" w:lineRule="auto"/>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highlight w:val="none"/>
          <w:lang w:val="en-US" w:eastAsia="zh-CN"/>
        </w:rPr>
        <w:t>项目开工及时率</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kern w:val="0"/>
          <w:sz w:val="21"/>
          <w:szCs w:val="21"/>
          <w:highlight w:val="none"/>
          <w:lang w:val="en-US" w:eastAsia="zh-CN" w:bidi="ar"/>
        </w:rPr>
        <w:t>比较法，通过对</w:t>
      </w:r>
      <w:r>
        <w:rPr>
          <w:rFonts w:hint="eastAsia" w:eastAsia="宋体" w:cs="Times New Roman"/>
          <w:color w:val="auto"/>
          <w:kern w:val="0"/>
          <w:sz w:val="21"/>
          <w:szCs w:val="21"/>
          <w:highlight w:val="none"/>
          <w:lang w:val="en-US" w:eastAsia="zh-CN" w:bidi="ar"/>
        </w:rPr>
        <w:t>项目开工报告</w:t>
      </w:r>
      <w:r>
        <w:rPr>
          <w:rFonts w:hint="default" w:ascii="Times New Roman" w:hAnsi="Times New Roman" w:eastAsia="宋体" w:cs="Times New Roman"/>
          <w:color w:val="auto"/>
          <w:kern w:val="0"/>
          <w:sz w:val="21"/>
          <w:szCs w:val="21"/>
          <w:highlight w:val="none"/>
          <w:lang w:val="en-US" w:eastAsia="zh-CN" w:bidi="ar"/>
        </w:rPr>
        <w:t>和</w:t>
      </w:r>
      <w:r>
        <w:rPr>
          <w:rFonts w:hint="default"/>
          <w:color w:val="auto"/>
          <w:sz w:val="21"/>
          <w:szCs w:val="21"/>
          <w:highlight w:val="none"/>
          <w:lang w:val="en-US" w:eastAsia="zh-CN"/>
        </w:rPr>
        <w:t>《关于伊宁县全民健身场地建设项目可行性研究报告的批复》（伊县发改字〔2024〕87号）</w:t>
      </w:r>
      <w:r>
        <w:rPr>
          <w:rFonts w:hint="eastAsia"/>
          <w:color w:val="auto"/>
          <w:sz w:val="21"/>
          <w:szCs w:val="21"/>
          <w:highlight w:val="none"/>
          <w:lang w:val="en-US" w:eastAsia="zh-CN"/>
        </w:rPr>
        <w:t>中</w:t>
      </w:r>
      <w:r>
        <w:rPr>
          <w:rFonts w:hint="default"/>
          <w:color w:val="auto"/>
          <w:sz w:val="21"/>
          <w:szCs w:val="21"/>
          <w:highlight w:val="none"/>
          <w:lang w:val="en-US" w:eastAsia="zh-CN"/>
        </w:rPr>
        <w:t>项目计划实施时间</w:t>
      </w:r>
      <w:r>
        <w:rPr>
          <w:rFonts w:hint="default" w:ascii="Times New Roman" w:hAnsi="Times New Roman" w:eastAsia="宋体" w:cs="Times New Roman"/>
          <w:color w:val="auto"/>
          <w:kern w:val="0"/>
          <w:sz w:val="21"/>
          <w:szCs w:val="21"/>
          <w:highlight w:val="none"/>
          <w:lang w:val="en-US" w:eastAsia="zh-CN" w:bidi="ar"/>
        </w:rPr>
        <w:t>进行对比分析，考察项目是否按规定时间开工。</w:t>
      </w:r>
    </w:p>
    <w:p w14:paraId="3DB277FF">
      <w:pPr>
        <w:bidi w:val="0"/>
        <w:spacing w:before="0" w:after="0" w:line="360" w:lineRule="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highlight w:val="none"/>
          <w:lang w:val="en-US" w:eastAsia="zh-CN"/>
        </w:rPr>
        <w:t>项目完工及时率</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sz w:val="21"/>
          <w:szCs w:val="21"/>
          <w:highlight w:val="none"/>
          <w:lang w:val="en-US" w:eastAsia="zh-CN"/>
        </w:rPr>
        <w:t>比较法，通过对</w:t>
      </w:r>
      <w:r>
        <w:rPr>
          <w:rFonts w:hint="default"/>
          <w:color w:val="auto"/>
          <w:sz w:val="21"/>
          <w:szCs w:val="21"/>
          <w:highlight w:val="none"/>
          <w:lang w:val="en-US" w:eastAsia="zh-CN"/>
        </w:rPr>
        <w:t>《工程质量竣工验收记录》</w:t>
      </w:r>
      <w:r>
        <w:rPr>
          <w:rFonts w:hint="default" w:ascii="Times New Roman" w:hAnsi="Times New Roman" w:eastAsia="宋体" w:cs="Times New Roman"/>
          <w:color w:val="auto"/>
          <w:sz w:val="21"/>
          <w:szCs w:val="21"/>
          <w:highlight w:val="none"/>
          <w:lang w:val="en-US" w:eastAsia="zh-CN"/>
        </w:rPr>
        <w:t>和</w:t>
      </w:r>
      <w:r>
        <w:rPr>
          <w:rFonts w:hint="default"/>
          <w:color w:val="auto"/>
          <w:sz w:val="21"/>
          <w:szCs w:val="21"/>
          <w:highlight w:val="none"/>
          <w:lang w:val="en-US" w:eastAsia="zh-CN"/>
        </w:rPr>
        <w:t>《关于伊宁县全民健身场地建设项目可行性研究报告的批复》（伊县发改字〔2024〕87号）</w:t>
      </w:r>
      <w:r>
        <w:rPr>
          <w:rFonts w:hint="eastAsia"/>
          <w:color w:val="auto"/>
          <w:sz w:val="21"/>
          <w:szCs w:val="21"/>
          <w:highlight w:val="none"/>
          <w:lang w:val="en-US" w:eastAsia="zh-CN"/>
        </w:rPr>
        <w:t>中</w:t>
      </w:r>
      <w:r>
        <w:rPr>
          <w:rFonts w:hint="default"/>
          <w:color w:val="auto"/>
          <w:sz w:val="21"/>
          <w:szCs w:val="21"/>
          <w:highlight w:val="none"/>
          <w:lang w:val="en-US" w:eastAsia="zh-CN"/>
        </w:rPr>
        <w:t>项目计划实施时间</w:t>
      </w:r>
      <w:r>
        <w:rPr>
          <w:rFonts w:hint="default" w:ascii="Times New Roman" w:hAnsi="Times New Roman" w:eastAsia="宋体" w:cs="Times New Roman"/>
          <w:color w:val="auto"/>
          <w:sz w:val="21"/>
          <w:szCs w:val="21"/>
          <w:highlight w:val="none"/>
          <w:lang w:val="en-US" w:eastAsia="zh-CN"/>
        </w:rPr>
        <w:t>进行对比分析，考察项目是否按规定时间完工。</w:t>
      </w:r>
    </w:p>
    <w:p w14:paraId="6F846ECC">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eastAsia="zh-CN"/>
        </w:rPr>
        <w:t>项目工程建设成本</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sz w:val="21"/>
          <w:szCs w:val="21"/>
          <w:highlight w:val="none"/>
          <w:lang w:val="en-US" w:eastAsia="zh-CN"/>
        </w:rPr>
        <w:t>比较法和因素分析法，通过对该项目竣工</w:t>
      </w:r>
      <w:r>
        <w:rPr>
          <w:rFonts w:hint="eastAsia" w:ascii="Times New Roman" w:hAnsi="Times New Roman" w:eastAsia="宋体" w:cs="Times New Roman"/>
          <w:color w:val="auto"/>
          <w:sz w:val="21"/>
          <w:szCs w:val="21"/>
          <w:highlight w:val="none"/>
          <w:lang w:val="en-US" w:eastAsia="zh-CN"/>
        </w:rPr>
        <w:t>结算</w:t>
      </w:r>
      <w:r>
        <w:rPr>
          <w:rFonts w:hint="default" w:ascii="Times New Roman" w:hAnsi="Times New Roman" w:eastAsia="宋体" w:cs="Times New Roman"/>
          <w:color w:val="auto"/>
          <w:sz w:val="21"/>
          <w:szCs w:val="21"/>
          <w:highlight w:val="none"/>
          <w:lang w:val="en-US" w:eastAsia="zh-CN"/>
        </w:rPr>
        <w:t>的金额与立项批复金额</w:t>
      </w:r>
      <w:r>
        <w:rPr>
          <w:rFonts w:hint="eastAsia" w:eastAsia="宋体" w:cs="Times New Roman"/>
          <w:color w:val="auto"/>
          <w:sz w:val="21"/>
          <w:szCs w:val="21"/>
          <w:highlight w:val="none"/>
          <w:lang w:val="en-US" w:eastAsia="zh-CN"/>
        </w:rPr>
        <w:t>进行对比分析</w:t>
      </w:r>
      <w:r>
        <w:rPr>
          <w:rFonts w:hint="default" w:ascii="Times New Roman" w:hAnsi="Times New Roman" w:eastAsia="宋体" w:cs="Times New Roman"/>
          <w:color w:val="auto"/>
          <w:sz w:val="21"/>
          <w:szCs w:val="21"/>
          <w:highlight w:val="none"/>
          <w:lang w:val="en-US" w:eastAsia="zh-CN"/>
        </w:rPr>
        <w:t>，考核</w:t>
      </w:r>
      <w:r>
        <w:rPr>
          <w:rFonts w:hint="eastAsia" w:eastAsia="宋体" w:cs="Times New Roman"/>
          <w:color w:val="auto"/>
          <w:sz w:val="21"/>
          <w:szCs w:val="21"/>
          <w:highlight w:val="none"/>
          <w:lang w:val="en-US" w:eastAsia="zh-CN"/>
        </w:rPr>
        <w:t>项目工程建设成本</w:t>
      </w:r>
      <w:r>
        <w:rPr>
          <w:rFonts w:hint="default" w:ascii="Times New Roman" w:hAnsi="Times New Roman" w:eastAsia="宋体" w:cs="Times New Roman"/>
          <w:color w:val="auto"/>
          <w:sz w:val="21"/>
          <w:szCs w:val="21"/>
          <w:highlight w:val="none"/>
          <w:lang w:val="en-US" w:eastAsia="zh-CN"/>
        </w:rPr>
        <w:t>控制</w:t>
      </w:r>
      <w:r>
        <w:rPr>
          <w:rFonts w:hint="default" w:ascii="Times New Roman" w:hAnsi="Times New Roman" w:eastAsia="宋体" w:cs="Times New Roman"/>
          <w:color w:val="auto"/>
          <w:sz w:val="21"/>
          <w:szCs w:val="21"/>
          <w:highlight w:val="none"/>
        </w:rPr>
        <w:t>是否合理有效，是否</w:t>
      </w:r>
      <w:r>
        <w:rPr>
          <w:rFonts w:hint="eastAsia" w:ascii="Times New Roman" w:hAnsi="Times New Roman" w:eastAsia="宋体" w:cs="Times New Roman"/>
          <w:color w:val="auto"/>
          <w:sz w:val="21"/>
          <w:szCs w:val="21"/>
          <w:highlight w:val="none"/>
          <w:lang w:val="en-US" w:eastAsia="zh-CN"/>
        </w:rPr>
        <w:t>存在</w:t>
      </w:r>
      <w:r>
        <w:rPr>
          <w:rFonts w:hint="default" w:ascii="Times New Roman" w:hAnsi="Times New Roman" w:eastAsia="宋体" w:cs="Times New Roman"/>
          <w:color w:val="auto"/>
          <w:sz w:val="21"/>
          <w:szCs w:val="21"/>
          <w:highlight w:val="none"/>
        </w:rPr>
        <w:t>超预算</w:t>
      </w:r>
      <w:r>
        <w:rPr>
          <w:rFonts w:hint="default" w:ascii="Times New Roman" w:hAnsi="Times New Roman" w:eastAsia="宋体" w:cs="Times New Roman"/>
          <w:color w:val="auto"/>
          <w:sz w:val="21"/>
          <w:szCs w:val="21"/>
          <w:highlight w:val="none"/>
          <w:lang w:val="en-US" w:eastAsia="zh-CN"/>
        </w:rPr>
        <w:t>情况。</w:t>
      </w:r>
    </w:p>
    <w:p w14:paraId="23314A07">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（4）项目效益类指标评价方法</w:t>
      </w:r>
    </w:p>
    <w:p w14:paraId="2721EC5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highlight w:val="none"/>
        </w:rPr>
        <w:t>提升公众健康水平</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sz w:val="21"/>
          <w:szCs w:val="21"/>
          <w:highlight w:val="none"/>
        </w:rPr>
        <w:t>公众评判法和因素分析法，通过问卷及抽样调查等方式</w:t>
      </w:r>
      <w:r>
        <w:rPr>
          <w:rFonts w:hint="default" w:ascii="Times New Roman" w:hAnsi="Times New Roman" w:eastAsia="宋体" w:cs="Times New Roman"/>
          <w:color w:val="auto"/>
          <w:sz w:val="21"/>
          <w:szCs w:val="21"/>
          <w:highlight w:val="none"/>
          <w:lang w:eastAsia="zh-CN"/>
        </w:rPr>
        <w:t>考察通过</w:t>
      </w:r>
      <w:r>
        <w:rPr>
          <w:rFonts w:hint="default" w:ascii="Times New Roman" w:hAnsi="Times New Roman" w:eastAsia="宋体" w:cs="Times New Roman"/>
          <w:color w:val="auto"/>
          <w:sz w:val="21"/>
          <w:szCs w:val="21"/>
          <w:highlight w:val="none"/>
          <w:lang w:val="en-US" w:eastAsia="zh-CN"/>
        </w:rPr>
        <w:t>实施伊宁县全民健身场地设施项目</w:t>
      </w:r>
      <w:r>
        <w:rPr>
          <w:rFonts w:hint="default" w:ascii="Times New Roman" w:hAnsi="Times New Roman" w:eastAsia="宋体" w:cs="Times New Roman"/>
          <w:color w:val="auto"/>
          <w:sz w:val="21"/>
          <w:szCs w:val="21"/>
          <w:highlight w:val="none"/>
          <w:lang w:eastAsia="zh-CN"/>
        </w:rPr>
        <w:t>后对于</w:t>
      </w:r>
      <w:r>
        <w:rPr>
          <w:rFonts w:hint="eastAsia" w:ascii="Times New Roman" w:hAnsi="Times New Roman" w:eastAsia="宋体" w:cs="Times New Roman"/>
          <w:color w:val="auto"/>
          <w:highlight w:val="none"/>
        </w:rPr>
        <w:t>提升公众健康水平</w:t>
      </w:r>
      <w:r>
        <w:rPr>
          <w:rFonts w:hint="default" w:ascii="Times New Roman" w:hAnsi="Times New Roman" w:eastAsia="宋体" w:cs="Times New Roman"/>
          <w:color w:val="auto"/>
          <w:sz w:val="21"/>
          <w:szCs w:val="21"/>
          <w:highlight w:val="none"/>
          <w:lang w:eastAsia="zh-CN"/>
        </w:rPr>
        <w:t>情况。</w:t>
      </w:r>
    </w:p>
    <w:p w14:paraId="39BCC003">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b w:val="0"/>
          <w:bCs w:val="0"/>
          <w:color w:val="auto"/>
          <w:kern w:val="0"/>
          <w:highlight w:val="none"/>
          <w:lang w:bidi="ar"/>
        </w:rPr>
        <w:t>提升群众参与足球</w:t>
      </w:r>
      <w:r>
        <w:rPr>
          <w:rFonts w:hint="eastAsia" w:ascii="Times New Roman" w:hAnsi="Times New Roman" w:eastAsia="宋体" w:cs="Times New Roman"/>
          <w:b w:val="0"/>
          <w:bCs w:val="0"/>
          <w:color w:val="auto"/>
          <w:kern w:val="0"/>
          <w:highlight w:val="none"/>
          <w:lang w:eastAsia="zh-CN" w:bidi="ar"/>
        </w:rPr>
        <w:t>、</w:t>
      </w:r>
      <w:r>
        <w:rPr>
          <w:rFonts w:hint="eastAsia" w:ascii="Times New Roman" w:hAnsi="Times New Roman" w:eastAsia="宋体" w:cs="Times New Roman"/>
          <w:b w:val="0"/>
          <w:bCs w:val="0"/>
          <w:color w:val="auto"/>
          <w:kern w:val="0"/>
          <w:highlight w:val="none"/>
          <w:lang w:val="en-US" w:eastAsia="zh-CN" w:bidi="ar"/>
        </w:rPr>
        <w:t>篮球</w:t>
      </w:r>
      <w:r>
        <w:rPr>
          <w:rFonts w:hint="eastAsia" w:ascii="Times New Roman" w:hAnsi="Times New Roman" w:eastAsia="宋体" w:cs="Times New Roman"/>
          <w:b w:val="0"/>
          <w:bCs w:val="0"/>
          <w:color w:val="auto"/>
          <w:kern w:val="0"/>
          <w:highlight w:val="none"/>
          <w:lang w:bidi="ar"/>
        </w:rPr>
        <w:t>锻炼积极性</w:t>
      </w:r>
      <w:r>
        <w:rPr>
          <w:rFonts w:hint="eastAsia" w:ascii="Times New Roman" w:hAnsi="Times New Roman" w:eastAsia="宋体" w:cs="Times New Roman"/>
          <w:b w:val="0"/>
          <w:bCs w:val="0"/>
          <w:color w:val="auto"/>
          <w:kern w:val="0"/>
          <w:highlight w:val="none"/>
          <w:lang w:eastAsia="zh-CN" w:bidi="ar"/>
        </w:rPr>
        <w:t>：</w:t>
      </w:r>
      <w:r>
        <w:rPr>
          <w:rFonts w:hint="default" w:ascii="Times New Roman" w:hAnsi="Times New Roman" w:eastAsia="宋体" w:cs="Times New Roman"/>
          <w:color w:val="auto"/>
          <w:sz w:val="21"/>
          <w:szCs w:val="21"/>
          <w:highlight w:val="none"/>
        </w:rPr>
        <w:t>公众评判法和因素分析法，通过问卷及抽样调查等方式</w:t>
      </w:r>
      <w:r>
        <w:rPr>
          <w:rFonts w:hint="default" w:ascii="Times New Roman" w:hAnsi="Times New Roman" w:eastAsia="宋体" w:cs="Times New Roman"/>
          <w:color w:val="auto"/>
          <w:sz w:val="21"/>
          <w:szCs w:val="21"/>
          <w:highlight w:val="none"/>
          <w:lang w:eastAsia="zh-CN"/>
        </w:rPr>
        <w:t>考察通过</w:t>
      </w:r>
      <w:r>
        <w:rPr>
          <w:rFonts w:hint="default" w:ascii="Times New Roman" w:hAnsi="Times New Roman" w:eastAsia="宋体" w:cs="Times New Roman"/>
          <w:color w:val="auto"/>
          <w:sz w:val="21"/>
          <w:szCs w:val="21"/>
          <w:highlight w:val="none"/>
          <w:lang w:val="en-US" w:eastAsia="zh-CN"/>
        </w:rPr>
        <w:t>实施伊宁县全民健身场地设施项目</w:t>
      </w:r>
      <w:r>
        <w:rPr>
          <w:rFonts w:hint="default" w:ascii="Times New Roman" w:hAnsi="Times New Roman" w:eastAsia="宋体" w:cs="Times New Roman"/>
          <w:color w:val="auto"/>
          <w:sz w:val="21"/>
          <w:szCs w:val="21"/>
          <w:highlight w:val="none"/>
          <w:lang w:eastAsia="zh-CN"/>
        </w:rPr>
        <w:t>后对于</w:t>
      </w:r>
      <w:r>
        <w:rPr>
          <w:rFonts w:hint="eastAsia" w:ascii="Times New Roman" w:hAnsi="Times New Roman" w:eastAsia="宋体" w:cs="Times New Roman"/>
          <w:b w:val="0"/>
          <w:bCs w:val="0"/>
          <w:color w:val="auto"/>
          <w:kern w:val="0"/>
          <w:highlight w:val="none"/>
          <w:lang w:bidi="ar"/>
        </w:rPr>
        <w:t>提升群众参与足球</w:t>
      </w:r>
      <w:r>
        <w:rPr>
          <w:rFonts w:hint="eastAsia" w:ascii="Times New Roman" w:hAnsi="Times New Roman" w:eastAsia="宋体" w:cs="Times New Roman"/>
          <w:b w:val="0"/>
          <w:bCs w:val="0"/>
          <w:color w:val="auto"/>
          <w:kern w:val="0"/>
          <w:highlight w:val="none"/>
          <w:lang w:eastAsia="zh-CN" w:bidi="ar"/>
        </w:rPr>
        <w:t>、</w:t>
      </w:r>
      <w:r>
        <w:rPr>
          <w:rFonts w:hint="eastAsia" w:ascii="Times New Roman" w:hAnsi="Times New Roman" w:eastAsia="宋体" w:cs="Times New Roman"/>
          <w:b w:val="0"/>
          <w:bCs w:val="0"/>
          <w:color w:val="auto"/>
          <w:kern w:val="0"/>
          <w:highlight w:val="none"/>
          <w:lang w:val="en-US" w:eastAsia="zh-CN" w:bidi="ar"/>
        </w:rPr>
        <w:t>篮球</w:t>
      </w:r>
      <w:r>
        <w:rPr>
          <w:rFonts w:hint="eastAsia" w:ascii="Times New Roman" w:hAnsi="Times New Roman" w:eastAsia="宋体" w:cs="Times New Roman"/>
          <w:b w:val="0"/>
          <w:bCs w:val="0"/>
          <w:color w:val="auto"/>
          <w:kern w:val="0"/>
          <w:highlight w:val="none"/>
          <w:lang w:bidi="ar"/>
        </w:rPr>
        <w:t>锻炼积极性</w:t>
      </w:r>
      <w:r>
        <w:rPr>
          <w:rFonts w:hint="default" w:ascii="Times New Roman" w:hAnsi="Times New Roman" w:eastAsia="宋体" w:cs="Times New Roman"/>
          <w:color w:val="auto"/>
          <w:sz w:val="21"/>
          <w:szCs w:val="21"/>
          <w:highlight w:val="none"/>
          <w:lang w:eastAsia="zh-CN"/>
        </w:rPr>
        <w:t>情况。</w:t>
      </w:r>
    </w:p>
    <w:p w14:paraId="21F3016B">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t>项目所在村受益村民满意度：</w:t>
      </w:r>
      <w:r>
        <w:rPr>
          <w:rFonts w:hint="eastAsia" w:ascii="Times New Roman" w:hAnsi="Times New Roman" w:eastAsia="宋体" w:cs="Times New Roman"/>
          <w:color w:val="auto"/>
          <w:highlight w:val="none"/>
        </w:rPr>
        <w:t>公众评判法和因素分析法，通过问卷及抽样调查等方式评价该项目实施后受益社会公众</w:t>
      </w:r>
      <w:r>
        <w:rPr>
          <w:rFonts w:hint="eastAsia" w:ascii="Times New Roman" w:hAnsi="Times New Roman" w:eastAsia="宋体" w:cs="Times New Roman"/>
          <w:color w:val="auto"/>
          <w:highlight w:val="none"/>
          <w:lang w:eastAsia="zh-CN"/>
        </w:rPr>
        <w:t>对</w:t>
      </w:r>
      <w:r>
        <w:rPr>
          <w:rFonts w:hint="eastAsia" w:ascii="Times New Roman" w:hAnsi="Times New Roman" w:eastAsia="宋体" w:cs="Times New Roman"/>
          <w:color w:val="auto"/>
          <w:highlight w:val="none"/>
        </w:rPr>
        <w:t>其实施效果的满意程度。</w:t>
      </w:r>
    </w:p>
    <w:p w14:paraId="1D30010B">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70" w:name="_Toc6073"/>
      <w:bookmarkStart w:id="71" w:name="_Toc29366"/>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六</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绩效评价指标体系</w:t>
      </w:r>
      <w:r>
        <w:rPr>
          <w:rFonts w:hint="eastAsia" w:ascii="Times New Roman" w:hAnsi="Times New Roman" w:eastAsia="宋体" w:cs="Times New Roman"/>
          <w:color w:val="auto"/>
          <w:highlight w:val="none"/>
        </w:rPr>
        <w:t>设计</w:t>
      </w:r>
      <w:bookmarkEnd w:id="70"/>
      <w:bookmarkEnd w:id="71"/>
    </w:p>
    <w:p w14:paraId="49D3E8F9">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bookmarkStart w:id="72" w:name="_Toc68364663"/>
      <w:r>
        <w:rPr>
          <w:rFonts w:hint="default" w:ascii="Times New Roman" w:hAnsi="Times New Roman" w:eastAsia="宋体" w:cs="Times New Roman"/>
          <w:color w:val="auto"/>
          <w:highlight w:val="none"/>
        </w:rPr>
        <w:t>通过对项目实施资料研读及前期调研，项目根据</w:t>
      </w:r>
      <w:r>
        <w:rPr>
          <w:rFonts w:hint="eastAsia" w:ascii="Times New Roman" w:hAnsi="Times New Roman" w:eastAsia="宋体" w:cs="Times New Roman"/>
          <w:color w:val="auto"/>
          <w:highlight w:val="none"/>
        </w:rPr>
        <w:t>国务院办公厅《关于印发&lt;体育强国建设纲要&gt;的通知》（国办发〔2019〕40号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《“十四五”时期全民健身设施补短板工程实施方案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关于伊宁县全民健身场地建设项目选址的审查意见》（伊县自然资函〔2024〕49号）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《关于提前下达2024年中央集中彩票公益金支持体育事业专项资金预算的通知》（伊州财教〔2023〕52 号）</w:t>
      </w:r>
      <w:r>
        <w:rPr>
          <w:rFonts w:hint="default" w:ascii="Times New Roman" w:hAnsi="Times New Roman" w:eastAsia="宋体" w:cs="Times New Roman"/>
          <w:color w:val="auto"/>
          <w:highlight w:val="none"/>
          <w:lang w:val="en-US" w:eastAsia="zh-CN"/>
        </w:rPr>
        <w:t>后附绩效目标表</w:t>
      </w:r>
      <w:r>
        <w:rPr>
          <w:rFonts w:hint="default" w:ascii="Times New Roman" w:hAnsi="Times New Roman" w:eastAsia="宋体" w:cs="Times New Roman"/>
          <w:color w:val="auto"/>
          <w:highlight w:val="none"/>
        </w:rPr>
        <w:t>等</w:t>
      </w:r>
      <w:r>
        <w:rPr>
          <w:rFonts w:hint="default" w:ascii="Times New Roman" w:hAnsi="Times New Roman" w:eastAsia="宋体" w:cs="Times New Roman"/>
          <w:color w:val="auto"/>
          <w:highlight w:val="none"/>
          <w:lang w:val="en-US" w:eastAsia="zh-CN"/>
        </w:rPr>
        <w:t>工作，参照</w:t>
      </w:r>
      <w:r>
        <w:rPr>
          <w:rFonts w:hint="default" w:ascii="Times New Roman" w:hAnsi="Times New Roman" w:eastAsia="宋体" w:cs="Times New Roman"/>
          <w:color w:val="auto"/>
          <w:highlight w:val="none"/>
          <w:lang w:val="zh-TW" w:eastAsia="zh-TW"/>
        </w:rPr>
        <w:t>《项目支出绩效评价管理办法》（财预〔2020〕10号</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zh-TW" w:eastAsia="zh-TW"/>
        </w:rPr>
        <w:t>文件要求，</w:t>
      </w:r>
      <w:r>
        <w:rPr>
          <w:rFonts w:hint="default" w:ascii="Times New Roman" w:hAnsi="Times New Roman" w:eastAsia="宋体" w:cs="Times New Roman"/>
          <w:color w:val="auto"/>
          <w:highlight w:val="none"/>
        </w:rPr>
        <w:t>结合项目的实际情况，综合考虑相关性、重要性、可衡量性、可操作性和可实现性，</w:t>
      </w:r>
      <w:r>
        <w:rPr>
          <w:rFonts w:hint="default" w:ascii="Times New Roman" w:hAnsi="Times New Roman" w:eastAsia="宋体" w:cs="Times New Roman"/>
          <w:color w:val="auto"/>
          <w:highlight w:val="none"/>
          <w:lang w:val="en-US" w:eastAsia="zh-CN"/>
        </w:rPr>
        <w:t>按照从</w:t>
      </w:r>
      <w:r>
        <w:rPr>
          <w:rFonts w:hint="default" w:ascii="Times New Roman" w:hAnsi="Times New Roman" w:eastAsia="宋体" w:cs="Times New Roman"/>
          <w:color w:val="auto"/>
          <w:highlight w:val="none"/>
        </w:rPr>
        <w:t>投入、过程到产出、效果和影响的绩效逻辑分析法设计本次绩效评价指标体系，主要围绕资金使用、项目管理、资源配置等方面，客观分析项目的产出和效果。</w:t>
      </w:r>
      <w:r>
        <w:rPr>
          <w:rFonts w:hint="default" w:ascii="Times New Roman" w:hAnsi="Times New Roman" w:eastAsia="宋体" w:cs="Times New Roman"/>
          <w:color w:val="auto"/>
          <w:highlight w:val="none"/>
          <w:lang w:val="en-US" w:eastAsia="zh-CN"/>
        </w:rPr>
        <w:t>该项目绩效</w:t>
      </w:r>
      <w:r>
        <w:rPr>
          <w:rFonts w:hint="default" w:ascii="Times New Roman" w:hAnsi="Times New Roman" w:eastAsia="宋体" w:cs="Times New Roman"/>
          <w:color w:val="auto"/>
          <w:highlight w:val="none"/>
          <w:lang w:val="zh-TW" w:eastAsia="zh-TW"/>
        </w:rPr>
        <w:t>指标体系</w:t>
      </w:r>
      <w:r>
        <w:rPr>
          <w:rFonts w:hint="default" w:ascii="Times New Roman" w:hAnsi="Times New Roman" w:eastAsia="宋体" w:cs="Times New Roman"/>
          <w:color w:val="auto"/>
          <w:highlight w:val="none"/>
          <w:lang w:val="en-US" w:eastAsia="zh-CN"/>
        </w:rPr>
        <w:t>共</w:t>
      </w:r>
      <w:r>
        <w:rPr>
          <w:rFonts w:hint="default" w:ascii="Times New Roman" w:hAnsi="Times New Roman" w:eastAsia="宋体" w:cs="Times New Roman"/>
          <w:color w:val="auto"/>
          <w:highlight w:val="none"/>
          <w:lang w:val="zh-TW" w:eastAsia="zh-TW"/>
        </w:rPr>
        <w:t>设置包括决策指标（</w:t>
      </w:r>
      <w:r>
        <w:rPr>
          <w:rFonts w:hint="default" w:ascii="Times New Roman" w:hAnsi="Times New Roman" w:eastAsia="宋体" w:cs="Times New Roman"/>
          <w:color w:val="auto"/>
          <w:highlight w:val="none"/>
          <w:lang w:val="en-US"/>
        </w:rPr>
        <w:t>15.00</w:t>
      </w:r>
      <w:r>
        <w:rPr>
          <w:rFonts w:hint="default" w:ascii="Times New Roman" w:hAnsi="Times New Roman" w:eastAsia="宋体" w:cs="Times New Roman"/>
          <w:color w:val="auto"/>
          <w:highlight w:val="none"/>
          <w:lang w:val="zh-TW" w:eastAsia="zh-TW"/>
        </w:rPr>
        <w:t>%）、过程指标（</w:t>
      </w:r>
      <w:r>
        <w:rPr>
          <w:rFonts w:hint="default" w:ascii="Times New Roman" w:hAnsi="Times New Roman" w:eastAsia="宋体" w:cs="Times New Roman"/>
          <w:color w:val="auto"/>
          <w:highlight w:val="none"/>
        </w:rPr>
        <w:t>25.00</w:t>
      </w:r>
      <w:r>
        <w:rPr>
          <w:rFonts w:hint="default" w:ascii="Times New Roman" w:hAnsi="Times New Roman" w:eastAsia="宋体" w:cs="Times New Roman"/>
          <w:color w:val="auto"/>
          <w:highlight w:val="none"/>
          <w:lang w:val="zh-TW" w:eastAsia="zh-TW"/>
        </w:rPr>
        <w:t>%）、产出指标（</w:t>
      </w:r>
      <w:r>
        <w:rPr>
          <w:rFonts w:hint="default" w:ascii="Times New Roman" w:hAnsi="Times New Roman" w:eastAsia="宋体" w:cs="Times New Roman"/>
          <w:color w:val="auto"/>
          <w:highlight w:val="none"/>
        </w:rPr>
        <w:t>30.00</w:t>
      </w:r>
      <w:r>
        <w:rPr>
          <w:rFonts w:hint="default" w:ascii="Times New Roman" w:hAnsi="Times New Roman" w:eastAsia="宋体" w:cs="Times New Roman"/>
          <w:color w:val="auto"/>
          <w:highlight w:val="none"/>
          <w:lang w:val="zh-TW" w:eastAsia="zh-TW"/>
        </w:rPr>
        <w:t>%）、效益指标（</w:t>
      </w:r>
      <w:r>
        <w:rPr>
          <w:rFonts w:hint="default" w:ascii="Times New Roman" w:hAnsi="Times New Roman" w:eastAsia="宋体" w:cs="Times New Roman"/>
          <w:color w:val="auto"/>
          <w:highlight w:val="none"/>
        </w:rPr>
        <w:t>30.00</w:t>
      </w:r>
      <w:r>
        <w:rPr>
          <w:rFonts w:hint="default" w:ascii="Times New Roman" w:hAnsi="Times New Roman" w:eastAsia="宋体" w:cs="Times New Roman"/>
          <w:color w:val="auto"/>
          <w:highlight w:val="none"/>
          <w:lang w:val="zh-TW" w:eastAsia="zh-TW"/>
        </w:rPr>
        <w:t>%）</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color w:val="auto"/>
          <w:highlight w:val="none"/>
          <w:lang w:val="zh-TW" w:eastAsia="zh-TW"/>
        </w:rPr>
        <w:t>四类指标</w:t>
      </w:r>
      <w:r>
        <w:rPr>
          <w:rFonts w:hint="default" w:ascii="Times New Roman" w:hAnsi="Times New Roman" w:eastAsia="宋体" w:cs="Times New Roman"/>
          <w:color w:val="auto"/>
          <w:highlight w:val="none"/>
          <w:lang w:val="en-US" w:eastAsia="zh-CN"/>
        </w:rPr>
        <w:t>类型和权重</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en-US" w:eastAsia="zh-CN"/>
        </w:rPr>
        <w:t>二级和三级指标根据各项指标在评价体系中的重要程度确定，考虑项目实施和管理对项目绩效的影响等因素赋予相应的权重分值</w:t>
      </w:r>
      <w:r>
        <w:rPr>
          <w:rFonts w:hint="default" w:ascii="Times New Roman" w:hAnsi="Times New Roman" w:eastAsia="宋体" w:cs="Times New Roman"/>
          <w:color w:val="auto"/>
          <w:highlight w:val="none"/>
          <w:lang w:val="zh-TW" w:eastAsia="zh-CN"/>
        </w:rPr>
        <w:t>。</w:t>
      </w:r>
      <w:r>
        <w:rPr>
          <w:rFonts w:hint="default" w:ascii="Times New Roman" w:hAnsi="Times New Roman" w:eastAsia="宋体" w:cs="Times New Roman"/>
          <w:color w:val="auto"/>
          <w:highlight w:val="none"/>
          <w:lang w:val="en-US" w:eastAsia="zh-CN"/>
        </w:rPr>
        <w:t>具体指标分类如下：</w:t>
      </w:r>
    </w:p>
    <w:p w14:paraId="36D3C3FC">
      <w:pPr>
        <w:spacing w:before="0" w:after="0" w:line="360" w:lineRule="auto"/>
        <w:ind w:firstLine="420"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val="en-US" w:eastAsia="zh-CN"/>
        </w:rPr>
        <w:t>决策指标</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bCs/>
          <w:color w:val="auto"/>
          <w:highlight w:val="none"/>
        </w:rPr>
        <w:t>从项目立项</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绩效目标</w:t>
      </w:r>
      <w:r>
        <w:rPr>
          <w:rFonts w:hint="default"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资金投入</w:t>
      </w:r>
      <w:r>
        <w:rPr>
          <w:rFonts w:hint="default" w:ascii="Times New Roman" w:hAnsi="Times New Roman" w:eastAsia="宋体" w:cs="Times New Roman"/>
          <w:bCs/>
          <w:color w:val="auto"/>
          <w:highlight w:val="none"/>
          <w:lang w:val="en-US" w:eastAsia="zh-CN"/>
        </w:rPr>
        <w:t>三个</w:t>
      </w:r>
      <w:r>
        <w:rPr>
          <w:rFonts w:hint="default" w:ascii="Times New Roman" w:hAnsi="Times New Roman" w:eastAsia="宋体" w:cs="Times New Roman"/>
          <w:bCs/>
          <w:color w:val="auto"/>
          <w:highlight w:val="none"/>
        </w:rPr>
        <w:t>方面对</w:t>
      </w:r>
      <w:r>
        <w:rPr>
          <w:rFonts w:hint="default" w:ascii="Times New Roman" w:hAnsi="Times New Roman" w:eastAsia="宋体" w:cs="Times New Roman"/>
          <w:bCs/>
          <w:color w:val="auto"/>
          <w:highlight w:val="none"/>
          <w:lang w:val="en-US" w:eastAsia="zh-CN"/>
        </w:rPr>
        <w:t>项目</w:t>
      </w:r>
      <w:r>
        <w:rPr>
          <w:rFonts w:hint="default" w:ascii="Times New Roman" w:hAnsi="Times New Roman" w:eastAsia="宋体" w:cs="Times New Roman"/>
          <w:bCs/>
          <w:color w:val="auto"/>
          <w:highlight w:val="none"/>
        </w:rPr>
        <w:t>决策情况进行评价，</w:t>
      </w:r>
      <w:r>
        <w:rPr>
          <w:rFonts w:hint="default"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rPr>
        <w:t>A11立项依据充分性、A12立项程序规范性、A21绩效目标合理性、A22绩效指标明确性、A31预算编制科学性、A32资金分配合理性</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6</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18520DBB">
      <w:pPr>
        <w:spacing w:before="0" w:after="0" w:line="360" w:lineRule="auto"/>
        <w:ind w:firstLine="420" w:firstLineChars="200"/>
        <w:rPr>
          <w:rFonts w:hint="eastAsia"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val="en-US" w:eastAsia="zh-CN"/>
        </w:rPr>
        <w:t>过程指标：</w:t>
      </w:r>
      <w:r>
        <w:rPr>
          <w:rFonts w:hint="default" w:ascii="Times New Roman" w:hAnsi="Times New Roman" w:eastAsia="宋体" w:cs="Times New Roman"/>
          <w:bCs/>
          <w:color w:val="auto"/>
          <w:highlight w:val="none"/>
        </w:rPr>
        <w:t>从</w:t>
      </w:r>
      <w:r>
        <w:rPr>
          <w:rFonts w:hint="default" w:ascii="Times New Roman" w:hAnsi="Times New Roman" w:eastAsia="宋体" w:cs="Times New Roman"/>
          <w:bCs/>
          <w:color w:val="auto"/>
          <w:highlight w:val="none"/>
          <w:lang w:val="en-US" w:eastAsia="zh-CN"/>
        </w:rPr>
        <w:t>资金管理和组织实施两个方面</w:t>
      </w:r>
      <w:r>
        <w:rPr>
          <w:rFonts w:hint="default" w:ascii="Times New Roman" w:hAnsi="Times New Roman" w:eastAsia="宋体" w:cs="Times New Roman"/>
          <w:bCs/>
          <w:color w:val="auto"/>
          <w:highlight w:val="none"/>
        </w:rPr>
        <w:t>评价</w:t>
      </w:r>
      <w:r>
        <w:rPr>
          <w:rFonts w:hint="default" w:ascii="Times New Roman" w:hAnsi="Times New Roman" w:eastAsia="宋体" w:cs="Times New Roman"/>
          <w:bCs/>
          <w:color w:val="auto"/>
          <w:highlight w:val="none"/>
          <w:lang w:val="en-US" w:eastAsia="zh-CN"/>
        </w:rPr>
        <w:t>项目实施过程</w:t>
      </w:r>
      <w:r>
        <w:rPr>
          <w:rFonts w:hint="default" w:ascii="Times New Roman" w:hAnsi="Times New Roman" w:eastAsia="宋体" w:cs="Times New Roman"/>
          <w:bCs/>
          <w:color w:val="auto"/>
          <w:highlight w:val="none"/>
        </w:rPr>
        <w:t>情况，</w:t>
      </w:r>
      <w:r>
        <w:rPr>
          <w:rFonts w:hint="default" w:ascii="Times New Roman" w:hAnsi="Times New Roman" w:eastAsia="宋体" w:cs="Times New Roman"/>
          <w:bCs/>
          <w:color w:val="auto"/>
          <w:highlight w:val="none"/>
          <w:lang w:val="en-US" w:eastAsia="zh-CN"/>
        </w:rPr>
        <w:t>设置了包括</w:t>
      </w:r>
      <w:r>
        <w:rPr>
          <w:rFonts w:hint="default" w:ascii="Times New Roman" w:hAnsi="Times New Roman" w:eastAsia="宋体" w:cs="Times New Roman"/>
          <w:color w:val="auto"/>
          <w:highlight w:val="none"/>
        </w:rPr>
        <w:t>B11资金到位率、B12预算执行率、B13资金使用合规性、B21管理制度健全性、B22制度执行有效性</w:t>
      </w:r>
      <w:r>
        <w:rPr>
          <w:rFonts w:hint="default" w:ascii="Times New Roman" w:hAnsi="Times New Roman" w:eastAsia="宋体" w:cs="Times New Roman"/>
          <w:color w:val="auto"/>
          <w:highlight w:val="none"/>
          <w:lang w:val="en-US" w:eastAsia="zh-CN"/>
        </w:rPr>
        <w:t>等</w:t>
      </w:r>
      <w:r>
        <w:rPr>
          <w:rFonts w:hint="default" w:ascii="Times New Roman" w:hAnsi="Times New Roman" w:eastAsia="宋体" w:cs="Times New Roman"/>
          <w:bCs/>
          <w:color w:val="auto"/>
          <w:highlight w:val="none"/>
          <w:lang w:val="en-US" w:eastAsia="zh-CN"/>
        </w:rPr>
        <w:t>5</w:t>
      </w:r>
      <w:r>
        <w:rPr>
          <w:rFonts w:hint="default" w:ascii="Times New Roman" w:hAnsi="Times New Roman" w:eastAsia="宋体" w:cs="Times New Roman"/>
          <w:bCs/>
          <w:color w:val="auto"/>
          <w:highlight w:val="none"/>
        </w:rPr>
        <w:t>个三级指标</w:t>
      </w:r>
      <w:r>
        <w:rPr>
          <w:rFonts w:hint="default" w:ascii="Times New Roman" w:hAnsi="Times New Roman" w:eastAsia="宋体" w:cs="Times New Roman"/>
          <w:color w:val="auto"/>
          <w:highlight w:val="none"/>
          <w:lang w:eastAsia="zh-CN"/>
        </w:rPr>
        <w:t>。</w:t>
      </w:r>
    </w:p>
    <w:p w14:paraId="22BB20F7">
      <w:pPr>
        <w:pageBreakBefore w:val="0"/>
        <w:kinsoku/>
        <w:wordWrap/>
        <w:overflowPunct/>
        <w:topLinePunct w:val="0"/>
        <w:autoSpaceDE/>
        <w:autoSpaceDN/>
        <w:bidi w:val="0"/>
        <w:snapToGrid w:val="0"/>
        <w:spacing w:before="0" w:after="0" w:line="360" w:lineRule="auto"/>
        <w:ind w:firstLine="420"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产出指标</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bCs/>
          <w:color w:val="auto"/>
          <w:highlight w:val="none"/>
        </w:rPr>
        <w:t>从</w:t>
      </w:r>
      <w:r>
        <w:rPr>
          <w:rFonts w:hint="default" w:ascii="Times New Roman" w:hAnsi="Times New Roman" w:eastAsia="宋体" w:cs="Times New Roman"/>
          <w:bCs/>
          <w:color w:val="auto"/>
          <w:highlight w:val="none"/>
          <w:lang w:val="en-US" w:eastAsia="zh-CN"/>
        </w:rPr>
        <w:t>数量、质量、时效、成本四</w:t>
      </w:r>
      <w:r>
        <w:rPr>
          <w:rFonts w:hint="default" w:ascii="Times New Roman" w:hAnsi="Times New Roman" w:eastAsia="宋体" w:cs="Times New Roman"/>
          <w:bCs/>
          <w:color w:val="auto"/>
          <w:highlight w:val="none"/>
        </w:rPr>
        <w:t>方面</w:t>
      </w:r>
      <w:r>
        <w:rPr>
          <w:rFonts w:hint="default" w:ascii="Times New Roman" w:hAnsi="Times New Roman" w:eastAsia="宋体" w:cs="Times New Roman"/>
          <w:bCs/>
          <w:color w:val="auto"/>
          <w:highlight w:val="none"/>
          <w:lang w:val="en-US" w:eastAsia="zh-CN"/>
        </w:rPr>
        <w:t>评价项目实施完成后的产出</w:t>
      </w:r>
      <w:r>
        <w:rPr>
          <w:rFonts w:hint="default" w:ascii="Times New Roman" w:hAnsi="Times New Roman" w:eastAsia="宋体" w:cs="Times New Roman"/>
          <w:bCs/>
          <w:color w:val="auto"/>
          <w:highlight w:val="none"/>
        </w:rPr>
        <w:t>情况，</w:t>
      </w:r>
      <w:r>
        <w:rPr>
          <w:rFonts w:hint="default"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lang w:eastAsia="zh-CN"/>
        </w:rPr>
        <w:t>C11新建建设五人制笼式足球场工程量、C12新建标准篮球场工程量、C21项目竣工验收合格率、C31项目开工及时率、C32项目完工及时率、C41</w:t>
      </w:r>
      <w:r>
        <w:rPr>
          <w:rFonts w:hint="eastAsia" w:eastAsia="宋体" w:cs="Times New Roman"/>
          <w:color w:val="auto"/>
          <w:highlight w:val="none"/>
          <w:lang w:eastAsia="zh-CN"/>
        </w:rPr>
        <w:t>项目工程建设成本</w:t>
      </w:r>
      <w:r>
        <w:rPr>
          <w:rFonts w:hint="default" w:ascii="Times New Roman" w:hAnsi="Times New Roman" w:eastAsia="宋体" w:cs="Times New Roman"/>
          <w:color w:val="auto"/>
          <w:highlight w:val="none"/>
          <w:lang w:val="en-US" w:eastAsia="zh-CN"/>
        </w:rPr>
        <w:t>等</w:t>
      </w:r>
      <w:r>
        <w:rPr>
          <w:rFonts w:hint="eastAsia" w:ascii="Times New Roman" w:hAnsi="Times New Roman" w:eastAsia="宋体" w:cs="Times New Roman"/>
          <w:bCs/>
          <w:color w:val="auto"/>
          <w:highlight w:val="none"/>
          <w:lang w:val="en-US" w:eastAsia="zh-CN"/>
        </w:rPr>
        <w:t>6</w:t>
      </w:r>
      <w:r>
        <w:rPr>
          <w:rFonts w:hint="default" w:ascii="Times New Roman" w:hAnsi="Times New Roman" w:eastAsia="宋体" w:cs="Times New Roman"/>
          <w:bCs/>
          <w:color w:val="auto"/>
          <w:highlight w:val="none"/>
        </w:rPr>
        <w:t>个三级指标</w:t>
      </w:r>
      <w:r>
        <w:rPr>
          <w:rFonts w:hint="eastAsia" w:ascii="Times New Roman" w:hAnsi="Times New Roman" w:eastAsia="宋体" w:cs="Times New Roman"/>
          <w:color w:val="auto"/>
          <w:highlight w:val="none"/>
          <w:lang w:eastAsia="zh-CN"/>
        </w:rPr>
        <w:t>。</w:t>
      </w:r>
    </w:p>
    <w:p w14:paraId="3935082F">
      <w:pPr>
        <w:spacing w:before="0" w:after="0" w:line="360" w:lineRule="auto"/>
        <w:ind w:firstLine="420" w:firstLineChars="200"/>
        <w:rPr>
          <w:rFonts w:hint="default" w:ascii="Times New Roman" w:hAnsi="Times New Roman" w:eastAsia="宋体" w:cs="Times New Roman"/>
          <w:color w:val="auto"/>
          <w:highlight w:val="none"/>
          <w:lang w:eastAsia="zh-CN"/>
        </w:rPr>
      </w:pPr>
      <w:r>
        <w:rPr>
          <w:rFonts w:hint="eastAsia" w:ascii="Times New Roman" w:hAnsi="Times New Roman" w:eastAsia="宋体" w:cs="Times New Roman"/>
          <w:b w:val="0"/>
          <w:bCs w:val="0"/>
          <w:color w:val="auto"/>
          <w:highlight w:val="none"/>
          <w:lang w:val="en-US" w:eastAsia="zh-CN"/>
        </w:rPr>
        <w:t>效益指标：</w:t>
      </w:r>
      <w:r>
        <w:rPr>
          <w:rFonts w:hint="default" w:ascii="Times New Roman" w:hAnsi="Times New Roman" w:eastAsia="宋体" w:cs="Times New Roman"/>
          <w:bCs/>
          <w:color w:val="auto"/>
          <w:highlight w:val="none"/>
          <w:lang w:val="en-US" w:eastAsia="zh-CN"/>
        </w:rPr>
        <w:t>设置了包括</w:t>
      </w:r>
      <w:r>
        <w:rPr>
          <w:rFonts w:hint="eastAsia" w:ascii="Times New Roman" w:hAnsi="Times New Roman" w:eastAsia="宋体" w:cs="Times New Roman"/>
          <w:color w:val="auto"/>
          <w:highlight w:val="none"/>
          <w:lang w:eastAsia="zh-CN"/>
        </w:rPr>
        <w:t>D11提升公众健康水平、D12提升群众参与足球、</w:t>
      </w:r>
      <w:r>
        <w:rPr>
          <w:rFonts w:hint="eastAsia" w:ascii="Times New Roman" w:hAnsi="Times New Roman" w:eastAsia="宋体" w:cs="Times New Roman"/>
          <w:color w:val="auto"/>
          <w:highlight w:val="none"/>
          <w:lang w:val="en-US" w:eastAsia="zh-CN"/>
        </w:rPr>
        <w:t>篮球</w:t>
      </w:r>
      <w:r>
        <w:rPr>
          <w:rFonts w:hint="eastAsia" w:ascii="Times New Roman" w:hAnsi="Times New Roman" w:eastAsia="宋体" w:cs="Times New Roman"/>
          <w:color w:val="auto"/>
          <w:highlight w:val="none"/>
          <w:lang w:eastAsia="zh-CN"/>
        </w:rPr>
        <w:t>锻炼积极性、D21项目所在村受益村民满意度</w:t>
      </w:r>
      <w:r>
        <w:rPr>
          <w:rFonts w:hint="default" w:ascii="Times New Roman" w:hAnsi="Times New Roman" w:eastAsia="宋体" w:cs="Times New Roman"/>
          <w:color w:val="auto"/>
          <w:highlight w:val="none"/>
          <w:lang w:val="en-US" w:eastAsia="zh-CN"/>
        </w:rPr>
        <w:t>等</w:t>
      </w:r>
      <w:r>
        <w:rPr>
          <w:rFonts w:hint="eastAsia" w:ascii="Times New Roman" w:hAnsi="Times New Roman" w:eastAsia="宋体" w:cs="Times New Roman"/>
          <w:bCs/>
          <w:color w:val="auto"/>
          <w:highlight w:val="none"/>
          <w:lang w:val="en-US" w:eastAsia="zh-CN"/>
        </w:rPr>
        <w:t>3</w:t>
      </w:r>
      <w:r>
        <w:rPr>
          <w:rFonts w:hint="default" w:ascii="Times New Roman" w:hAnsi="Times New Roman" w:eastAsia="宋体" w:cs="Times New Roman"/>
          <w:bCs/>
          <w:color w:val="auto"/>
          <w:highlight w:val="none"/>
        </w:rPr>
        <w:t>个三级指标</w:t>
      </w:r>
      <w:r>
        <w:rPr>
          <w:rFonts w:hint="eastAsia" w:ascii="Times New Roman" w:hAnsi="Times New Roman" w:eastAsia="宋体" w:cs="Times New Roman"/>
          <w:color w:val="auto"/>
          <w:highlight w:val="none"/>
          <w:lang w:eastAsia="zh-CN"/>
        </w:rPr>
        <w:t>。</w:t>
      </w:r>
    </w:p>
    <w:p w14:paraId="4325EEB3">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73" w:name="_Toc4270"/>
      <w:bookmarkStart w:id="74" w:name="_Toc17292"/>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七</w:t>
      </w:r>
      <w:r>
        <w:rPr>
          <w:rFonts w:ascii="Times New Roman" w:hAnsi="Times New Roman" w:eastAsia="宋体" w:cs="Times New Roman"/>
          <w:color w:val="auto"/>
          <w:highlight w:val="none"/>
        </w:rPr>
        <w:t>）绩效评价工作过程</w:t>
      </w:r>
      <w:bookmarkEnd w:id="72"/>
      <w:bookmarkEnd w:id="73"/>
      <w:bookmarkEnd w:id="74"/>
    </w:p>
    <w:p w14:paraId="308C190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imes New Roman" w:hAnsi="Times New Roman" w:eastAsia="宋体" w:cs="Times New Roman"/>
          <w:color w:val="auto"/>
          <w:highlight w:val="none"/>
        </w:rPr>
      </w:pPr>
      <w:r>
        <w:rPr>
          <w:rFonts w:hint="default" w:ascii="Times New Roman" w:hAnsi="Times New Roman" w:eastAsia="宋体" w:cs="Times New Roman"/>
          <w:color w:val="auto"/>
          <w:highlight w:val="none"/>
        </w:rPr>
        <w:t>我们接受委托，按规定开展了前期准备、制定绩效评价工作方案、组织实施、报告撰写等绩效评价工作程序。绩效评价从</w:t>
      </w: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1</w:t>
      </w:r>
      <w:r>
        <w:rPr>
          <w:rFonts w:hint="default" w:ascii="Times New Roman" w:hAnsi="Times New Roman" w:eastAsia="宋体" w:cs="Times New Roman"/>
          <w:color w:val="auto"/>
          <w:highlight w:val="none"/>
        </w:rPr>
        <w:t>日启动，在各方有效配合下，评价工作于</w:t>
      </w: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8</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20</w:t>
      </w:r>
      <w:r>
        <w:rPr>
          <w:rFonts w:hint="default" w:ascii="Times New Roman" w:hAnsi="Times New Roman" w:eastAsia="宋体" w:cs="Times New Roman"/>
          <w:color w:val="auto"/>
          <w:highlight w:val="none"/>
        </w:rPr>
        <w:t>日前完成。主要实施过程如下：</w:t>
      </w:r>
    </w:p>
    <w:p w14:paraId="70F667DA">
      <w:pPr>
        <w:pStyle w:val="6"/>
        <w:spacing w:before="0" w:after="0" w:line="360" w:lineRule="auto"/>
        <w:ind w:firstLine="641"/>
        <w:rPr>
          <w:rFonts w:ascii="Times New Roman" w:hAnsi="Times New Roman" w:eastAsia="宋体" w:cs="Times New Roman"/>
          <w:color w:val="auto"/>
          <w:highlight w:val="none"/>
        </w:rPr>
      </w:pPr>
      <w:r>
        <w:rPr>
          <w:rFonts w:ascii="Times New Roman" w:hAnsi="Times New Roman" w:eastAsia="宋体" w:cs="Times New Roman"/>
          <w:color w:val="auto"/>
          <w:highlight w:val="none"/>
        </w:rPr>
        <w:t>1.前期准备</w:t>
      </w:r>
    </w:p>
    <w:p w14:paraId="67F47483">
      <w:pPr>
        <w:spacing w:before="0" w:after="0" w:line="360" w:lineRule="auto"/>
        <w:ind w:firstLine="640"/>
        <w:rPr>
          <w:rFonts w:ascii="Times New Roman" w:hAnsi="Times New Roman" w:eastAsia="宋体" w:cs="Times New Roman"/>
          <w:b/>
          <w:bCs w:val="0"/>
          <w:color w:val="auto"/>
          <w:highlight w:val="none"/>
        </w:rPr>
      </w:pPr>
      <w:r>
        <w:rPr>
          <w:rFonts w:hint="eastAsia" w:ascii="Times New Roman" w:hAnsi="Times New Roman" w:eastAsia="宋体" w:cs="Times New Roman"/>
          <w:bCs/>
          <w:color w:val="auto"/>
          <w:highlight w:val="none"/>
          <w:lang w:eastAsia="zh-CN"/>
        </w:rPr>
        <w:t>（</w:t>
      </w:r>
      <w:r>
        <w:rPr>
          <w:rFonts w:hint="eastAsia" w:ascii="Times New Roman" w:hAnsi="Times New Roman" w:eastAsia="宋体" w:cs="Times New Roman"/>
          <w:bCs/>
          <w:color w:val="auto"/>
          <w:highlight w:val="none"/>
          <w:lang w:val="en-US" w:eastAsia="zh-CN"/>
        </w:rPr>
        <w:t>1</w:t>
      </w:r>
      <w:r>
        <w:rPr>
          <w:rFonts w:hint="eastAsia" w:ascii="Times New Roman" w:hAnsi="Times New Roman" w:eastAsia="宋体" w:cs="Times New Roman"/>
          <w:bCs/>
          <w:color w:val="auto"/>
          <w:highlight w:val="none"/>
          <w:lang w:eastAsia="zh-CN"/>
        </w:rPr>
        <w:t>）</w:t>
      </w:r>
      <w:r>
        <w:rPr>
          <w:rFonts w:hint="default" w:ascii="Times New Roman" w:hAnsi="Times New Roman" w:eastAsia="宋体" w:cs="Times New Roman"/>
          <w:bCs/>
          <w:color w:val="auto"/>
          <w:highlight w:val="none"/>
        </w:rPr>
        <w:t>根据项目实际情况，确定绩效评价目的、对象和范围、评价期限，</w:t>
      </w:r>
      <w:r>
        <w:rPr>
          <w:rFonts w:hint="default" w:ascii="Times New Roman" w:hAnsi="Times New Roman" w:eastAsia="宋体" w:cs="Times New Roman"/>
          <w:bCs/>
          <w:color w:val="auto"/>
          <w:highlight w:val="none"/>
          <w:lang w:val="en-US" w:eastAsia="zh-CN"/>
        </w:rPr>
        <w:t>接受绩效评价业务的委托</w:t>
      </w:r>
      <w:r>
        <w:rPr>
          <w:rFonts w:hint="default" w:ascii="Times New Roman" w:hAnsi="Times New Roman" w:eastAsia="宋体" w:cs="Times New Roman"/>
          <w:color w:val="auto"/>
          <w:highlight w:val="none"/>
        </w:rPr>
        <w:t>，并成立绩效评价小组。</w:t>
      </w:r>
    </w:p>
    <w:p w14:paraId="2A98D964">
      <w:pPr>
        <w:spacing w:before="0" w:after="0" w:line="360" w:lineRule="auto"/>
        <w:ind w:firstLine="64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成立绩效评价小组。</w:t>
      </w:r>
      <w:r>
        <w:rPr>
          <w:rFonts w:hint="default" w:ascii="Times New Roman" w:hAnsi="Times New Roman" w:eastAsia="宋体" w:cs="Times New Roman"/>
          <w:color w:val="auto"/>
          <w:highlight w:val="none"/>
          <w:lang w:val="en-US" w:eastAsia="zh-CN"/>
        </w:rPr>
        <w:t>绩效评价小组</w:t>
      </w:r>
      <w:r>
        <w:rPr>
          <w:rFonts w:hint="default" w:ascii="Times New Roman" w:hAnsi="Times New Roman" w:eastAsia="宋体" w:cs="Times New Roman"/>
          <w:color w:val="auto"/>
          <w:highlight w:val="none"/>
        </w:rPr>
        <w:t>实行组长负责制，项目总负责人统筹全盘工作，</w:t>
      </w:r>
      <w:r>
        <w:rPr>
          <w:rFonts w:hint="default" w:ascii="Times New Roman" w:hAnsi="Times New Roman" w:eastAsia="宋体" w:cs="Times New Roman"/>
          <w:b w:val="0"/>
          <w:bCs w:val="0"/>
          <w:color w:val="auto"/>
          <w:highlight w:val="none"/>
        </w:rPr>
        <w:t>对</w:t>
      </w:r>
      <w:r>
        <w:rPr>
          <w:rFonts w:hint="default" w:ascii="Times New Roman" w:hAnsi="Times New Roman" w:eastAsia="宋体" w:cs="Times New Roman"/>
          <w:b w:val="0"/>
          <w:bCs w:val="0"/>
          <w:color w:val="auto"/>
          <w:highlight w:val="none"/>
          <w:lang w:val="en-US" w:eastAsia="zh-CN"/>
        </w:rPr>
        <w:t>绩效评价</w:t>
      </w:r>
      <w:r>
        <w:rPr>
          <w:rFonts w:hint="default" w:ascii="Times New Roman" w:hAnsi="Times New Roman" w:eastAsia="宋体" w:cs="Times New Roman"/>
          <w:b w:val="0"/>
          <w:bCs w:val="0"/>
          <w:color w:val="auto"/>
          <w:highlight w:val="none"/>
        </w:rPr>
        <w:t>工作提供技术指导与支持，</w:t>
      </w:r>
      <w:r>
        <w:rPr>
          <w:rFonts w:hint="eastAsia" w:ascii="Times New Roman" w:hAnsi="Times New Roman" w:eastAsia="宋体" w:cs="Times New Roman"/>
          <w:b w:val="0"/>
          <w:bCs w:val="0"/>
          <w:color w:val="auto"/>
          <w:highlight w:val="none"/>
          <w:lang w:val="en-US" w:eastAsia="zh-CN"/>
        </w:rPr>
        <w:t>报告稽核人</w:t>
      </w:r>
      <w:r>
        <w:rPr>
          <w:rFonts w:hint="default" w:ascii="Times New Roman" w:hAnsi="Times New Roman" w:eastAsia="宋体" w:cs="Times New Roman"/>
          <w:b w:val="0"/>
          <w:bCs w:val="0"/>
          <w:color w:val="auto"/>
          <w:highlight w:val="none"/>
        </w:rPr>
        <w:t>对评价工作质量把关，并负责报告数据审核验收、报告撰写指导、报告验收等技术工作；绩效评价组成员计划安排</w:t>
      </w:r>
      <w:r>
        <w:rPr>
          <w:rFonts w:hint="default" w:ascii="Times New Roman" w:hAnsi="Times New Roman" w:eastAsia="宋体" w:cs="Times New Roman"/>
          <w:b w:val="0"/>
          <w:bCs w:val="0"/>
          <w:color w:val="auto"/>
          <w:highlight w:val="none"/>
          <w:lang w:val="en-US" w:eastAsia="zh-CN"/>
        </w:rPr>
        <w:t>2</w:t>
      </w:r>
      <w:r>
        <w:rPr>
          <w:rFonts w:hint="default" w:ascii="Times New Roman" w:hAnsi="Times New Roman" w:eastAsia="宋体" w:cs="Times New Roman"/>
          <w:b w:val="0"/>
          <w:bCs w:val="0"/>
          <w:color w:val="auto"/>
          <w:highlight w:val="none"/>
        </w:rPr>
        <w:t>人，完成现场调研、资料收集和检</w:t>
      </w:r>
      <w:r>
        <w:rPr>
          <w:rFonts w:hint="default" w:ascii="Times New Roman" w:hAnsi="Times New Roman" w:eastAsia="宋体" w:cs="Times New Roman"/>
          <w:color w:val="auto"/>
          <w:highlight w:val="none"/>
        </w:rPr>
        <w:t>查、项目相关人员访谈、问题清单整理、数据整理、撰写报告等工作</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具体成员及职责分工如下</w:t>
      </w:r>
      <w:r>
        <w:rPr>
          <w:rFonts w:ascii="Times New Roman" w:hAnsi="Times New Roman" w:eastAsia="宋体" w:cs="Times New Roman"/>
          <w:color w:val="auto"/>
          <w:highlight w:val="none"/>
        </w:rPr>
        <w:t>：</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557" w:type="dxa"/>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序号</w:t>
            </w:r>
          </w:p>
        </w:tc>
        <w:tc>
          <w:tcPr>
            <w:tcW w:w="881" w:type="dxa"/>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姓名</w:t>
            </w:r>
          </w:p>
        </w:tc>
        <w:tc>
          <w:tcPr>
            <w:tcW w:w="1356" w:type="dxa"/>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rPr>
              <w:t>项目角色</w:t>
            </w:r>
          </w:p>
        </w:tc>
        <w:tc>
          <w:tcPr>
            <w:tcW w:w="1616" w:type="dxa"/>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eastAsia="en-US"/>
              </w:rPr>
            </w:pPr>
            <w:r>
              <w:rPr>
                <w:rFonts w:hint="default" w:ascii="Times New Roman" w:hAnsi="Times New Roman" w:eastAsia="宋体" w:cs="Times New Roman"/>
                <w:b/>
                <w:color w:val="auto"/>
                <w:kern w:val="0"/>
                <w:sz w:val="21"/>
                <w:szCs w:val="21"/>
                <w:highlight w:val="none"/>
                <w:lang w:bidi="ar"/>
              </w:rPr>
              <w:t>资质或公司职位</w:t>
            </w:r>
          </w:p>
        </w:tc>
        <w:tc>
          <w:tcPr>
            <w:tcW w:w="3926" w:type="dxa"/>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
                <w:color w:val="auto"/>
                <w:kern w:val="0"/>
                <w:sz w:val="21"/>
                <w:szCs w:val="21"/>
                <w:highlight w:val="none"/>
                <w:lang w:bidi="ar"/>
              </w:rPr>
            </w:pPr>
            <w:r>
              <w:rPr>
                <w:rFonts w:hint="default" w:ascii="Times New Roman" w:hAnsi="Times New Roman" w:eastAsia="宋体" w:cs="Times New Roman"/>
                <w:b/>
                <w:color w:val="auto"/>
                <w:kern w:val="0"/>
                <w:sz w:val="21"/>
                <w:szCs w:val="21"/>
                <w:highlight w:val="none"/>
                <w:lang w:bidi="ar"/>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68" w:hRule="atLeast"/>
          <w:jc w:val="center"/>
        </w:trPr>
        <w:tc>
          <w:tcPr>
            <w:tcW w:w="557" w:type="dxa"/>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1</w:t>
            </w:r>
          </w:p>
        </w:tc>
        <w:tc>
          <w:tcPr>
            <w:tcW w:w="881" w:type="dxa"/>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bCs/>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冯延萍</w:t>
            </w:r>
          </w:p>
        </w:tc>
        <w:tc>
          <w:tcPr>
            <w:tcW w:w="1356" w:type="dxa"/>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主评人</w:t>
            </w:r>
          </w:p>
        </w:tc>
        <w:tc>
          <w:tcPr>
            <w:tcW w:w="1616" w:type="dxa"/>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注册会计师、中级会计师</w:t>
            </w:r>
          </w:p>
        </w:tc>
        <w:tc>
          <w:tcPr>
            <w:tcW w:w="3926" w:type="dxa"/>
            <w:noWrap w:val="0"/>
            <w:vAlign w:val="center"/>
          </w:tcPr>
          <w:p w14:paraId="59BB9251">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1996C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75" w:hRule="atLeast"/>
          <w:jc w:val="center"/>
        </w:trPr>
        <w:tc>
          <w:tcPr>
            <w:tcW w:w="557" w:type="dxa"/>
            <w:noWrap w:val="0"/>
            <w:vAlign w:val="center"/>
          </w:tcPr>
          <w:p w14:paraId="43750BA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eastAsia" w:ascii="Times New Roman" w:hAnsi="Times New Roman" w:eastAsia="宋体" w:cs="Times New Roman"/>
                <w:color w:val="auto"/>
                <w:kern w:val="0"/>
                <w:sz w:val="21"/>
                <w:szCs w:val="21"/>
                <w:highlight w:val="none"/>
                <w:lang w:val="en-US" w:eastAsia="zh-CN" w:bidi="ar"/>
              </w:rPr>
              <w:t>2</w:t>
            </w:r>
          </w:p>
        </w:tc>
        <w:tc>
          <w:tcPr>
            <w:tcW w:w="881" w:type="dxa"/>
            <w:noWrap w:val="0"/>
            <w:vAlign w:val="center"/>
          </w:tcPr>
          <w:p w14:paraId="12EE5FA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sz w:val="21"/>
                <w:szCs w:val="21"/>
                <w:highlight w:val="none"/>
                <w:lang w:val="en-US" w:eastAsia="zh-CN"/>
              </w:rPr>
              <w:t>腊晓林</w:t>
            </w:r>
          </w:p>
        </w:tc>
        <w:tc>
          <w:tcPr>
            <w:tcW w:w="1356" w:type="dxa"/>
            <w:noWrap w:val="0"/>
            <w:vAlign w:val="center"/>
          </w:tcPr>
          <w:p w14:paraId="21038F3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sz w:val="21"/>
                <w:szCs w:val="21"/>
                <w:highlight w:val="none"/>
                <w:lang w:val="en-US" w:eastAsia="zh-CN"/>
              </w:rPr>
              <w:t>报告复核人</w:t>
            </w:r>
          </w:p>
        </w:tc>
        <w:tc>
          <w:tcPr>
            <w:tcW w:w="1616" w:type="dxa"/>
            <w:noWrap w:val="0"/>
            <w:vAlign w:val="center"/>
          </w:tcPr>
          <w:p w14:paraId="18F5243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咨询工程师</w:t>
            </w:r>
          </w:p>
        </w:tc>
        <w:tc>
          <w:tcPr>
            <w:tcW w:w="3926" w:type="dxa"/>
            <w:noWrap w:val="0"/>
            <w:vAlign w:val="center"/>
          </w:tcPr>
          <w:p w14:paraId="0EDBEEC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rPr>
              <w:t>通过稽核强化工作质量管理，严格把控评价结果报告质量关，</w:t>
            </w:r>
            <w:r>
              <w:rPr>
                <w:rFonts w:hint="default" w:ascii="Times New Roman" w:hAnsi="Times New Roman" w:eastAsia="宋体" w:cs="Times New Roman"/>
                <w:bCs/>
                <w:snapToGrid w:val="0"/>
                <w:color w:val="auto"/>
                <w:sz w:val="21"/>
                <w:szCs w:val="21"/>
                <w:highlight w:val="none"/>
                <w:lang w:val="en-US" w:eastAsia="zh-CN"/>
              </w:rPr>
              <w:t>审核实施方案，负责对项目成果进行复核，</w:t>
            </w:r>
            <w:r>
              <w:rPr>
                <w:rFonts w:hint="default" w:ascii="Times New Roman" w:hAnsi="Times New Roman" w:eastAsia="宋体" w:cs="Times New Roman"/>
                <w:color w:val="auto"/>
                <w:sz w:val="21"/>
                <w:szCs w:val="21"/>
                <w:highlight w:val="none"/>
              </w:rPr>
              <w:t>杜绝或减少对外出具的报告中出现不应出错或低级错误的发生，确保工作质量不出现重大纰漏。</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57" w:type="dxa"/>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3</w:t>
            </w:r>
          </w:p>
        </w:tc>
        <w:tc>
          <w:tcPr>
            <w:tcW w:w="881" w:type="dxa"/>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张珊</w:t>
            </w:r>
          </w:p>
        </w:tc>
        <w:tc>
          <w:tcPr>
            <w:tcW w:w="1356" w:type="dxa"/>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项目负责人</w:t>
            </w:r>
          </w:p>
        </w:tc>
        <w:tc>
          <w:tcPr>
            <w:tcW w:w="1616" w:type="dxa"/>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项目</w:t>
            </w:r>
            <w:r>
              <w:rPr>
                <w:rFonts w:hint="default" w:ascii="Times New Roman" w:hAnsi="Times New Roman" w:eastAsia="宋体" w:cs="Times New Roman"/>
                <w:color w:val="auto"/>
                <w:sz w:val="21"/>
                <w:szCs w:val="21"/>
                <w:highlight w:val="none"/>
                <w:lang w:eastAsia="zh-Hans"/>
              </w:rPr>
              <w:t>经理</w:t>
            </w:r>
          </w:p>
        </w:tc>
        <w:tc>
          <w:tcPr>
            <w:tcW w:w="3926" w:type="dxa"/>
            <w:noWrap w:val="0"/>
            <w:vAlign w:val="center"/>
          </w:tcPr>
          <w:p w14:paraId="7DC08579">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宋体" w:cs="Times New Roman"/>
                <w:bCs/>
                <w:snapToGrid w:val="0"/>
                <w:color w:val="auto"/>
                <w:sz w:val="21"/>
                <w:szCs w:val="21"/>
                <w:highlight w:val="none"/>
                <w:lang w:val="en-US" w:eastAsia="zh-CN"/>
              </w:rPr>
            </w:pPr>
            <w:r>
              <w:rPr>
                <w:rFonts w:hint="default" w:ascii="Times New Roman" w:hAnsi="Times New Roman" w:eastAsia="宋体"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负责制定项目实施计划，并组织开展具体评价工作，把控项目质量、项目进度和方向，推动服务方案执行和落实；讨论阶段性成果，向本单位和委托方关于本项目进展情况定期汇报进展情况；及时完成项目成果</w:t>
            </w:r>
            <w:r>
              <w:rPr>
                <w:rFonts w:hint="default" w:ascii="Times New Roman" w:hAnsi="Times New Roman" w:eastAsia="宋体" w:cs="Times New Roman"/>
                <w:bCs/>
                <w:snapToGrid w:val="0"/>
                <w:color w:val="auto"/>
                <w:sz w:val="21"/>
                <w:szCs w:val="21"/>
                <w:highlight w:val="none"/>
                <w:lang w:eastAsia="zh-CN"/>
              </w:rPr>
              <w:t>。</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57" w:type="dxa"/>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eastAsia" w:ascii="Times New Roman" w:hAnsi="Times New Roman" w:eastAsia="宋体" w:cs="Times New Roman"/>
                <w:color w:val="auto"/>
                <w:kern w:val="0"/>
                <w:sz w:val="21"/>
                <w:szCs w:val="21"/>
                <w:highlight w:val="none"/>
                <w:lang w:val="en-US" w:eastAsia="zh-CN" w:bidi="ar"/>
              </w:rPr>
              <w:t>4</w:t>
            </w:r>
          </w:p>
        </w:tc>
        <w:tc>
          <w:tcPr>
            <w:tcW w:w="881" w:type="dxa"/>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孙婕</w:t>
            </w:r>
          </w:p>
        </w:tc>
        <w:tc>
          <w:tcPr>
            <w:tcW w:w="1356" w:type="dxa"/>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lang w:eastAsia="en-US"/>
              </w:rPr>
            </w:pPr>
            <w:r>
              <w:rPr>
                <w:rFonts w:hint="default" w:ascii="Times New Roman" w:hAnsi="Times New Roman" w:eastAsia="宋体" w:cs="Times New Roman"/>
                <w:color w:val="auto"/>
                <w:sz w:val="21"/>
                <w:szCs w:val="21"/>
                <w:highlight w:val="none"/>
              </w:rPr>
              <w:t>项目绩效评价人员</w:t>
            </w:r>
          </w:p>
        </w:tc>
        <w:tc>
          <w:tcPr>
            <w:tcW w:w="1616" w:type="dxa"/>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t>项目助理</w:t>
            </w:r>
          </w:p>
        </w:tc>
        <w:tc>
          <w:tcPr>
            <w:tcW w:w="3926" w:type="dxa"/>
            <w:noWrap w:val="0"/>
            <w:vAlign w:val="center"/>
          </w:tcPr>
          <w:p w14:paraId="5424D06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eastAsia="zh-CN" w:bidi="ar"/>
              </w:rPr>
            </w:pPr>
            <w:r>
              <w:rPr>
                <w:rFonts w:hint="default" w:ascii="Times New Roman" w:hAnsi="Times New Roman" w:eastAsia="宋体" w:cs="Times New Roman"/>
                <w:bCs/>
                <w:snapToGrid w:val="0"/>
                <w:color w:val="auto"/>
                <w:sz w:val="21"/>
                <w:szCs w:val="21"/>
                <w:highlight w:val="none"/>
              </w:rPr>
              <w:t>按照计划和分工</w:t>
            </w:r>
            <w:r>
              <w:rPr>
                <w:rFonts w:hint="default" w:ascii="Times New Roman" w:hAnsi="Times New Roman" w:eastAsia="宋体" w:cs="Times New Roman"/>
                <w:bCs/>
                <w:snapToGrid w:val="0"/>
                <w:color w:val="auto"/>
                <w:sz w:val="21"/>
                <w:szCs w:val="21"/>
                <w:highlight w:val="none"/>
                <w:lang w:eastAsia="zh-CN"/>
              </w:rPr>
              <w:t>完成</w:t>
            </w:r>
            <w:r>
              <w:rPr>
                <w:rFonts w:hint="default" w:ascii="Times New Roman" w:hAnsi="Times New Roman" w:eastAsia="宋体" w:cs="Times New Roman"/>
                <w:bCs/>
                <w:snapToGrid w:val="0"/>
                <w:color w:val="auto"/>
                <w:sz w:val="21"/>
                <w:szCs w:val="21"/>
                <w:highlight w:val="none"/>
              </w:rPr>
              <w:t>现场调研、资料收集和检查、项目相关人员访谈、问题清单整理、数据整理、撰写报告等工作。</w:t>
            </w:r>
          </w:p>
        </w:tc>
      </w:tr>
    </w:tbl>
    <w:p w14:paraId="0A3089B2">
      <w:pPr>
        <w:pStyle w:val="6"/>
        <w:spacing w:before="0" w:after="0" w:line="360" w:lineRule="auto"/>
        <w:ind w:firstLine="641"/>
        <w:rPr>
          <w:rFonts w:hint="eastAsia" w:ascii="Times New Roman" w:hAnsi="Times New Roman" w:eastAsia="宋体" w:cs="Times New Roman"/>
          <w:color w:val="auto"/>
          <w:highlight w:val="none"/>
        </w:rPr>
      </w:pPr>
    </w:p>
    <w:p w14:paraId="5045BEC6">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2.确定绩效评价工作方案</w:t>
      </w:r>
    </w:p>
    <w:p w14:paraId="460653B7">
      <w:pPr>
        <w:bidi w:val="0"/>
        <w:spacing w:before="0" w:after="0" w:line="360" w:lineRule="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绩效评价小组根据前期初步收集的项目资料，根据项目实施内容及政策文件要求，</w:t>
      </w:r>
      <w:r>
        <w:rPr>
          <w:rFonts w:hint="eastAsia" w:ascii="Times New Roman" w:hAnsi="Times New Roman" w:eastAsia="宋体" w:cs="Times New Roman"/>
          <w:color w:val="auto"/>
          <w:highlight w:val="none"/>
          <w:lang w:val="en-US" w:eastAsia="zh-CN"/>
        </w:rPr>
        <w:t>于</w:t>
      </w: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1</w:t>
      </w:r>
      <w:r>
        <w:rPr>
          <w:rFonts w:hint="default"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val="en-US" w:eastAsia="zh-CN"/>
        </w:rPr>
        <w:t>前编制完成</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伊宁县全民健身场地设施项目</w:t>
      </w:r>
      <w:r>
        <w:rPr>
          <w:rFonts w:hint="eastAsia" w:ascii="Times New Roman" w:hAnsi="Times New Roman" w:eastAsia="宋体" w:cs="Times New Roman"/>
          <w:color w:val="auto"/>
          <w:highlight w:val="none"/>
        </w:rPr>
        <w:t>绩效评价实施方案》</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经</w:t>
      </w:r>
      <w:r>
        <w:rPr>
          <w:rFonts w:hint="eastAsia" w:ascii="Times New Roman" w:hAnsi="Times New Roman" w:eastAsia="宋体" w:cs="Times New Roman"/>
          <w:color w:val="auto"/>
          <w:highlight w:val="none"/>
          <w:lang w:val="en-US" w:eastAsia="zh-CN"/>
        </w:rPr>
        <w:t>项目负责人审核</w:t>
      </w:r>
      <w:r>
        <w:rPr>
          <w:rFonts w:hint="eastAsia" w:ascii="Times New Roman" w:hAnsi="Times New Roman" w:eastAsia="宋体" w:cs="Times New Roman"/>
          <w:color w:val="auto"/>
          <w:highlight w:val="none"/>
        </w:rPr>
        <w:t>通过后，项目绩效评价工作正式启动。</w:t>
      </w:r>
    </w:p>
    <w:p w14:paraId="72EC2729">
      <w:pPr>
        <w:pStyle w:val="6"/>
        <w:spacing w:before="0" w:after="0" w:line="360" w:lineRule="auto"/>
        <w:ind w:firstLine="641"/>
        <w:rPr>
          <w:rFonts w:ascii="Times New Roman" w:hAnsi="Times New Roman" w:eastAsia="宋体" w:cs="Times New Roman"/>
          <w:color w:val="auto"/>
          <w:highlight w:val="none"/>
        </w:rPr>
      </w:pPr>
      <w:bookmarkStart w:id="75" w:name="_Toc68364664"/>
      <w:r>
        <w:rPr>
          <w:rFonts w:ascii="Times New Roman" w:hAnsi="Times New Roman" w:eastAsia="宋体" w:cs="Times New Roman"/>
          <w:color w:val="auto"/>
          <w:highlight w:val="none"/>
        </w:rPr>
        <w:t>3.组织实施</w:t>
      </w:r>
    </w:p>
    <w:p w14:paraId="0457C609">
      <w:pPr>
        <w:spacing w:before="0" w:after="0" w:line="360" w:lineRule="auto"/>
        <w:ind w:firstLine="64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日</w:t>
      </w:r>
      <w:r>
        <w:rPr>
          <w:rFonts w:hint="default" w:ascii="Times New Roman" w:hAnsi="Times New Roman" w:eastAsia="宋体" w:cs="Times New Roman"/>
          <w:color w:val="auto"/>
          <w:highlight w:val="none"/>
          <w:lang w:val="en-US" w:eastAsia="zh-CN"/>
        </w:rPr>
        <w:t>至2025</w:t>
      </w:r>
      <w:r>
        <w:rPr>
          <w:rFonts w:hint="default" w:ascii="Times New Roman" w:hAnsi="Times New Roman" w:eastAsia="宋体" w:cs="Times New Roman"/>
          <w:color w:val="auto"/>
          <w:highlight w:val="none"/>
        </w:rPr>
        <w:t>年</w:t>
      </w:r>
      <w:r>
        <w:rPr>
          <w:rFonts w:hint="default"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绩效评价组采取现场和非现场评价相结合的方式开展调研、查阅基础资料、数据采集、问卷调查、访谈、数据分析等绩效评价工作，具体实施情况如下：</w:t>
      </w:r>
    </w:p>
    <w:p w14:paraId="20DDF9B1">
      <w:pPr>
        <w:spacing w:before="0" w:after="0" w:line="360" w:lineRule="auto"/>
        <w:ind w:firstLine="640"/>
        <w:rPr>
          <w:rFonts w:ascii="Times New Roman" w:hAnsi="Times New Roman" w:eastAsia="宋体" w:cs="Times New Roman"/>
          <w:color w:val="auto"/>
          <w:highlight w:val="none"/>
        </w:rPr>
      </w:pPr>
      <w:bookmarkStart w:id="76" w:name="_Toc11994"/>
      <w:r>
        <w:rPr>
          <w:rFonts w:ascii="Times New Roman" w:hAnsi="Times New Roman" w:eastAsia="宋体" w:cs="Times New Roman"/>
          <w:color w:val="auto"/>
          <w:highlight w:val="none"/>
        </w:rPr>
        <w:t>（1）</w:t>
      </w:r>
      <w:r>
        <w:rPr>
          <w:rFonts w:hint="eastAsia" w:ascii="Times New Roman" w:hAnsi="Times New Roman" w:eastAsia="宋体" w:cs="Times New Roman"/>
          <w:color w:val="auto"/>
          <w:highlight w:val="none"/>
        </w:rPr>
        <w:t>与</w:t>
      </w:r>
      <w:r>
        <w:rPr>
          <w:rFonts w:hint="eastAsia" w:ascii="Times New Roman" w:hAnsi="Times New Roman" w:eastAsia="宋体" w:cs="Times New Roman"/>
          <w:color w:val="auto"/>
          <w:highlight w:val="none"/>
          <w:lang w:val="en-US" w:eastAsia="zh-CN"/>
        </w:rPr>
        <w:t>伊宁县文化体育广播电视和旅游局相关业务处室</w:t>
      </w:r>
      <w:r>
        <w:rPr>
          <w:rFonts w:hint="eastAsia" w:ascii="Times New Roman" w:hAnsi="Times New Roman" w:eastAsia="宋体" w:cs="Times New Roman"/>
          <w:color w:val="auto"/>
          <w:highlight w:val="none"/>
        </w:rPr>
        <w:t>管理人员进行访谈沟通，全面了解项目实施的目的、预算安排、组织管理、实施结果等方面的内容。</w:t>
      </w:r>
      <w:r>
        <w:rPr>
          <w:rFonts w:ascii="Times New Roman" w:hAnsi="Times New Roman" w:eastAsia="宋体" w:cs="Times New Roman"/>
          <w:color w:val="auto"/>
          <w:highlight w:val="none"/>
        </w:rPr>
        <w:t>根据</w:t>
      </w:r>
      <w:r>
        <w:rPr>
          <w:rFonts w:hint="eastAsia" w:ascii="Times New Roman" w:hAnsi="Times New Roman" w:eastAsia="宋体" w:cs="Times New Roman"/>
          <w:color w:val="auto"/>
          <w:highlight w:val="none"/>
          <w:lang w:val="en-US" w:eastAsia="zh-CN"/>
        </w:rPr>
        <w:t>伊宁县文化体育广播电视和旅游局</w:t>
      </w:r>
      <w:r>
        <w:rPr>
          <w:rFonts w:ascii="Times New Roman" w:hAnsi="Times New Roman" w:eastAsia="宋体" w:cs="Times New Roman"/>
          <w:color w:val="auto"/>
          <w:highlight w:val="none"/>
        </w:rPr>
        <w:t>提供的项目立项、实施、资金使用及管理等方面的资料，对资料进行梳理、分析，并对标相关的政策依据、法律法规、单位制度等，</w:t>
      </w:r>
      <w:r>
        <w:rPr>
          <w:rFonts w:hint="eastAsia" w:ascii="Times New Roman" w:hAnsi="Times New Roman" w:eastAsia="宋体" w:cs="Times New Roman"/>
          <w:color w:val="auto"/>
          <w:highlight w:val="none"/>
        </w:rPr>
        <w:t>完成绩效评价内容所需的印证资料整理汇总。</w:t>
      </w:r>
    </w:p>
    <w:bookmarkEnd w:id="76"/>
    <w:p w14:paraId="59A8A177">
      <w:pPr>
        <w:spacing w:before="0" w:after="0" w:line="360" w:lineRule="auto"/>
        <w:ind w:firstLine="640"/>
        <w:rPr>
          <w:rFonts w:hint="default" w:ascii="Times New Roman" w:hAnsi="Times New Roman" w:eastAsia="宋体" w:cs="Times New Roman"/>
          <w:color w:val="auto"/>
          <w:highlight w:val="none"/>
          <w:lang w:eastAsia="zh-CN"/>
        </w:rPr>
      </w:pPr>
      <w:bookmarkStart w:id="77" w:name="_Toc2618"/>
      <w:r>
        <w:rPr>
          <w:rFonts w:hint="default" w:ascii="Times New Roman" w:hAnsi="Times New Roman" w:eastAsia="宋体" w:cs="Times New Roman"/>
          <w:color w:val="auto"/>
          <w:highlight w:val="none"/>
        </w:rPr>
        <w:t>（</w:t>
      </w:r>
      <w:r>
        <w:rPr>
          <w:rFonts w:hint="default"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rPr>
        <w:t>）</w:t>
      </w:r>
      <w:bookmarkStart w:id="78" w:name="_Toc419984726"/>
      <w:bookmarkStart w:id="79" w:name="_Toc428278235"/>
      <w:bookmarkStart w:id="80" w:name="_Toc26870"/>
      <w:r>
        <w:rPr>
          <w:rFonts w:hint="default" w:ascii="Times New Roman" w:hAnsi="Times New Roman" w:eastAsia="宋体" w:cs="Times New Roman"/>
          <w:color w:val="auto"/>
          <w:highlight w:val="none"/>
          <w:lang w:val="en-US" w:eastAsia="zh-CN"/>
        </w:rPr>
        <w:t>对伊宁县全民健身场地设施项目</w:t>
      </w:r>
      <w:r>
        <w:rPr>
          <w:rFonts w:hint="default" w:ascii="Times New Roman" w:hAnsi="Times New Roman" w:eastAsia="宋体" w:cs="Times New Roman"/>
          <w:b w:val="0"/>
          <w:bCs w:val="0"/>
          <w:color w:val="auto"/>
          <w:kern w:val="2"/>
          <w:sz w:val="21"/>
          <w:szCs w:val="21"/>
          <w:highlight w:val="none"/>
          <w:lang w:val="en-US" w:eastAsia="zh-CN" w:bidi="ar-SA"/>
        </w:rPr>
        <w:t>进行</w:t>
      </w:r>
      <w:r>
        <w:rPr>
          <w:rFonts w:hint="default" w:ascii="Times New Roman" w:hAnsi="Times New Roman" w:eastAsia="宋体" w:cs="Times New Roman"/>
          <w:color w:val="auto"/>
          <w:highlight w:val="none"/>
        </w:rPr>
        <w:t>实地调研和现场勘察</w:t>
      </w:r>
      <w:r>
        <w:rPr>
          <w:rFonts w:hint="default" w:ascii="Times New Roman" w:hAnsi="Times New Roman" w:eastAsia="宋体" w:cs="Times New Roman"/>
          <w:color w:val="auto"/>
          <w:highlight w:val="none"/>
          <w:lang w:eastAsia="zh-CN"/>
        </w:rPr>
        <w:t>，尽职开展前期调查，全面收集项目决策依据、财政预算安排执行情况、项目建设资料等相关资料，完成绩效评价内容所需的印证资料整理汇总。</w:t>
      </w:r>
      <w:r>
        <w:rPr>
          <w:rFonts w:hint="default" w:ascii="Times New Roman" w:hAnsi="Times New Roman" w:eastAsia="宋体" w:cs="Times New Roman"/>
          <w:color w:val="auto"/>
          <w:highlight w:val="none"/>
          <w:lang w:val="en-US" w:eastAsia="zh-CN"/>
        </w:rPr>
        <w:t>实地</w:t>
      </w:r>
      <w:r>
        <w:rPr>
          <w:rFonts w:hint="default" w:ascii="Times New Roman" w:hAnsi="Times New Roman" w:eastAsia="宋体" w:cs="Times New Roman"/>
          <w:color w:val="auto"/>
          <w:highlight w:val="none"/>
          <w:lang w:eastAsia="zh-CN"/>
        </w:rPr>
        <w:t>了解项目实施情况，对项目</w:t>
      </w:r>
      <w:r>
        <w:rPr>
          <w:rFonts w:hint="default" w:ascii="Times New Roman" w:hAnsi="Times New Roman" w:eastAsia="宋体" w:cs="Times New Roman"/>
          <w:color w:val="auto"/>
          <w:highlight w:val="none"/>
          <w:lang w:val="en-US" w:eastAsia="zh-CN"/>
        </w:rPr>
        <w:t>实施的</w:t>
      </w:r>
      <w:r>
        <w:rPr>
          <w:rFonts w:hint="default" w:ascii="Times New Roman" w:hAnsi="Times New Roman" w:eastAsia="宋体" w:cs="Times New Roman"/>
          <w:color w:val="auto"/>
          <w:highlight w:val="none"/>
          <w:lang w:eastAsia="zh-CN"/>
        </w:rPr>
        <w:t>管理进行调查、记录，与项目负责人进行交谈，</w:t>
      </w:r>
      <w:r>
        <w:rPr>
          <w:rFonts w:hint="default" w:ascii="Times New Roman" w:hAnsi="Times New Roman" w:eastAsia="宋体" w:cs="Times New Roman"/>
          <w:color w:val="auto"/>
          <w:highlight w:val="none"/>
          <w:lang w:val="en-US" w:eastAsia="zh-CN"/>
        </w:rPr>
        <w:t>对项目实施</w:t>
      </w:r>
      <w:r>
        <w:rPr>
          <w:rFonts w:hint="eastAsia" w:ascii="Times New Roman" w:hAnsi="Times New Roman" w:eastAsia="宋体" w:cs="Times New Roman"/>
          <w:color w:val="auto"/>
          <w:highlight w:val="none"/>
          <w:lang w:val="en-US" w:eastAsia="zh-CN"/>
        </w:rPr>
        <w:t>建设体育场、篮球场</w:t>
      </w:r>
      <w:r>
        <w:rPr>
          <w:rFonts w:hint="default" w:ascii="Times New Roman" w:hAnsi="Times New Roman" w:eastAsia="宋体" w:cs="Times New Roman"/>
          <w:color w:val="auto"/>
          <w:highlight w:val="none"/>
          <w:lang w:val="en-US" w:eastAsia="zh-CN"/>
        </w:rPr>
        <w:t>等实物资产进行实地拍照存档，</w:t>
      </w:r>
      <w:r>
        <w:rPr>
          <w:rFonts w:hint="default" w:ascii="Times New Roman" w:hAnsi="Times New Roman" w:eastAsia="宋体" w:cs="Times New Roman"/>
          <w:color w:val="auto"/>
          <w:highlight w:val="none"/>
          <w:lang w:eastAsia="zh-CN"/>
        </w:rPr>
        <w:t>并对必要的财务</w:t>
      </w:r>
      <w:r>
        <w:rPr>
          <w:rFonts w:hint="eastAsia" w:ascii="Times New Roman" w:hAnsi="Times New Roman" w:eastAsia="宋体" w:cs="Times New Roman"/>
          <w:color w:val="auto"/>
          <w:highlight w:val="none"/>
          <w:lang w:val="en-US" w:eastAsia="zh-CN"/>
        </w:rPr>
        <w:t>情况</w:t>
      </w:r>
      <w:r>
        <w:rPr>
          <w:rFonts w:hint="default" w:ascii="Times New Roman" w:hAnsi="Times New Roman" w:eastAsia="宋体" w:cs="Times New Roman"/>
          <w:color w:val="auto"/>
          <w:highlight w:val="none"/>
          <w:lang w:eastAsia="zh-CN"/>
        </w:rPr>
        <w:t>进行现场调研取证，了解项目状况。</w:t>
      </w:r>
    </w:p>
    <w:p w14:paraId="520A017F">
      <w:pPr>
        <w:spacing w:before="0" w:after="0" w:line="360" w:lineRule="auto"/>
        <w:ind w:firstLine="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3</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本次调研过程中，评价小组</w:t>
      </w:r>
      <w:r>
        <w:rPr>
          <w:rFonts w:hint="eastAsia" w:ascii="Times New Roman" w:hAnsi="Times New Roman" w:eastAsia="宋体" w:cs="Times New Roman"/>
          <w:color w:val="auto"/>
          <w:highlight w:val="none"/>
          <w:lang w:val="en-US" w:eastAsia="zh-CN"/>
        </w:rPr>
        <w:t>伊宁县全民健身场地设施项目受益村民随机抽样方式</w:t>
      </w:r>
      <w:r>
        <w:rPr>
          <w:rFonts w:hint="default" w:ascii="Times New Roman" w:hAnsi="Times New Roman" w:eastAsia="宋体" w:cs="Times New Roman"/>
          <w:color w:val="auto"/>
          <w:highlight w:val="none"/>
        </w:rPr>
        <w:t>发放</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满意度调查</w:t>
      </w:r>
      <w:r>
        <w:rPr>
          <w:rFonts w:hint="default" w:ascii="Times New Roman" w:hAnsi="Times New Roman" w:eastAsia="宋体" w:cs="Times New Roman"/>
          <w:color w:val="auto"/>
          <w:highlight w:val="none"/>
        </w:rPr>
        <w:t>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rPr>
        <w:t>，回收问卷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rPr>
        <w:t>。</w:t>
      </w:r>
    </w:p>
    <w:bookmarkEnd w:id="78"/>
    <w:bookmarkEnd w:id="79"/>
    <w:bookmarkEnd w:id="80"/>
    <w:p w14:paraId="1FE0CDEE">
      <w:pPr>
        <w:spacing w:before="0" w:after="0" w:line="360" w:lineRule="auto"/>
        <w:ind w:firstLine="64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）通过对采集的数据资料进行复核汇总、分类整理和综合分析，按照设立的评价指标、标准、权重、方法实施评价，并形成评价工作底稿。</w:t>
      </w:r>
    </w:p>
    <w:p w14:paraId="3EF024A6">
      <w:pPr>
        <w:pStyle w:val="6"/>
        <w:spacing w:before="0" w:after="0" w:line="360" w:lineRule="auto"/>
        <w:ind w:firstLine="641"/>
        <w:rPr>
          <w:rFonts w:ascii="Times New Roman" w:hAnsi="Times New Roman" w:eastAsia="宋体" w:cs="Times New Roman"/>
          <w:color w:val="auto"/>
          <w:highlight w:val="none"/>
        </w:rPr>
      </w:pPr>
      <w:r>
        <w:rPr>
          <w:rFonts w:ascii="Times New Roman" w:hAnsi="Times New Roman" w:eastAsia="宋体" w:cs="Times New Roman"/>
          <w:color w:val="auto"/>
          <w:highlight w:val="none"/>
        </w:rPr>
        <w:t>4.撰写评价报告</w:t>
      </w:r>
      <w:bookmarkEnd w:id="77"/>
    </w:p>
    <w:p w14:paraId="2A0DCCC9">
      <w:pPr>
        <w:spacing w:before="0" w:after="0" w:line="360" w:lineRule="auto"/>
        <w:ind w:firstLine="64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2025</w:t>
      </w:r>
      <w:r>
        <w:rPr>
          <w:rFonts w:hint="default"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rPr>
        <w:t>月</w:t>
      </w:r>
      <w:r>
        <w:rPr>
          <w:rFonts w:hint="default" w:ascii="Times New Roman" w:hAnsi="Times New Roman" w:eastAsia="宋体" w:cs="Times New Roman"/>
          <w:color w:val="auto"/>
          <w:highlight w:val="none"/>
          <w:lang w:val="en-US" w:eastAsia="zh-CN"/>
        </w:rPr>
        <w:t>10</w:t>
      </w:r>
      <w:r>
        <w:rPr>
          <w:rFonts w:hint="default" w:ascii="Times New Roman" w:hAnsi="Times New Roman" w:eastAsia="宋体" w:cs="Times New Roman"/>
          <w:color w:val="auto"/>
          <w:highlight w:val="none"/>
        </w:rPr>
        <w:t>日</w:t>
      </w:r>
      <w:r>
        <w:rPr>
          <w:rFonts w:hint="default" w:ascii="Times New Roman" w:hAnsi="Times New Roman" w:eastAsia="宋体" w:cs="Times New Roman"/>
          <w:color w:val="auto"/>
          <w:highlight w:val="none"/>
          <w:lang w:val="en-US" w:eastAsia="zh-CN"/>
        </w:rPr>
        <w:t>至2025</w:t>
      </w:r>
      <w:r>
        <w:rPr>
          <w:rFonts w:hint="default"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8</w:t>
      </w:r>
      <w:r>
        <w:rPr>
          <w:rFonts w:hint="default"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2</w:t>
      </w:r>
      <w:r>
        <w:rPr>
          <w:rFonts w:hint="default" w:ascii="Times New Roman" w:hAnsi="Times New Roman" w:eastAsia="宋体" w:cs="Times New Roman"/>
          <w:color w:val="auto"/>
          <w:highlight w:val="none"/>
          <w:lang w:val="en-US" w:eastAsia="zh-CN"/>
        </w:rPr>
        <w:t>0</w:t>
      </w:r>
      <w:r>
        <w:rPr>
          <w:rFonts w:hint="default" w:ascii="Times New Roman" w:hAnsi="Times New Roman" w:eastAsia="宋体" w:cs="Times New Roman"/>
          <w:color w:val="auto"/>
          <w:highlight w:val="none"/>
        </w:rPr>
        <w:t>日</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归集绩效评价工作底稿，起草项目绩效评价报告，经公司内部质量审核通过后向委托人提交绩效评价报告初稿，并报送项目实施单位以及行业主管部门，进行结果反馈，充分交换意见。</w:t>
      </w:r>
    </w:p>
    <w:p w14:paraId="23F4A713">
      <w:pPr>
        <w:pStyle w:val="6"/>
        <w:numPr>
          <w:ilvl w:val="0"/>
          <w:numId w:val="0"/>
        </w:numPr>
        <w:spacing w:before="0" w:after="0" w:line="360" w:lineRule="auto"/>
        <w:ind w:firstLine="422" w:firstLineChars="200"/>
        <w:rPr>
          <w:rFonts w:hint="eastAsia" w:ascii="Times New Roman" w:hAnsi="Times New Roman" w:cs="Times New Roman"/>
          <w:color w:val="auto"/>
          <w:lang w:val="en-US" w:eastAsia="zh-CN"/>
        </w:rPr>
      </w:pPr>
      <w:r>
        <w:rPr>
          <w:rFonts w:hint="eastAsia" w:ascii="Times New Roman" w:hAnsi="Times New Roman" w:cs="Times New Roman" w:eastAsiaTheme="minorEastAsia"/>
          <w:b/>
          <w:bCs/>
          <w:color w:val="auto"/>
          <w:kern w:val="0"/>
          <w:sz w:val="21"/>
          <w:szCs w:val="32"/>
          <w:lang w:val="en-US" w:eastAsia="zh-CN" w:bidi="ar-SA"/>
        </w:rPr>
        <w:t>5.</w:t>
      </w:r>
      <w:r>
        <w:rPr>
          <w:rFonts w:hint="eastAsia" w:ascii="Times New Roman" w:hAnsi="Times New Roman" w:cs="Times New Roman"/>
          <w:color w:val="auto"/>
          <w:lang w:val="en-US" w:eastAsia="zh-CN"/>
        </w:rPr>
        <w:t>报告意见反馈及沟通情况</w:t>
      </w:r>
    </w:p>
    <w:p w14:paraId="2AB31C58">
      <w:pPr>
        <w:pStyle w:val="6"/>
        <w:spacing w:before="0" w:after="0" w:line="360" w:lineRule="auto"/>
        <w:ind w:firstLine="641"/>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我单位于202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9</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日将《绩效评价报告意见反馈表》 《伊宁县全民健身场地设施项目绩效评价报告（征求意见稿）》报送至</w:t>
      </w:r>
      <w:r>
        <w:rPr>
          <w:rFonts w:hint="eastAsia" w:ascii="Times New Roman" w:hAnsi="Times New Roman" w:cs="Times New Roman"/>
          <w:b w:val="0"/>
          <w:bCs w:val="0"/>
          <w:color w:val="auto"/>
          <w:kern w:val="2"/>
          <w:sz w:val="21"/>
          <w:szCs w:val="21"/>
          <w:lang w:val="en-US" w:eastAsia="zh-CN" w:bidi="ar-SA"/>
        </w:rPr>
        <w:t>伊宁县文化体育广播电视和旅游局</w:t>
      </w:r>
      <w:r>
        <w:rPr>
          <w:rFonts w:hint="default" w:ascii="Times New Roman" w:hAnsi="Times New Roman" w:cs="Times New Roman" w:eastAsiaTheme="minorEastAsia"/>
          <w:b w:val="0"/>
          <w:bCs w:val="0"/>
          <w:color w:val="auto"/>
          <w:kern w:val="2"/>
          <w:sz w:val="21"/>
          <w:szCs w:val="21"/>
          <w:lang w:val="en-US" w:eastAsia="zh-CN" w:bidi="ar-SA"/>
        </w:rPr>
        <w:t>。</w:t>
      </w:r>
    </w:p>
    <w:p w14:paraId="58625382">
      <w:pPr>
        <w:pStyle w:val="6"/>
        <w:spacing w:before="0" w:after="0" w:line="360" w:lineRule="auto"/>
        <w:ind w:firstLine="641"/>
        <w:rPr>
          <w:rFonts w:hint="eastAsia" w:ascii="Times New Roman" w:hAnsi="Times New Roman" w:cs="Times New Roman" w:eastAsiaTheme="minorEastAsia"/>
          <w:b/>
          <w:bCs/>
          <w:color w:val="auto"/>
          <w:kern w:val="0"/>
          <w:sz w:val="21"/>
          <w:szCs w:val="32"/>
          <w:highlight w:val="none"/>
          <w:lang w:val="en-US" w:eastAsia="zh-CN" w:bidi="ar-SA"/>
        </w:rPr>
      </w:pPr>
      <w:r>
        <w:rPr>
          <w:rFonts w:hint="eastAsia" w:ascii="Times New Roman" w:hAnsi="Times New Roman" w:cs="Times New Roman"/>
          <w:b w:val="0"/>
          <w:bCs w:val="0"/>
          <w:color w:val="auto"/>
          <w:kern w:val="2"/>
          <w:sz w:val="21"/>
          <w:szCs w:val="21"/>
          <w:lang w:val="en-US" w:eastAsia="zh-CN" w:bidi="ar-SA"/>
        </w:rPr>
        <w:t>伊宁县文化体育广播电视和旅游局</w:t>
      </w:r>
      <w:r>
        <w:rPr>
          <w:rFonts w:hint="default" w:ascii="Times New Roman" w:hAnsi="Times New Roman" w:cs="Times New Roman" w:eastAsiaTheme="minorEastAsia"/>
          <w:b w:val="0"/>
          <w:bCs w:val="0"/>
          <w:color w:val="auto"/>
          <w:kern w:val="2"/>
          <w:sz w:val="21"/>
          <w:szCs w:val="21"/>
          <w:lang w:val="en-US" w:eastAsia="zh-CN" w:bidi="ar-SA"/>
        </w:rPr>
        <w:t>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9</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8</w:t>
      </w:r>
      <w:r>
        <w:rPr>
          <w:rFonts w:hint="default" w:ascii="Times New Roman" w:hAnsi="Times New Roman" w:cs="Times New Roman" w:eastAsiaTheme="minorEastAsia"/>
          <w:b w:val="0"/>
          <w:bCs w:val="0"/>
          <w:color w:val="auto"/>
          <w:kern w:val="2"/>
          <w:sz w:val="21"/>
          <w:szCs w:val="21"/>
          <w:lang w:val="en-US" w:eastAsia="zh-CN" w:bidi="ar-SA"/>
        </w:rPr>
        <w:t>日反馈绩效评价报告的审核意见，反馈意见为无意见，</w:t>
      </w:r>
      <w:r>
        <w:rPr>
          <w:rFonts w:hint="eastAsia" w:ascii="Times New Roman" w:hAnsi="Times New Roman" w:cs="Times New Roman"/>
          <w:b w:val="0"/>
          <w:bCs w:val="0"/>
          <w:color w:val="auto"/>
          <w:kern w:val="2"/>
          <w:sz w:val="21"/>
          <w:szCs w:val="21"/>
          <w:lang w:val="en-US" w:eastAsia="zh-CN" w:bidi="ar-SA"/>
        </w:rPr>
        <w:t>详</w:t>
      </w:r>
      <w:r>
        <w:rPr>
          <w:rFonts w:hint="default" w:ascii="Times New Roman" w:hAnsi="Times New Roman" w:cs="Times New Roman" w:eastAsiaTheme="minorEastAsia"/>
          <w:b w:val="0"/>
          <w:bCs w:val="0"/>
          <w:color w:val="auto"/>
          <w:kern w:val="2"/>
          <w:sz w:val="21"/>
          <w:szCs w:val="21"/>
          <w:lang w:val="en-US" w:eastAsia="zh-CN" w:bidi="ar-SA"/>
        </w:rPr>
        <w:t>见《绩效评价报告意见反馈表》。</w:t>
      </w:r>
    </w:p>
    <w:p w14:paraId="6848BAA4">
      <w:pPr>
        <w:pStyle w:val="6"/>
        <w:spacing w:before="0" w:after="0" w:line="360" w:lineRule="auto"/>
        <w:ind w:firstLine="641"/>
        <w:rPr>
          <w:rFonts w:hint="eastAsia" w:ascii="Times New Roman" w:hAnsi="Times New Roman" w:eastAsia="宋体" w:cs="Times New Roman"/>
          <w:color w:val="auto"/>
          <w:highlight w:val="none"/>
        </w:rPr>
      </w:pPr>
      <w:r>
        <w:rPr>
          <w:rFonts w:hint="eastAsia" w:ascii="Times New Roman" w:hAnsi="Times New Roman" w:cs="Times New Roman"/>
          <w:b/>
          <w:bCs/>
          <w:color w:val="auto"/>
          <w:kern w:val="0"/>
          <w:sz w:val="21"/>
          <w:szCs w:val="32"/>
          <w:highlight w:val="none"/>
          <w:lang w:val="en-US" w:eastAsia="zh-CN" w:bidi="ar-SA"/>
        </w:rPr>
        <w:t>6</w:t>
      </w:r>
      <w:r>
        <w:rPr>
          <w:rFonts w:hint="eastAsia" w:ascii="Times New Roman" w:hAnsi="Times New Roman" w:cs="Times New Roman" w:eastAsiaTheme="minorEastAsia"/>
          <w:b/>
          <w:bCs/>
          <w:color w:val="auto"/>
          <w:kern w:val="0"/>
          <w:sz w:val="21"/>
          <w:szCs w:val="32"/>
          <w:highlight w:val="none"/>
          <w:lang w:val="en-US" w:eastAsia="zh-CN" w:bidi="ar-SA"/>
        </w:rPr>
        <w:t>.</w:t>
      </w:r>
      <w:r>
        <w:rPr>
          <w:rFonts w:hint="eastAsia" w:ascii="Times New Roman" w:hAnsi="Times New Roman" w:eastAsia="宋体" w:cs="Times New Roman"/>
          <w:color w:val="auto"/>
          <w:highlight w:val="none"/>
        </w:rPr>
        <w:t>资料档案</w:t>
      </w:r>
    </w:p>
    <w:p w14:paraId="7EAFC602">
      <w:pPr>
        <w:spacing w:before="0" w:after="0" w:line="360" w:lineRule="auto"/>
        <w:ind w:firstLine="64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81" w:name="_Toc3054"/>
      <w:bookmarkStart w:id="82" w:name="_Toc24557"/>
      <w:r>
        <w:rPr>
          <w:rFonts w:hint="eastAsia" w:ascii="Times New Roman" w:hAnsi="Times New Roman" w:eastAsia="宋体" w:cs="Times New Roman"/>
          <w:color w:val="auto"/>
          <w:highlight w:val="none"/>
        </w:rPr>
        <w:t>四</w:t>
      </w:r>
      <w:r>
        <w:rPr>
          <w:rFonts w:ascii="Times New Roman" w:hAnsi="Times New Roman" w:eastAsia="宋体" w:cs="Times New Roman"/>
          <w:color w:val="auto"/>
          <w:highlight w:val="none"/>
        </w:rPr>
        <w:t>、综合评价情况及评价结论</w:t>
      </w:r>
      <w:bookmarkEnd w:id="75"/>
      <w:bookmarkEnd w:id="81"/>
      <w:bookmarkEnd w:id="82"/>
    </w:p>
    <w:p w14:paraId="791D307A">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lang w:eastAsia="zh-TW"/>
        </w:rPr>
      </w:pPr>
      <w:bookmarkStart w:id="83" w:name="_Toc6822"/>
      <w:bookmarkStart w:id="84" w:name="_Toc11118"/>
      <w:bookmarkStart w:id="85" w:name="_Toc535"/>
      <w:bookmarkStart w:id="86" w:name="_Toc22544"/>
      <w:r>
        <w:rPr>
          <w:rFonts w:hint="eastAsia" w:ascii="Times New Roman" w:hAnsi="Times New Roman" w:eastAsia="宋体" w:cs="Times New Roman"/>
          <w:color w:val="auto"/>
          <w:highlight w:val="none"/>
        </w:rPr>
        <w:t>（一）评价得分情况</w:t>
      </w:r>
      <w:bookmarkEnd w:id="83"/>
      <w:bookmarkEnd w:id="84"/>
    </w:p>
    <w:p w14:paraId="0F118D29">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zh-TW" w:eastAsia="zh-TW"/>
        </w:rPr>
        <w:t>通过调研、数据分析、访谈等方式，根据绩效评价方案确定的指标体系及评分标准，对“</w:t>
      </w:r>
      <w:r>
        <w:rPr>
          <w:rFonts w:hint="eastAsia" w:ascii="Times New Roman" w:hAnsi="Times New Roman" w:eastAsia="宋体" w:cs="Times New Roman"/>
          <w:color w:val="auto"/>
          <w:highlight w:val="none"/>
          <w:lang w:val="en-US" w:eastAsia="zh-CN"/>
        </w:rPr>
        <w:t>伊宁县全民健身场地设施项目</w:t>
      </w:r>
      <w:r>
        <w:rPr>
          <w:rFonts w:hint="eastAsia" w:ascii="Times New Roman" w:hAnsi="Times New Roman" w:eastAsia="宋体" w:cs="Times New Roman"/>
          <w:color w:val="auto"/>
          <w:highlight w:val="none"/>
          <w:lang w:val="zh-TW" w:eastAsia="zh-TW"/>
        </w:rPr>
        <w:t>”绩效进行客观评价，经评价分析，该项目最终评分结果为</w:t>
      </w:r>
      <w:r>
        <w:rPr>
          <w:rFonts w:hint="eastAsia" w:eastAsia="宋体" w:cs="Times New Roman"/>
          <w:color w:val="auto"/>
          <w:highlight w:val="none"/>
          <w:lang w:val="en-US" w:eastAsia="zh-CN"/>
        </w:rPr>
        <w:t>89.50</w:t>
      </w:r>
      <w:r>
        <w:rPr>
          <w:rFonts w:hint="eastAsia" w:ascii="Times New Roman" w:hAnsi="Times New Roman" w:eastAsia="宋体" w:cs="Times New Roman"/>
          <w:color w:val="auto"/>
          <w:highlight w:val="none"/>
          <w:lang w:val="zh-TW" w:eastAsia="zh-TW"/>
        </w:rPr>
        <w:t>分，绩效评级为“</w:t>
      </w:r>
      <w:r>
        <w:rPr>
          <w:rFonts w:hint="eastAsia" w:eastAsia="宋体" w:cs="Times New Roman"/>
          <w:color w:val="auto"/>
          <w:highlight w:val="none"/>
          <w:lang w:val="en-US" w:eastAsia="zh-CN"/>
        </w:rPr>
        <w:t>良</w:t>
      </w:r>
      <w:r>
        <w:rPr>
          <w:rFonts w:hint="eastAsia" w:ascii="Times New Roman" w:hAnsi="Times New Roman" w:eastAsia="宋体" w:cs="Times New Roman"/>
          <w:color w:val="auto"/>
          <w:highlight w:val="none"/>
          <w:lang w:val="zh-TW" w:eastAsia="zh-TW"/>
        </w:rPr>
        <w:t>”。各部分权重和绩效分值如下表：</w:t>
      </w:r>
    </w:p>
    <w:p w14:paraId="78F4CD0A">
      <w:pPr>
        <w:pageBreakBefore w:val="0"/>
        <w:kinsoku/>
        <w:wordWrap/>
        <w:overflowPunct/>
        <w:topLinePunct w:val="0"/>
        <w:autoSpaceDE/>
        <w:autoSpaceDN/>
        <w:bidi w:val="0"/>
        <w:snapToGrid w:val="0"/>
        <w:spacing w:before="0" w:after="0" w:line="360" w:lineRule="auto"/>
        <w:ind w:firstLine="0" w:firstLineChars="0"/>
        <w:jc w:val="center"/>
        <w:rPr>
          <w:rFonts w:hint="eastAsia" w:ascii="Times New Roman" w:hAnsi="Times New Roman" w:eastAsia="宋体" w:cs="Times New Roman"/>
          <w:b/>
          <w:bCs/>
          <w:color w:val="auto"/>
          <w:highlight w:val="none"/>
          <w:lang w:val="zh-TW"/>
        </w:rPr>
      </w:pPr>
      <w:r>
        <w:rPr>
          <w:rFonts w:hint="eastAsia" w:ascii="Times New Roman" w:hAnsi="Times New Roman" w:eastAsia="宋体" w:cs="Times New Roman"/>
          <w:b/>
          <w:bCs/>
          <w:color w:val="auto"/>
          <w:highlight w:val="none"/>
          <w:lang w:val="zh-TW" w:eastAsia="zh-TW"/>
        </w:rPr>
        <w:t>表</w:t>
      </w:r>
      <w:r>
        <w:rPr>
          <w:rFonts w:hint="eastAsia" w:ascii="Times New Roman" w:hAnsi="Times New Roman" w:eastAsia="宋体" w:cs="Times New Roman"/>
          <w:b/>
          <w:bCs/>
          <w:color w:val="auto"/>
          <w:highlight w:val="none"/>
          <w:lang w:val="zh-TW" w:eastAsia="zh-CN"/>
        </w:rPr>
        <w:t>4</w:t>
      </w:r>
      <w:r>
        <w:rPr>
          <w:rFonts w:hint="eastAsia" w:ascii="Times New Roman" w:hAnsi="Times New Roman" w:eastAsia="宋体" w:cs="Times New Roman"/>
          <w:b/>
          <w:bCs/>
          <w:color w:val="auto"/>
          <w:highlight w:val="none"/>
          <w:lang w:val="zh-TW" w:eastAsia="zh-TW"/>
        </w:rPr>
        <w:t>-1</w:t>
      </w:r>
      <w:r>
        <w:rPr>
          <w:rFonts w:hint="eastAsia" w:ascii="Times New Roman" w:hAnsi="Times New Roman" w:eastAsia="宋体" w:cs="Times New Roman"/>
          <w:b/>
          <w:bCs/>
          <w:color w:val="auto"/>
          <w:highlight w:val="none"/>
          <w:lang w:val="zh-TW"/>
        </w:rPr>
        <w:t>：</w:t>
      </w:r>
      <w:r>
        <w:rPr>
          <w:rFonts w:hint="eastAsia" w:ascii="Times New Roman" w:hAnsi="Times New Roman" w:eastAsia="宋体" w:cs="Times New Roman"/>
          <w:b/>
          <w:bCs/>
          <w:color w:val="auto"/>
          <w:highlight w:val="none"/>
          <w:lang w:val="zh-TW" w:eastAsia="zh-CN"/>
        </w:rPr>
        <w:t>伊宁县全民健身场地设施项目</w:t>
      </w:r>
      <w:r>
        <w:rPr>
          <w:rFonts w:hint="eastAsia" w:ascii="Times New Roman" w:hAnsi="Times New Roman" w:eastAsia="宋体" w:cs="Times New Roman"/>
          <w:b/>
          <w:bCs/>
          <w:color w:val="auto"/>
          <w:highlight w:val="none"/>
          <w:lang w:val="zh-TW"/>
        </w:rPr>
        <w:t>得分表</w:t>
      </w:r>
    </w:p>
    <w:tbl>
      <w:tblPr>
        <w:tblStyle w:val="18"/>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29"/>
      </w:tblGrid>
      <w:tr w14:paraId="1D41FE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2C866C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C4A525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9750C51">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过程</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04B1EE2">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产出</w:t>
            </w:r>
            <w:r>
              <w:rPr>
                <w:rFonts w:ascii="Times New Roman" w:hAnsi="Times New Roman" w:eastAsia="宋体" w:cs="Times New Roman"/>
                <w:b/>
                <w:bCs/>
                <w:color w:val="auto"/>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957BCA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lang w:val="zh-TW" w:eastAsia="zh-TW"/>
              </w:rPr>
            </w:pPr>
            <w:r>
              <w:rPr>
                <w:rFonts w:ascii="Times New Roman" w:hAnsi="Times New Roman" w:eastAsia="宋体" w:cs="Times New Roman"/>
                <w:b/>
                <w:bCs/>
                <w:color w:val="auto"/>
                <w:sz w:val="21"/>
                <w:szCs w:val="21"/>
                <w:highlight w:val="none"/>
                <w:lang w:val="zh-TW" w:eastAsia="zh-TW"/>
              </w:rPr>
              <w:t>项目</w:t>
            </w:r>
            <w:r>
              <w:rPr>
                <w:rFonts w:ascii="Times New Roman" w:hAnsi="Times New Roman" w:eastAsia="宋体" w:cs="Times New Roman"/>
                <w:b/>
                <w:bCs/>
                <w:color w:val="auto"/>
                <w:sz w:val="21"/>
                <w:szCs w:val="21"/>
                <w:highlight w:val="none"/>
              </w:rPr>
              <w:t>效益</w:t>
            </w:r>
            <w:r>
              <w:rPr>
                <w:rFonts w:ascii="Times New Roman" w:hAnsi="Times New Roman" w:eastAsia="宋体" w:cs="Times New Roman"/>
                <w:b/>
                <w:bCs/>
                <w:color w:val="auto"/>
                <w:sz w:val="21"/>
                <w:szCs w:val="21"/>
                <w:highlight w:val="none"/>
                <w:lang w:val="zh-TW" w:eastAsia="zh-TW"/>
              </w:rPr>
              <w:t>类</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AEC76D3">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合计分值</w:t>
            </w:r>
          </w:p>
        </w:tc>
      </w:tr>
      <w:tr w14:paraId="0F1C2F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CF55D95">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B411B6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15.00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4DF855C">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25.00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5613152">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466325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418833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100.00</w:t>
            </w:r>
          </w:p>
        </w:tc>
      </w:tr>
      <w:tr w14:paraId="23830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0DE51D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E695878">
            <w:pPr>
              <w:pStyle w:val="29"/>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val="en-US" w:eastAsia="zh-CN"/>
              </w:rPr>
              <w:t>1</w:t>
            </w:r>
            <w:r>
              <w:rPr>
                <w:rFonts w:hint="eastAsia"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0F08C7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16.50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53A13A7">
            <w:pPr>
              <w:pStyle w:val="29"/>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30.00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03B00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w:t>
            </w:r>
            <w:r>
              <w:rPr>
                <w:rFonts w:hint="eastAsia" w:ascii="Times New Roman" w:hAnsi="Times New Roman" w:eastAsia="宋体" w:cs="Times New Roman"/>
                <w:color w:val="auto"/>
                <w:sz w:val="21"/>
                <w:szCs w:val="21"/>
                <w:highlight w:val="none"/>
              </w:rPr>
              <w:t>.00</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5214071">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89.50</w:t>
            </w:r>
          </w:p>
        </w:tc>
      </w:tr>
      <w:tr w14:paraId="4F46C6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ACCC23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5209AF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sz w:val="21"/>
                <w:szCs w:val="21"/>
                <w:highlight w:val="none"/>
                <w:lang w:val="en-US" w:eastAsia="zh-CN"/>
              </w:rPr>
              <w:t>6.67</w:t>
            </w:r>
            <w:r>
              <w:rPr>
                <w:rFonts w:hint="eastAsia" w:ascii="Times New Roman" w:hAnsi="Times New Roman" w:eastAsia="宋体" w:cs="Times New Roman"/>
                <w:color w:val="auto"/>
                <w:sz w:val="21"/>
                <w:szCs w:val="21"/>
                <w:highlight w:val="none"/>
              </w:rPr>
              <w:t>%</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69A5BE5">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66</w:t>
            </w:r>
            <w:r>
              <w:rPr>
                <w:rFonts w:hint="eastAsia" w:ascii="Times New Roman" w:hAnsi="Times New Roman" w:eastAsia="宋体" w:cs="Times New Roman"/>
                <w:color w:val="auto"/>
                <w:sz w:val="21"/>
                <w:szCs w:val="21"/>
                <w:highlight w:val="none"/>
              </w:rPr>
              <w:t>.00%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A3E3A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100.00</w:t>
            </w:r>
            <w:r>
              <w:rPr>
                <w:rFonts w:hint="eastAsia" w:ascii="Times New Roman" w:hAnsi="Times New Roman" w:eastAsia="宋体" w:cs="Times New Roman"/>
                <w:color w:val="auto"/>
                <w:sz w:val="21"/>
                <w:szCs w:val="21"/>
                <w:highlight w:val="none"/>
              </w:rPr>
              <w:t>%</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2C7C267">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100.00</w:t>
            </w:r>
            <w:r>
              <w:rPr>
                <w:rFonts w:hint="eastAsia" w:ascii="Times New Roman" w:hAnsi="Times New Roman" w:eastAsia="宋体" w:cs="Times New Roman"/>
                <w:color w:val="auto"/>
                <w:sz w:val="21"/>
                <w:szCs w:val="21"/>
                <w:highlight w:val="none"/>
              </w:rPr>
              <w:t>%</w:t>
            </w:r>
          </w:p>
        </w:tc>
        <w:tc>
          <w:tcPr>
            <w:tcW w:w="1129"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ACAE04D">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eastAsia="宋体" w:cs="Times New Roman"/>
                <w:color w:val="auto"/>
                <w:sz w:val="21"/>
                <w:szCs w:val="21"/>
                <w:highlight w:val="none"/>
                <w:lang w:val="en-US" w:eastAsia="zh-CN"/>
              </w:rPr>
              <w:t>89.50</w:t>
            </w:r>
            <w:r>
              <w:rPr>
                <w:rFonts w:hint="eastAsia" w:ascii="Times New Roman" w:hAnsi="Times New Roman" w:eastAsia="宋体" w:cs="Times New Roman"/>
                <w:color w:val="auto"/>
                <w:sz w:val="21"/>
                <w:szCs w:val="21"/>
                <w:highlight w:val="none"/>
              </w:rPr>
              <w:t>%</w:t>
            </w:r>
          </w:p>
        </w:tc>
      </w:tr>
    </w:tbl>
    <w:p w14:paraId="5A0513BC">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p>
    <w:p w14:paraId="00A9C009">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87" w:name="_Toc5273"/>
      <w:bookmarkStart w:id="88" w:name="_Toc19845"/>
      <w:bookmarkStart w:id="89" w:name="_Toc16155"/>
      <w:r>
        <w:rPr>
          <w:rFonts w:hint="eastAsia" w:ascii="Times New Roman" w:hAnsi="Times New Roman" w:eastAsia="宋体" w:cs="Times New Roman"/>
          <w:color w:val="auto"/>
          <w:highlight w:val="none"/>
        </w:rPr>
        <w:t>（二）综合评价结论</w:t>
      </w:r>
      <w:bookmarkEnd w:id="87"/>
      <w:bookmarkEnd w:id="88"/>
      <w:bookmarkEnd w:id="89"/>
    </w:p>
    <w:p w14:paraId="2FF20C6F">
      <w:pPr>
        <w:spacing w:line="360" w:lineRule="auto"/>
        <w:ind w:firstLine="422"/>
        <w:rPr>
          <w:rFonts w:hint="default" w:ascii="Times New Roman" w:hAnsi="Times New Roman" w:eastAsia="宋体" w:cs="Times New Roman"/>
          <w:color w:val="auto"/>
          <w:sz w:val="21"/>
          <w:szCs w:val="21"/>
          <w:highlight w:val="none"/>
          <w:lang w:val="zh-TW" w:eastAsia="zh-TW"/>
        </w:rPr>
      </w:pPr>
      <w:r>
        <w:rPr>
          <w:rFonts w:hint="default" w:ascii="Times New Roman" w:hAnsi="Times New Roman" w:eastAsia="宋体" w:cs="Times New Roman"/>
          <w:color w:val="auto"/>
          <w:sz w:val="21"/>
          <w:szCs w:val="21"/>
          <w:highlight w:val="none"/>
          <w:lang w:val="zh-TW" w:eastAsia="zh-TW"/>
        </w:rPr>
        <w:t>经评价分析，该项目总体实施情况良好，</w:t>
      </w:r>
      <w:r>
        <w:rPr>
          <w:rFonts w:hint="default" w:ascii="Times New Roman" w:hAnsi="Times New Roman" w:eastAsia="宋体" w:cs="Times New Roman"/>
          <w:color w:val="auto"/>
          <w:sz w:val="21"/>
          <w:szCs w:val="21"/>
          <w:highlight w:val="none"/>
          <w:lang w:val="en-US" w:eastAsia="zh-CN"/>
        </w:rPr>
        <w:t>项目实际</w:t>
      </w:r>
      <w:r>
        <w:rPr>
          <w:rFonts w:hint="eastAsia" w:ascii="Times New Roman" w:hAnsi="Times New Roman" w:eastAsia="宋体" w:cs="Times New Roman"/>
          <w:color w:val="auto"/>
          <w:sz w:val="21"/>
          <w:szCs w:val="21"/>
          <w:highlight w:val="none"/>
          <w:lang w:val="en-US" w:eastAsia="zh-CN"/>
        </w:rPr>
        <w:t>于2024年9月15日时间前建设</w:t>
      </w:r>
      <w:r>
        <w:rPr>
          <w:rFonts w:hint="default" w:ascii="Times New Roman" w:hAnsi="Times New Roman" w:eastAsia="宋体" w:cs="Times New Roman"/>
          <w:color w:val="auto"/>
          <w:sz w:val="21"/>
          <w:szCs w:val="21"/>
          <w:highlight w:val="none"/>
          <w:lang w:val="en-US" w:eastAsia="zh-CN"/>
        </w:rPr>
        <w:t>完成</w:t>
      </w:r>
      <w:r>
        <w:rPr>
          <w:rFonts w:hint="eastAsia" w:ascii="Times New Roman" w:hAnsi="Times New Roman" w:eastAsia="宋体" w:cs="Times New Roman"/>
          <w:color w:val="auto"/>
          <w:kern w:val="2"/>
          <w:sz w:val="21"/>
          <w:szCs w:val="22"/>
          <w:highlight w:val="none"/>
          <w:lang w:val="en-US" w:eastAsia="zh-CN" w:bidi="ar-SA"/>
        </w:rPr>
        <w:t>在伊宁县吉里于孜镇上肉孜买提于孜村五人制笼式足球场1块，总面积为1,080.00平方米；标准篮球场1块，总面积为798.00平方米。在伊宁县阿热吾斯塘镇托万克村建设标准篮球场1块，总面积798.00平方米</w:t>
      </w:r>
      <w:r>
        <w:rPr>
          <w:rFonts w:hint="eastAsia" w:ascii="Times New Roman" w:hAnsi="Times New Roman" w:eastAsia="宋体" w:cs="Times New Roman"/>
          <w:b w:val="0"/>
          <w:bCs w:val="0"/>
          <w:color w:val="auto"/>
          <w:kern w:val="2"/>
          <w:sz w:val="21"/>
          <w:szCs w:val="21"/>
          <w:highlight w:val="none"/>
          <w:lang w:val="en-US" w:eastAsia="zh-CN" w:bidi="ar-SA"/>
        </w:rPr>
        <w:t>，通过项目实施提升公众健康水平，提升群众参与足球、篮球锻炼积极性。</w:t>
      </w:r>
      <w:r>
        <w:rPr>
          <w:rFonts w:hint="default" w:ascii="Times New Roman" w:hAnsi="Times New Roman" w:eastAsia="宋体" w:cs="Times New Roman"/>
          <w:color w:val="auto"/>
          <w:sz w:val="21"/>
          <w:szCs w:val="21"/>
          <w:highlight w:val="none"/>
          <w:lang w:val="en-US" w:eastAsia="zh-CN"/>
        </w:rPr>
        <w:t>但项目实施过程仍存</w:t>
      </w:r>
      <w:r>
        <w:rPr>
          <w:rFonts w:hint="default" w:ascii="Times New Roman" w:hAnsi="Times New Roman" w:eastAsia="宋体" w:cs="Times New Roman"/>
          <w:b w:val="0"/>
          <w:bCs w:val="0"/>
          <w:color w:val="auto"/>
          <w:sz w:val="21"/>
          <w:szCs w:val="21"/>
          <w:highlight w:val="none"/>
          <w:lang w:val="en-US" w:eastAsia="zh-CN"/>
        </w:rPr>
        <w:t>在</w:t>
      </w:r>
      <w:r>
        <w:rPr>
          <w:rFonts w:hint="eastAsia" w:ascii="Times New Roman" w:hAnsi="Times New Roman" w:eastAsia="宋体" w:cs="Times New Roman"/>
          <w:b w:val="0"/>
          <w:bCs w:val="0"/>
          <w:color w:val="auto"/>
          <w:kern w:val="2"/>
          <w:sz w:val="21"/>
          <w:szCs w:val="21"/>
          <w:highlight w:val="none"/>
          <w:lang w:val="en-US" w:eastAsia="zh-CN" w:bidi="ar-SA"/>
        </w:rPr>
        <w:t>财务会计核算不够规范</w:t>
      </w:r>
      <w:r>
        <w:rPr>
          <w:rFonts w:hint="eastAsia" w:eastAsia="宋体"/>
          <w:b w:val="0"/>
          <w:bCs w:val="0"/>
          <w:color w:val="auto"/>
          <w:sz w:val="21"/>
          <w:szCs w:val="21"/>
          <w:highlight w:val="none"/>
          <w:lang w:val="en-US" w:eastAsia="zh-CN"/>
        </w:rPr>
        <w:t>、</w:t>
      </w:r>
      <w:r>
        <w:rPr>
          <w:rFonts w:hint="eastAsia" w:ascii="Times New Roman" w:hAnsi="Times New Roman" w:eastAsia="宋体"/>
          <w:b w:val="0"/>
          <w:bCs w:val="0"/>
          <w:color w:val="auto"/>
          <w:sz w:val="21"/>
          <w:szCs w:val="21"/>
          <w:highlight w:val="none"/>
          <w:lang w:val="en-US" w:eastAsia="zh-CN"/>
        </w:rPr>
        <w:t>项目合同管理不规范</w:t>
      </w:r>
      <w:r>
        <w:rPr>
          <w:rFonts w:hint="eastAsia" w:eastAsia="宋体"/>
          <w:b w:val="0"/>
          <w:bCs w:val="0"/>
          <w:color w:val="auto"/>
          <w:sz w:val="21"/>
          <w:szCs w:val="21"/>
          <w:highlight w:val="none"/>
          <w:lang w:val="en-US" w:eastAsia="zh-CN"/>
        </w:rPr>
        <w:t>、</w:t>
      </w:r>
      <w:r>
        <w:rPr>
          <w:rFonts w:hint="eastAsia" w:ascii="Times New Roman" w:hAnsi="Times New Roman" w:eastAsia="宋体"/>
          <w:b w:val="0"/>
          <w:bCs w:val="0"/>
          <w:color w:val="auto"/>
          <w:sz w:val="21"/>
          <w:szCs w:val="21"/>
          <w:highlight w:val="none"/>
          <w:lang w:val="en-US" w:eastAsia="zh-CN"/>
        </w:rPr>
        <w:t>项目未及时办理竣工结算</w:t>
      </w:r>
      <w:r>
        <w:rPr>
          <w:rFonts w:hint="eastAsia" w:eastAsia="宋体"/>
          <w:b w:val="0"/>
          <w:bCs w:val="0"/>
          <w:color w:val="auto"/>
          <w:sz w:val="21"/>
          <w:szCs w:val="21"/>
          <w:highlight w:val="none"/>
          <w:lang w:val="en-US" w:eastAsia="zh-CN"/>
        </w:rPr>
        <w:t>、</w:t>
      </w:r>
      <w:r>
        <w:rPr>
          <w:rFonts w:hint="eastAsia" w:ascii="Times New Roman" w:hAnsi="Times New Roman" w:eastAsia="宋体"/>
          <w:b w:val="0"/>
          <w:bCs w:val="0"/>
          <w:color w:val="auto"/>
          <w:sz w:val="21"/>
          <w:szCs w:val="21"/>
          <w:highlight w:val="none"/>
          <w:lang w:val="en-US" w:eastAsia="zh-CN"/>
        </w:rPr>
        <w:t>项目资产未及时办理移交手续</w:t>
      </w:r>
      <w:r>
        <w:rPr>
          <w:rFonts w:hint="eastAsia" w:eastAsia="宋体"/>
          <w:b w:val="0"/>
          <w:bCs w:val="0"/>
          <w:color w:val="auto"/>
          <w:sz w:val="21"/>
          <w:szCs w:val="21"/>
          <w:highlight w:val="none"/>
          <w:lang w:val="en-US" w:eastAsia="zh-CN"/>
        </w:rPr>
        <w:t>、</w:t>
      </w:r>
      <w:r>
        <w:rPr>
          <w:rFonts w:hint="eastAsia" w:ascii="Times New Roman" w:hAnsi="Times New Roman" w:eastAsia="宋体" w:cs="Times New Roman"/>
          <w:b w:val="0"/>
          <w:bCs w:val="0"/>
          <w:color w:val="auto"/>
          <w:sz w:val="21"/>
          <w:szCs w:val="21"/>
          <w:highlight w:val="none"/>
          <w:lang w:val="en-US" w:eastAsia="zh-CN"/>
        </w:rPr>
        <w:t>单位资产管理和采购管理制度不够健全</w:t>
      </w:r>
      <w:r>
        <w:rPr>
          <w:rFonts w:hint="default" w:ascii="Times New Roman" w:hAnsi="Times New Roman" w:eastAsia="宋体" w:cs="Times New Roman"/>
          <w:color w:val="auto"/>
          <w:sz w:val="21"/>
          <w:szCs w:val="21"/>
          <w:highlight w:val="none"/>
          <w:lang w:val="en-US" w:eastAsia="zh-CN"/>
        </w:rPr>
        <w:t>等问题</w:t>
      </w:r>
      <w:r>
        <w:rPr>
          <w:rFonts w:hint="default" w:ascii="Times New Roman" w:hAnsi="Times New Roman" w:eastAsia="宋体" w:cs="Times New Roman"/>
          <w:color w:val="auto"/>
          <w:sz w:val="21"/>
          <w:szCs w:val="21"/>
          <w:highlight w:val="none"/>
          <w:lang w:val="zh-TW" w:eastAsia="zh-TW"/>
        </w:rPr>
        <w:t>。</w:t>
      </w:r>
    </w:p>
    <w:p w14:paraId="109041BC">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90" w:name="_Toc31667"/>
      <w:bookmarkStart w:id="91" w:name="_Toc23384"/>
      <w:r>
        <w:rPr>
          <w:rFonts w:hint="eastAsia" w:ascii="Times New Roman" w:hAnsi="Times New Roman" w:eastAsia="宋体" w:cs="Times New Roman"/>
          <w:color w:val="auto"/>
          <w:highlight w:val="none"/>
        </w:rPr>
        <w:t>五</w:t>
      </w:r>
      <w:r>
        <w:rPr>
          <w:rFonts w:ascii="Times New Roman" w:hAnsi="Times New Roman" w:eastAsia="宋体" w:cs="Times New Roman"/>
          <w:color w:val="auto"/>
          <w:highlight w:val="none"/>
        </w:rPr>
        <w:t>、绩效评价指标分析</w:t>
      </w:r>
      <w:bookmarkEnd w:id="85"/>
      <w:bookmarkEnd w:id="86"/>
      <w:bookmarkEnd w:id="90"/>
      <w:bookmarkEnd w:id="91"/>
    </w:p>
    <w:p w14:paraId="447DBD16">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92" w:name="_Toc22260"/>
      <w:bookmarkStart w:id="93" w:name="_Toc4227"/>
      <w:bookmarkStart w:id="94" w:name="_Toc18078"/>
      <w:bookmarkStart w:id="95" w:name="_Toc13440"/>
      <w:r>
        <w:rPr>
          <w:rFonts w:ascii="Times New Roman" w:hAnsi="Times New Roman" w:eastAsia="宋体" w:cs="Times New Roman"/>
          <w:color w:val="auto"/>
          <w:highlight w:val="none"/>
        </w:rPr>
        <w:t>（一）项目决策情况</w:t>
      </w:r>
      <w:bookmarkEnd w:id="92"/>
      <w:bookmarkEnd w:id="93"/>
      <w:bookmarkEnd w:id="94"/>
      <w:bookmarkEnd w:id="95"/>
    </w:p>
    <w:p w14:paraId="7B890BA1">
      <w:pPr>
        <w:pageBreakBefore w:val="0"/>
        <w:kinsoku/>
        <w:wordWrap/>
        <w:overflowPunct/>
        <w:topLinePunct w:val="0"/>
        <w:autoSpaceDE/>
        <w:autoSpaceDN/>
        <w:bidi w:val="0"/>
        <w:adjustRightInd/>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项目决策类指标由</w:t>
      </w:r>
      <w:r>
        <w:rPr>
          <w:rFonts w:hint="eastAsia" w:ascii="Times New Roman" w:hAnsi="Times New Roman" w:eastAsia="宋体" w:cs="Times New Roman"/>
          <w:color w:val="auto"/>
          <w:highlight w:val="none"/>
        </w:rPr>
        <w:t>3</w:t>
      </w:r>
      <w:r>
        <w:rPr>
          <w:rFonts w:ascii="Times New Roman" w:hAnsi="Times New Roman" w:eastAsia="宋体" w:cs="Times New Roman"/>
          <w:color w:val="auto"/>
          <w:highlight w:val="none"/>
        </w:rPr>
        <w:t>个二级指标和</w:t>
      </w:r>
      <w:r>
        <w:rPr>
          <w:rFonts w:hint="eastAsia" w:ascii="Times New Roman" w:hAnsi="Times New Roman" w:eastAsia="宋体" w:cs="Times New Roman"/>
          <w:color w:val="auto"/>
          <w:highlight w:val="none"/>
        </w:rPr>
        <w:t>6</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rPr>
        <w:t>15.00</w:t>
      </w:r>
      <w:r>
        <w:rPr>
          <w:rFonts w:ascii="Times New Roman" w:hAnsi="Times New Roman" w:eastAsia="宋体" w:cs="Times New Roman"/>
          <w:color w:val="auto"/>
          <w:highlight w:val="none"/>
        </w:rPr>
        <w:t>分，实际得分</w:t>
      </w:r>
      <w:r>
        <w:rPr>
          <w:rFonts w:hint="eastAsia" w:ascii="Times New Roman" w:hAnsi="Times New Roman" w:eastAsia="宋体" w:cs="Times New Roman"/>
          <w:color w:val="auto"/>
          <w:highlight w:val="none"/>
          <w:lang w:val="en-US" w:eastAsia="zh-CN"/>
        </w:rPr>
        <w:t>1</w:t>
      </w:r>
      <w:r>
        <w:rPr>
          <w:rFonts w:hint="eastAsia" w:eastAsia="宋体" w:cs="Times New Roman"/>
          <w:color w:val="auto"/>
          <w:highlight w:val="none"/>
          <w:lang w:val="en-US" w:eastAsia="zh-CN"/>
        </w:rPr>
        <w:t>3.0</w:t>
      </w:r>
      <w:r>
        <w:rPr>
          <w:rFonts w:hint="eastAsia" w:ascii="Times New Roman" w:hAnsi="Times New Roman" w:eastAsia="宋体" w:cs="Times New Roman"/>
          <w:color w:val="auto"/>
          <w:highlight w:val="none"/>
        </w:rPr>
        <w:t>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eastAsia="宋体" w:cs="Times New Roman"/>
          <w:color w:val="auto"/>
          <w:highlight w:val="none"/>
          <w:lang w:val="en-US" w:eastAsia="zh-CN"/>
        </w:rPr>
        <w:t>8</w:t>
      </w:r>
      <w:r>
        <w:rPr>
          <w:rFonts w:hint="eastAsia" w:ascii="Times New Roman" w:hAnsi="Times New Roman" w:eastAsia="宋体" w:cs="Times New Roman"/>
          <w:color w:val="auto"/>
          <w:highlight w:val="none"/>
          <w:lang w:val="en-US" w:eastAsia="zh-CN"/>
        </w:rPr>
        <w:t>6.67</w:t>
      </w:r>
      <w:r>
        <w:rPr>
          <w:rFonts w:hint="eastAsia" w:ascii="Times New Roman" w:hAnsi="Times New Roman" w:eastAsia="宋体" w:cs="Times New Roman"/>
          <w:color w:val="auto"/>
          <w:highlight w:val="none"/>
        </w:rPr>
        <w:t>%</w:t>
      </w:r>
      <w:r>
        <w:rPr>
          <w:rFonts w:ascii="Times New Roman" w:hAnsi="Times New Roman" w:eastAsia="宋体" w:cs="Times New Roman"/>
          <w:color w:val="auto"/>
          <w:highlight w:val="none"/>
        </w:rPr>
        <w:t>。各指标业绩值和绩效分值如下表所示：</w:t>
      </w:r>
    </w:p>
    <w:p w14:paraId="3E5091D6">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b/>
          <w:bCs/>
          <w:color w:val="auto"/>
          <w:szCs w:val="16"/>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-1：项目决策类指标及分值</w:t>
      </w:r>
    </w:p>
    <w:tbl>
      <w:tblPr>
        <w:tblStyle w:val="18"/>
        <w:tblW w:w="4998" w:type="pct"/>
        <w:tblInd w:w="0" w:type="dxa"/>
        <w:tblLayout w:type="autofit"/>
        <w:tblCellMar>
          <w:top w:w="0" w:type="dxa"/>
          <w:left w:w="0" w:type="dxa"/>
          <w:bottom w:w="0" w:type="dxa"/>
          <w:right w:w="0" w:type="dxa"/>
        </w:tblCellMar>
      </w:tblPr>
      <w:tblGrid>
        <w:gridCol w:w="1073"/>
        <w:gridCol w:w="1061"/>
        <w:gridCol w:w="1921"/>
        <w:gridCol w:w="882"/>
        <w:gridCol w:w="1079"/>
        <w:gridCol w:w="755"/>
        <w:gridCol w:w="778"/>
        <w:gridCol w:w="778"/>
      </w:tblGrid>
      <w:tr w14:paraId="78AC6FC4">
        <w:tblPrEx>
          <w:tblCellMar>
            <w:top w:w="0" w:type="dxa"/>
            <w:left w:w="0" w:type="dxa"/>
            <w:bottom w:w="0" w:type="dxa"/>
            <w:right w:w="0" w:type="dxa"/>
          </w:tblCellMar>
        </w:tblPrEx>
        <w:trPr>
          <w:trHeight w:val="397" w:hRule="atLeast"/>
          <w:tblHeader/>
        </w:trPr>
        <w:tc>
          <w:tcPr>
            <w:tcW w:w="64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5D483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3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501F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AB7A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5F86A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7328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12A8B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6C2F2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D8C6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2AB6F208">
        <w:tblPrEx>
          <w:tblCellMar>
            <w:top w:w="0" w:type="dxa"/>
            <w:left w:w="0" w:type="dxa"/>
            <w:bottom w:w="0" w:type="dxa"/>
            <w:right w:w="0" w:type="dxa"/>
          </w:tblCellMar>
        </w:tblPrEx>
        <w:trPr>
          <w:trHeight w:val="397" w:hRule="atLeast"/>
        </w:trPr>
        <w:tc>
          <w:tcPr>
            <w:tcW w:w="644"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7FCB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A决策（15.00分）</w:t>
            </w:r>
          </w:p>
        </w:tc>
        <w:tc>
          <w:tcPr>
            <w:tcW w:w="637"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99DC6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A1项目立项（3.00分）</w:t>
            </w: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2A2459">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A11立项依据充分性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53459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充分</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96E72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充分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E57B4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A68CA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C9C3E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20212EF0">
        <w:tblPrEx>
          <w:tblCellMar>
            <w:top w:w="0" w:type="dxa"/>
            <w:left w:w="0" w:type="dxa"/>
            <w:bottom w:w="0" w:type="dxa"/>
            <w:right w:w="0" w:type="dxa"/>
          </w:tblCellMar>
        </w:tblPrEx>
        <w:trPr>
          <w:trHeight w:val="397" w:hRule="atLeast"/>
        </w:trPr>
        <w:tc>
          <w:tcPr>
            <w:tcW w:w="644"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3B21B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7"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4A0155E">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FF165A3">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A12立项程序规范性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07DE71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合规</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63840A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合规</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257C96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4E22E5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4ED635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3AAECA30">
        <w:tblPrEx>
          <w:tblCellMar>
            <w:top w:w="0" w:type="dxa"/>
            <w:left w:w="0" w:type="dxa"/>
            <w:bottom w:w="0" w:type="dxa"/>
            <w:right w:w="0" w:type="dxa"/>
          </w:tblCellMar>
        </w:tblPrEx>
        <w:trPr>
          <w:trHeight w:val="397" w:hRule="atLeast"/>
        </w:trPr>
        <w:tc>
          <w:tcPr>
            <w:tcW w:w="644"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EBF967">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7"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C370B9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A2绩效目标（5.00分）</w:t>
            </w: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52A6DA9">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A21绩效目标合理性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09CCC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6DC97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E022A3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07ADB6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2.00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0BD1CA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7A8BFFD7">
        <w:tblPrEx>
          <w:tblCellMar>
            <w:top w:w="0" w:type="dxa"/>
            <w:left w:w="0" w:type="dxa"/>
            <w:bottom w:w="0" w:type="dxa"/>
            <w:right w:w="0" w:type="dxa"/>
          </w:tblCellMar>
        </w:tblPrEx>
        <w:trPr>
          <w:trHeight w:val="397" w:hRule="atLeast"/>
        </w:trPr>
        <w:tc>
          <w:tcPr>
            <w:tcW w:w="644"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F464E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7"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E283428">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66C2FA5">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A22绩效指标明确性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3703D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明确</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C905E3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明确</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9DF172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3.00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1E43C4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3.00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0F5E25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0C541E99">
        <w:tblPrEx>
          <w:tblCellMar>
            <w:top w:w="0" w:type="dxa"/>
            <w:left w:w="0" w:type="dxa"/>
            <w:bottom w:w="0" w:type="dxa"/>
            <w:right w:w="0" w:type="dxa"/>
          </w:tblCellMar>
        </w:tblPrEx>
        <w:trPr>
          <w:trHeight w:val="397" w:hRule="atLeast"/>
        </w:trPr>
        <w:tc>
          <w:tcPr>
            <w:tcW w:w="644"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C1235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7"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AFE49B">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A3资金投入（7.00分）</w:t>
            </w: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0DF311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A31预算编制科学性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E4C67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科学</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65EE0E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较科学</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2EBC9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4.00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71B60E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eastAsia="宋体" w:cs="Times New Roman"/>
                <w:color w:val="auto"/>
                <w:kern w:val="0"/>
                <w:sz w:val="21"/>
                <w:szCs w:val="21"/>
                <w:highlight w:val="none"/>
                <w:lang w:val="en-US" w:eastAsia="zh-CN" w:bidi="ar"/>
              </w:rPr>
              <w:t>2.0</w:t>
            </w:r>
            <w:r>
              <w:rPr>
                <w:rFonts w:hint="eastAsia" w:ascii="Times New Roman" w:hAnsi="Times New Roman" w:eastAsia="宋体" w:cs="Times New Roman"/>
                <w:color w:val="auto"/>
                <w:kern w:val="0"/>
                <w:sz w:val="21"/>
                <w:szCs w:val="21"/>
                <w:highlight w:val="none"/>
                <w:lang w:bidi="ar"/>
              </w:rPr>
              <w:t>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3D957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eastAsia="宋体" w:cs="Times New Roman"/>
                <w:color w:val="auto"/>
                <w:kern w:val="0"/>
                <w:sz w:val="21"/>
                <w:szCs w:val="21"/>
                <w:highlight w:val="none"/>
                <w:lang w:val="en-US" w:eastAsia="zh-CN" w:bidi="ar"/>
              </w:rPr>
              <w:t>50.00</w:t>
            </w:r>
            <w:r>
              <w:rPr>
                <w:rFonts w:hint="eastAsia" w:ascii="Times New Roman" w:hAnsi="Times New Roman" w:eastAsia="宋体" w:cs="Times New Roman"/>
                <w:color w:val="auto"/>
                <w:kern w:val="0"/>
                <w:sz w:val="21"/>
                <w:szCs w:val="21"/>
                <w:highlight w:val="none"/>
                <w:lang w:bidi="ar"/>
              </w:rPr>
              <w:t>0%</w:t>
            </w:r>
          </w:p>
        </w:tc>
      </w:tr>
      <w:tr w14:paraId="122E571D">
        <w:tblPrEx>
          <w:tblCellMar>
            <w:top w:w="0" w:type="dxa"/>
            <w:left w:w="0" w:type="dxa"/>
            <w:bottom w:w="0" w:type="dxa"/>
            <w:right w:w="0" w:type="dxa"/>
          </w:tblCellMar>
        </w:tblPrEx>
        <w:trPr>
          <w:trHeight w:val="397" w:hRule="atLeast"/>
        </w:trPr>
        <w:tc>
          <w:tcPr>
            <w:tcW w:w="644"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A21715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1"/>
                <w:szCs w:val="21"/>
                <w:highlight w:val="none"/>
                <w:lang w:bidi="ar"/>
              </w:rPr>
            </w:pPr>
          </w:p>
        </w:tc>
        <w:tc>
          <w:tcPr>
            <w:tcW w:w="637"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FDE8663">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p>
        </w:tc>
        <w:tc>
          <w:tcPr>
            <w:tcW w:w="115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3566D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A32资金分配合理性</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085C55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合理</w:t>
            </w: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AA1304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合理</w:t>
            </w: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45E66F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3.00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3291AC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3.00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8C1E76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59BC4FAA">
        <w:tblPrEx>
          <w:tblCellMar>
            <w:top w:w="0" w:type="dxa"/>
            <w:left w:w="0" w:type="dxa"/>
            <w:bottom w:w="0" w:type="dxa"/>
            <w:right w:w="0" w:type="dxa"/>
          </w:tblCellMar>
        </w:tblPrEx>
        <w:trPr>
          <w:trHeight w:val="397" w:hRule="atLeast"/>
        </w:trPr>
        <w:tc>
          <w:tcPr>
            <w:tcW w:w="2434"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73BB06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合计</w:t>
            </w:r>
          </w:p>
        </w:tc>
        <w:tc>
          <w:tcPr>
            <w:tcW w:w="52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1F7FFA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p>
        </w:tc>
        <w:tc>
          <w:tcPr>
            <w:tcW w:w="64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07EB51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p>
        </w:tc>
        <w:tc>
          <w:tcPr>
            <w:tcW w:w="453"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3B75E2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15.00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FEEBA3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val="en-US" w:eastAsia="zh-CN" w:bidi="ar"/>
              </w:rPr>
              <w:t>1</w:t>
            </w:r>
            <w:r>
              <w:rPr>
                <w:rFonts w:hint="eastAsia" w:eastAsia="宋体" w:cs="Times New Roman"/>
                <w:color w:val="auto"/>
                <w:kern w:val="0"/>
                <w:sz w:val="21"/>
                <w:szCs w:val="21"/>
                <w:highlight w:val="none"/>
                <w:lang w:val="en-US" w:eastAsia="zh-CN" w:bidi="ar"/>
              </w:rPr>
              <w:t>3.0</w:t>
            </w:r>
            <w:r>
              <w:rPr>
                <w:rFonts w:hint="eastAsia" w:ascii="Times New Roman" w:hAnsi="Times New Roman" w:eastAsia="宋体" w:cs="Times New Roman"/>
                <w:color w:val="auto"/>
                <w:kern w:val="0"/>
                <w:sz w:val="21"/>
                <w:szCs w:val="21"/>
                <w:highlight w:val="none"/>
                <w:lang w:bidi="ar"/>
              </w:rPr>
              <w:t>0</w:t>
            </w:r>
          </w:p>
        </w:tc>
        <w:tc>
          <w:tcPr>
            <w:tcW w:w="46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7823C6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eastAsia="宋体" w:cs="Times New Roman"/>
                <w:color w:val="auto"/>
                <w:kern w:val="0"/>
                <w:sz w:val="21"/>
                <w:szCs w:val="21"/>
                <w:highlight w:val="none"/>
                <w:lang w:val="en-US" w:eastAsia="zh-CN" w:bidi="ar"/>
              </w:rPr>
              <w:t>8</w:t>
            </w:r>
            <w:r>
              <w:rPr>
                <w:rFonts w:hint="eastAsia" w:ascii="Times New Roman" w:hAnsi="Times New Roman" w:eastAsia="宋体" w:cs="Times New Roman"/>
                <w:color w:val="auto"/>
                <w:kern w:val="0"/>
                <w:sz w:val="21"/>
                <w:szCs w:val="21"/>
                <w:highlight w:val="none"/>
                <w:lang w:val="en-US" w:eastAsia="zh-CN" w:bidi="ar"/>
              </w:rPr>
              <w:t>6.67</w:t>
            </w:r>
            <w:r>
              <w:rPr>
                <w:rFonts w:hint="eastAsia" w:ascii="Times New Roman" w:hAnsi="Times New Roman" w:eastAsia="宋体" w:cs="Times New Roman"/>
                <w:color w:val="auto"/>
                <w:kern w:val="0"/>
                <w:sz w:val="21"/>
                <w:szCs w:val="21"/>
                <w:highlight w:val="none"/>
                <w:lang w:bidi="ar"/>
              </w:rPr>
              <w:t>%</w:t>
            </w:r>
          </w:p>
        </w:tc>
      </w:tr>
    </w:tbl>
    <w:p w14:paraId="62D76AD1">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362E689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指标得分分析：</w:t>
      </w:r>
    </w:p>
    <w:p w14:paraId="708FBC01">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rPr>
        <w:t>A11立项依据充分性指标：</w:t>
      </w:r>
    </w:p>
    <w:p w14:paraId="56DBEFA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①国家高度重视全民健身事业，出台了《“健康中国 2030” 规划纲要》《全民健身计划（2021-2025 年）》等一系列法律法规和政策文件，将全民健身作为国家战略的重要组成部分，明确提出要完善全民健身场地设施。国民经济发展规划中也强调了保障和改善民生，提高人民健康水平的目标。通过建设更多、更优质的健身场地设施，能够为人民群众提供便利的健身条件，提升全民健康素养，与国家法律法规的导向、国民经济发展规划的目标以及相关政策的要求高度契合。该项目立项符合国家法律法规。</w:t>
      </w:r>
    </w:p>
    <w:p w14:paraId="1877976E">
      <w:pPr>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②《国务院办公厅关于印发体育强国建设纲要的通知》（国发办〔2019〕40）号提出“完善公共财政体育投入机制，多渠道筹措资金支持体育强国建设，将全民健身场地设施纳入各级政府经济社会发展规划和各级国土空间规划，统筹考虑全民健身场地设施、体育用地需求，建立社区全民健身场地设施配建标准和评价制度。”该项目立项符合行业相关政策要求。</w:t>
      </w:r>
    </w:p>
    <w:p w14:paraId="73D5BB81">
      <w:pPr>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③该项目实施与伊宁县文化体育广播电视和旅游局“负责公共文化事业发展，推进我县公共文化体育服务体系建设、广播电视公共服务和旅游公共服务建设，深化实施文化惠民工程，统筹推进基本公共文化服务标准化，均等化。”这一部门职责范围相符，属于部门履职所需。</w:t>
      </w:r>
    </w:p>
    <w:p w14:paraId="4B38C76D">
      <w:pPr>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④该项目预算来源为上级转移支付资金，项目资金性质为“政府性基金预算资金”，支出经济分类科目为“2296003用于体育事业的彩票公益金支出”，项目属于公共财政支持范围，符合中央、地方事权支出责任划分原则。</w:t>
      </w:r>
    </w:p>
    <w:p w14:paraId="38FE4D26">
      <w:pPr>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⑤经查询伊宁县2024年财政预算绩效项目数据以及同年其他项目，不存在部门内部相关项目重复。</w:t>
      </w:r>
    </w:p>
    <w:p w14:paraId="05C296E0">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1.50</w:t>
      </w:r>
      <w:r>
        <w:rPr>
          <w:rFonts w:ascii="Times New Roman" w:hAnsi="Times New Roman" w:eastAsia="宋体" w:cs="Times New Roman"/>
          <w:color w:val="auto"/>
          <w:highlight w:val="none"/>
        </w:rPr>
        <w:t>分。</w:t>
      </w:r>
    </w:p>
    <w:p w14:paraId="39982C82">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（2）</w:t>
      </w:r>
      <w:r>
        <w:rPr>
          <w:rFonts w:hint="eastAsia" w:ascii="Times New Roman" w:hAnsi="Times New Roman" w:eastAsia="宋体" w:cs="Times New Roman"/>
          <w:b/>
          <w:bCs/>
          <w:color w:val="auto"/>
          <w:highlight w:val="none"/>
        </w:rPr>
        <w:t>A12立项程序规范性指标：</w:t>
      </w:r>
    </w:p>
    <w:p w14:paraId="2DADBB34">
      <w:pPr>
        <w:pStyle w:val="2"/>
        <w:spacing w:line="360" w:lineRule="auto"/>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t>经查看相关资料，该项目已编制</w:t>
      </w:r>
      <w:r>
        <w:rPr>
          <w:rFonts w:hint="eastAsia" w:ascii="Times New Roman" w:hAnsi="Times New Roman" w:eastAsia="宋体" w:cs="Times New Roman"/>
          <w:color w:val="auto"/>
          <w:highlight w:val="none"/>
        </w:rPr>
        <w:t>《伊宁县全民健身场地建设项目可行性研究报告》，</w:t>
      </w:r>
      <w:r>
        <w:rPr>
          <w:rFonts w:hint="default" w:ascii="Times New Roman" w:hAnsi="Times New Roman" w:eastAsia="宋体" w:cs="Times New Roman"/>
          <w:color w:val="auto"/>
          <w:highlight w:val="none"/>
          <w:lang w:val="en-US" w:eastAsia="zh-CN"/>
        </w:rPr>
        <w:t>并取得</w:t>
      </w:r>
      <w:r>
        <w:rPr>
          <w:rFonts w:hint="eastAsia" w:ascii="Times New Roman" w:hAnsi="Times New Roman" w:eastAsia="宋体" w:cs="Times New Roman"/>
          <w:color w:val="auto"/>
          <w:highlight w:val="none"/>
          <w:lang w:val="en-US" w:eastAsia="zh-CN"/>
        </w:rPr>
        <w:t>伊宁县发展和改革委员会出具的</w:t>
      </w:r>
      <w:r>
        <w:rPr>
          <w:rFonts w:hint="eastAsia" w:ascii="Times New Roman" w:hAnsi="Times New Roman" w:eastAsia="宋体" w:cs="Times New Roman"/>
          <w:color w:val="auto"/>
          <w:highlight w:val="none"/>
        </w:rPr>
        <w:t>《关于伊</w:t>
      </w:r>
      <w:r>
        <w:rPr>
          <w:rFonts w:hint="eastAsia" w:ascii="Times New Roman" w:hAnsi="Times New Roman" w:eastAsia="宋体" w:cs="Times New Roman"/>
          <w:color w:val="auto"/>
          <w:highlight w:val="none"/>
          <w:lang w:eastAsia="zh-CN"/>
        </w:rPr>
        <w:t>宁县</w:t>
      </w:r>
      <w:r>
        <w:rPr>
          <w:rFonts w:hint="eastAsia" w:ascii="Times New Roman" w:hAnsi="Times New Roman" w:eastAsia="宋体" w:cs="Times New Roman"/>
          <w:color w:val="auto"/>
          <w:highlight w:val="none"/>
        </w:rPr>
        <w:t>全民健身场地建设项目可行性研究报告的批复》</w:t>
      </w:r>
      <w:r>
        <w:rPr>
          <w:rFonts w:hint="eastAsia" w:ascii="Times New Roman" w:hAnsi="Times New Roman" w:eastAsia="宋体" w:cs="Times New Roman"/>
          <w:color w:val="auto"/>
          <w:kern w:val="2"/>
          <w:sz w:val="21"/>
          <w:szCs w:val="22"/>
          <w:highlight w:val="none"/>
          <w:lang w:val="en-US" w:eastAsia="zh-CN" w:bidi="ar-SA"/>
        </w:rPr>
        <w:t>（伊县发改字〔2024〕87号）</w:t>
      </w:r>
      <w:r>
        <w:rPr>
          <w:rFonts w:hint="eastAsia" w:eastAsia="宋体" w:cs="Times New Roman"/>
          <w:color w:val="auto"/>
          <w:kern w:val="2"/>
          <w:sz w:val="21"/>
          <w:szCs w:val="22"/>
          <w:highlight w:val="none"/>
          <w:lang w:val="en-US" w:eastAsia="zh-CN" w:bidi="ar-SA"/>
        </w:rPr>
        <w:t>，同时办理取得</w:t>
      </w:r>
      <w:r>
        <w:rPr>
          <w:rFonts w:hint="eastAsia" w:ascii="Times New Roman" w:hAnsi="Times New Roman" w:eastAsia="宋体" w:cs="Times New Roman"/>
          <w:color w:val="auto"/>
          <w:kern w:val="2"/>
          <w:sz w:val="21"/>
          <w:szCs w:val="22"/>
          <w:highlight w:val="none"/>
          <w:lang w:val="en-US" w:eastAsia="zh-CN" w:bidi="ar-SA"/>
        </w:rPr>
        <w:t>《关于伊宁县全民健身场地建设项目选址的审查意见》（伊县自然资函〔2024〕49号）、《不纳入建设项目环境影响评价管理告知函》</w:t>
      </w:r>
      <w:r>
        <w:rPr>
          <w:rFonts w:hint="default" w:ascii="Times New Roman" w:hAnsi="Times New Roman" w:eastAsia="宋体" w:cs="Times New Roman"/>
          <w:color w:val="auto"/>
          <w:kern w:val="2"/>
          <w:sz w:val="21"/>
          <w:szCs w:val="21"/>
          <w:highlight w:val="none"/>
          <w:lang w:val="en-US" w:eastAsia="zh-CN" w:bidi="ar"/>
        </w:rPr>
        <w:t>等前期批复文件</w:t>
      </w:r>
      <w:r>
        <w:rPr>
          <w:rFonts w:hint="eastAsia" w:ascii="Times New Roman" w:hAnsi="Times New Roman" w:eastAsia="宋体" w:cs="Times New Roman"/>
          <w:color w:val="auto"/>
          <w:kern w:val="2"/>
          <w:sz w:val="21"/>
          <w:szCs w:val="21"/>
          <w:highlight w:val="none"/>
          <w:lang w:val="en-US" w:eastAsia="zh-CN" w:bidi="ar-SA"/>
        </w:rPr>
        <w:t>，前期手续审批文件、材料符合要求。</w:t>
      </w:r>
    </w:p>
    <w:p w14:paraId="2829C2FC">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该指标满分为1.50分，根据评分标准得</w:t>
      </w:r>
      <w:r>
        <w:rPr>
          <w:rFonts w:hint="eastAsia" w:ascii="Times New Roman" w:hAnsi="Times New Roman" w:eastAsia="宋体" w:cs="Times New Roman"/>
          <w:color w:val="auto"/>
          <w:sz w:val="21"/>
          <w:szCs w:val="21"/>
          <w:highlight w:val="none"/>
          <w:lang w:eastAsia="zh-CN"/>
        </w:rPr>
        <w:t>1.50</w:t>
      </w:r>
      <w:r>
        <w:rPr>
          <w:rFonts w:ascii="Times New Roman" w:hAnsi="Times New Roman" w:eastAsia="宋体" w:cs="Times New Roman"/>
          <w:color w:val="auto"/>
          <w:highlight w:val="none"/>
        </w:rPr>
        <w:t>分。</w:t>
      </w:r>
    </w:p>
    <w:p w14:paraId="0E6546B8">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（3）</w:t>
      </w:r>
      <w:r>
        <w:rPr>
          <w:rFonts w:hint="eastAsia" w:ascii="Times New Roman" w:hAnsi="Times New Roman" w:eastAsia="宋体" w:cs="Times New Roman"/>
          <w:b/>
          <w:bCs/>
          <w:color w:val="auto"/>
          <w:highlight w:val="none"/>
        </w:rPr>
        <w:t>A21绩效目标合理性指标：</w:t>
      </w:r>
    </w:p>
    <w:p w14:paraId="0B6F676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①</w:t>
      </w:r>
      <w:r>
        <w:rPr>
          <w:rFonts w:hint="default" w:ascii="Times New Roman" w:hAnsi="Times New Roman" w:eastAsia="宋体" w:cs="Times New Roman"/>
          <w:color w:val="auto"/>
          <w:highlight w:val="none"/>
        </w:rPr>
        <w:t>根据项目实施单位</w:t>
      </w:r>
      <w:r>
        <w:rPr>
          <w:rFonts w:hint="default" w:ascii="Times New Roman" w:hAnsi="Times New Roman" w:eastAsia="宋体" w:cs="Times New Roman"/>
          <w:color w:val="auto"/>
          <w:highlight w:val="none"/>
          <w:lang w:val="en-US" w:eastAsia="zh-CN"/>
        </w:rPr>
        <w:t>提供的</w:t>
      </w:r>
      <w:r>
        <w:rPr>
          <w:rFonts w:hint="default" w:ascii="Times New Roman" w:hAnsi="Times New Roman" w:eastAsia="宋体" w:cs="Times New Roman"/>
          <w:color w:val="auto"/>
          <w:highlight w:val="none"/>
        </w:rPr>
        <w:t>《项目绩效目标表》，项目年度总体目标为</w:t>
      </w:r>
      <w:r>
        <w:rPr>
          <w:rFonts w:hint="eastAsia" w:ascii="Times New Roman" w:hAnsi="Times New Roman" w:eastAsia="宋体" w:cs="Times New Roman"/>
          <w:color w:val="auto"/>
          <w:highlight w:val="none"/>
        </w:rPr>
        <w:t>“根据《关于提前下达2024年中央集中彩票公益金支持体育事业专项资金预算的通知》（伊州财教〔2023〕52号）附带的区域目标，结合伊宁县实际情况，设置如下指标，2024年该项目计划支持赛事活动2场次，参加赛事活动人数达到1</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rPr>
        <w:t>000</w:t>
      </w:r>
      <w:r>
        <w:rPr>
          <w:rFonts w:hint="eastAsia" w:ascii="Times New Roman" w:hAnsi="Times New Roman" w:eastAsia="宋体" w:cs="Times New Roman"/>
          <w:color w:val="auto"/>
          <w:highlight w:val="none"/>
          <w:lang w:val="en-US" w:eastAsia="zh-CN"/>
        </w:rPr>
        <w:t>.00</w:t>
      </w:r>
      <w:r>
        <w:rPr>
          <w:rFonts w:hint="eastAsia" w:ascii="Times New Roman" w:hAnsi="Times New Roman" w:eastAsia="宋体" w:cs="Times New Roman"/>
          <w:color w:val="auto"/>
          <w:highlight w:val="none"/>
        </w:rPr>
        <w:t>人以上，支持2个场地设施建设。场地设施竣工验收合格率、赛事和活动任务完成率达到100</w:t>
      </w:r>
      <w:r>
        <w:rPr>
          <w:rFonts w:hint="eastAsia" w:ascii="Times New Roman" w:hAnsi="Times New Roman" w:eastAsia="宋体" w:cs="Times New Roman"/>
          <w:color w:val="auto"/>
          <w:highlight w:val="none"/>
          <w:lang w:val="en-US" w:eastAsia="zh-CN"/>
        </w:rPr>
        <w:t>.00</w:t>
      </w:r>
      <w:r>
        <w:rPr>
          <w:rFonts w:hint="eastAsia" w:ascii="Times New Roman" w:hAnsi="Times New Roman" w:eastAsia="宋体" w:cs="Times New Roman"/>
          <w:color w:val="auto"/>
          <w:highlight w:val="none"/>
        </w:rPr>
        <w:t>%。”</w:t>
      </w:r>
    </w:p>
    <w:p w14:paraId="5D23BF54">
      <w:pPr>
        <w:spacing w:line="360" w:lineRule="auto"/>
        <w:ind w:firstLine="420"/>
        <w:rPr>
          <w:rFonts w:hint="default" w:ascii="Times New Roman" w:hAnsi="Times New Roman" w:eastAsia="宋体" w:cs="Times New Roman"/>
          <w:color w:val="auto"/>
          <w:highlight w:val="none"/>
        </w:rPr>
      </w:pPr>
      <w:r>
        <w:rPr>
          <w:rFonts w:hint="eastAsia" w:ascii="Times New Roman" w:hAnsi="Times New Roman" w:eastAsia="宋体" w:cs="Times New Roman"/>
          <w:color w:val="auto"/>
          <w:highlight w:val="none"/>
        </w:rPr>
        <w:t>②</w:t>
      </w:r>
      <w:r>
        <w:rPr>
          <w:rFonts w:hint="default" w:ascii="Times New Roman" w:hAnsi="Times New Roman" w:eastAsia="宋体" w:cs="Times New Roman"/>
          <w:color w:val="auto"/>
          <w:highlight w:val="none"/>
        </w:rPr>
        <w:t>根据项目资金申报及审核拨付的过程文件等资料，该项目资金用于</w:t>
      </w:r>
      <w:r>
        <w:rPr>
          <w:rFonts w:hint="default" w:ascii="Times New Roman" w:hAnsi="Times New Roman" w:eastAsia="宋体" w:cs="Times New Roman"/>
          <w:color w:val="auto"/>
          <w:highlight w:val="none"/>
          <w:lang w:val="en-US" w:eastAsia="zh-CN"/>
        </w:rPr>
        <w:t>伊宁县全民健身场地设施项目</w:t>
      </w:r>
      <w:r>
        <w:rPr>
          <w:rFonts w:hint="default" w:ascii="Times New Roman" w:hAnsi="Times New Roman" w:eastAsia="宋体" w:cs="Times New Roman"/>
          <w:color w:val="auto"/>
          <w:highlight w:val="none"/>
        </w:rPr>
        <w:t>建设资金，项目绩效目标与实际工作内容具有相关性。</w:t>
      </w:r>
    </w:p>
    <w:p w14:paraId="0E9BE3C4">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③该项目通过</w:t>
      </w:r>
      <w:r>
        <w:rPr>
          <w:rFonts w:hint="eastAsia" w:ascii="Times New Roman" w:hAnsi="Times New Roman" w:eastAsia="宋体" w:cs="Times New Roman"/>
          <w:color w:val="auto"/>
          <w:highlight w:val="none"/>
          <w:lang w:val="en-US" w:eastAsia="zh-CN"/>
        </w:rPr>
        <w:t>项目的实施</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提高对群众体育可持续发展的影响程度，提高对青少年体育可持续发展的影响程度</w:t>
      </w:r>
      <w:r>
        <w:rPr>
          <w:rFonts w:hint="default" w:ascii="Times New Roman" w:hAnsi="Times New Roman" w:eastAsia="宋体" w:cs="Times New Roman"/>
          <w:color w:val="auto"/>
          <w:highlight w:val="none"/>
        </w:rPr>
        <w:t>，项目预期产出效益和效果根据项目的实际用途设置，符合正常的业绩水平。</w:t>
      </w:r>
    </w:p>
    <w:p w14:paraId="25C4811A">
      <w:pPr>
        <w:spacing w:line="360" w:lineRule="auto"/>
        <w:ind w:firstLine="42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rPr>
        <w:t>④</w:t>
      </w:r>
      <w:r>
        <w:rPr>
          <w:rFonts w:hint="eastAsia" w:ascii="Times New Roman" w:hAnsi="Times New Roman" w:eastAsia="宋体" w:cs="Times New Roman"/>
          <w:color w:val="auto"/>
          <w:highlight w:val="none"/>
        </w:rPr>
        <w:t>根据《关于提前下达2024年中央集中彩票公益金支持体育事业专项资金预算的通知》（伊州财教〔2023〕52号）显示，该项目确定项目总投资为100.00万元，项目实施单位提供的《项目支出绩效目标表》中预算金额为100.00万元，预算批复下达金额一致；绩效目标与立项批复相匹配。</w:t>
      </w:r>
    </w:p>
    <w:p w14:paraId="0DF96F9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该指标满分为2.00分，根据评分标准得</w:t>
      </w:r>
      <w:r>
        <w:rPr>
          <w:rFonts w:hint="eastAsia" w:ascii="Times New Roman" w:hAnsi="Times New Roman" w:eastAsia="宋体" w:cs="Times New Roman"/>
          <w:color w:val="auto"/>
          <w:sz w:val="21"/>
          <w:szCs w:val="21"/>
          <w:highlight w:val="none"/>
          <w:lang w:eastAsia="zh-CN"/>
        </w:rPr>
        <w:t>2.00</w:t>
      </w:r>
      <w:r>
        <w:rPr>
          <w:rFonts w:ascii="Times New Roman" w:hAnsi="Times New Roman" w:eastAsia="宋体" w:cs="Times New Roman"/>
          <w:color w:val="auto"/>
          <w:highlight w:val="none"/>
        </w:rPr>
        <w:t>分。</w:t>
      </w:r>
    </w:p>
    <w:p w14:paraId="44296F90">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（4）</w:t>
      </w:r>
      <w:r>
        <w:rPr>
          <w:rFonts w:hint="eastAsia" w:ascii="Times New Roman" w:hAnsi="Times New Roman" w:eastAsia="宋体" w:cs="Times New Roman"/>
          <w:b/>
          <w:bCs/>
          <w:color w:val="auto"/>
          <w:highlight w:val="none"/>
        </w:rPr>
        <w:t>A22绩效指标明确性指标：</w:t>
      </w:r>
    </w:p>
    <w:p w14:paraId="3822BB92">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rPr>
        <w:t>根据《项目绩效目标表》，项目绩效目标共设置</w:t>
      </w:r>
      <w:r>
        <w:rPr>
          <w:rFonts w:hint="eastAsia" w:ascii="Times New Roman" w:hAnsi="Times New Roman" w:eastAsia="宋体" w:cs="Times New Roman"/>
          <w:color w:val="auto"/>
          <w:highlight w:val="none"/>
        </w:rPr>
        <w:t>一级指标4个，二级指标6个，三级指标11个</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其中：定量指标8个，定性指标3个，指标量化率为72.73%，</w:t>
      </w:r>
      <w:r>
        <w:rPr>
          <w:rFonts w:hint="default" w:ascii="Times New Roman" w:hAnsi="Times New Roman" w:eastAsia="宋体" w:cs="Times New Roman"/>
          <w:color w:val="auto"/>
          <w:highlight w:val="none"/>
        </w:rPr>
        <w:t>绩效目标和指标具备可衡量性、可实现性、相关性、时限性；绩效指标与项目目标任务数相对应；绩效指标指向明确，量化易评。</w:t>
      </w:r>
    </w:p>
    <w:p w14:paraId="1B36503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该指标满分为3.00分，根据评分标准得</w:t>
      </w:r>
      <w:r>
        <w:rPr>
          <w:rFonts w:hint="eastAsia" w:ascii="Times New Roman" w:hAnsi="Times New Roman" w:eastAsia="宋体" w:cs="Times New Roman"/>
          <w:color w:val="auto"/>
          <w:sz w:val="21"/>
          <w:szCs w:val="21"/>
          <w:highlight w:val="none"/>
          <w:lang w:eastAsia="zh-CN"/>
        </w:rPr>
        <w:t>3.00</w:t>
      </w:r>
      <w:r>
        <w:rPr>
          <w:rFonts w:ascii="Times New Roman" w:hAnsi="Times New Roman" w:eastAsia="宋体" w:cs="Times New Roman"/>
          <w:color w:val="auto"/>
          <w:highlight w:val="none"/>
        </w:rPr>
        <w:t>分。</w:t>
      </w:r>
    </w:p>
    <w:p w14:paraId="772BEB45">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（5）</w:t>
      </w:r>
      <w:r>
        <w:rPr>
          <w:rFonts w:hint="eastAsia" w:ascii="Times New Roman" w:hAnsi="Times New Roman" w:eastAsia="宋体" w:cs="Times New Roman"/>
          <w:b/>
          <w:bCs/>
          <w:color w:val="auto"/>
          <w:highlight w:val="none"/>
        </w:rPr>
        <w:t>A31预算编制科学性指标：</w:t>
      </w:r>
    </w:p>
    <w:p w14:paraId="49927F35">
      <w:pPr>
        <w:snapToGrid w:val="0"/>
        <w:spacing w:line="360" w:lineRule="auto"/>
        <w:ind w:firstLine="42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经查阅项目资料，</w:t>
      </w:r>
      <w:r>
        <w:rPr>
          <w:rFonts w:hint="eastAsia" w:ascii="Times New Roman" w:hAnsi="Times New Roman" w:eastAsia="宋体" w:cs="Times New Roman"/>
          <w:color w:val="auto"/>
          <w:highlight w:val="none"/>
        </w:rPr>
        <w:t>伊宁县文化体育广播电视和旅游局</w:t>
      </w:r>
      <w:r>
        <w:rPr>
          <w:rFonts w:hint="eastAsia" w:ascii="Times New Roman" w:hAnsi="Times New Roman" w:eastAsia="宋体" w:cs="Times New Roman"/>
          <w:color w:val="auto"/>
          <w:highlight w:val="none"/>
          <w:lang w:val="en-US" w:eastAsia="zh-CN"/>
        </w:rPr>
        <w:t>编制了</w:t>
      </w:r>
      <w:r>
        <w:rPr>
          <w:rFonts w:hint="eastAsia" w:ascii="Times New Roman" w:hAnsi="Times New Roman" w:eastAsia="宋体" w:cs="Times New Roman"/>
          <w:color w:val="auto"/>
          <w:highlight w:val="none"/>
        </w:rPr>
        <w:t>《伊宁县全民健身场地建设项目可行性研究报告》</w:t>
      </w:r>
      <w:r>
        <w:rPr>
          <w:rFonts w:hint="eastAsia" w:ascii="Times New Roman" w:hAnsi="Times New Roman" w:eastAsia="宋体" w:cs="Times New Roman"/>
          <w:color w:val="auto"/>
          <w:highlight w:val="none"/>
          <w:lang w:val="en-US" w:eastAsia="zh-CN"/>
        </w:rPr>
        <w:t>，经报</w:t>
      </w:r>
      <w:r>
        <w:rPr>
          <w:rFonts w:hint="eastAsia" w:ascii="Times New Roman" w:hAnsi="Times New Roman" w:eastAsia="宋体" w:cs="Times New Roman"/>
          <w:color w:val="auto"/>
          <w:highlight w:val="none"/>
          <w:lang w:eastAsia="zh-CN"/>
        </w:rPr>
        <w:t>伊宁县发展和改革</w:t>
      </w:r>
      <w:r>
        <w:rPr>
          <w:rFonts w:hint="eastAsia" w:ascii="Times New Roman" w:hAnsi="Times New Roman" w:eastAsia="宋体" w:cs="Times New Roman"/>
          <w:color w:val="auto"/>
          <w:highlight w:val="none"/>
          <w:lang w:val="en-US" w:eastAsia="zh-CN"/>
        </w:rPr>
        <w:t>委员会审查取得</w:t>
      </w:r>
      <w:r>
        <w:rPr>
          <w:rFonts w:hint="eastAsia" w:ascii="Times New Roman" w:hAnsi="Times New Roman" w:eastAsia="宋体" w:cs="Times New Roman"/>
          <w:color w:val="auto"/>
          <w:highlight w:val="none"/>
        </w:rPr>
        <w:t>《关于伊宁全民健身场地建设项目可行性研究报告的批复》（伊县发改字〔2024〕87号）</w:t>
      </w:r>
      <w:r>
        <w:rPr>
          <w:rFonts w:hint="eastAsia" w:ascii="Times New Roman" w:hAnsi="Times New Roman" w:eastAsia="宋体" w:cs="Times New Roman"/>
          <w:color w:val="auto"/>
          <w:highlight w:val="none"/>
          <w:lang w:val="en-US" w:eastAsia="zh-CN"/>
        </w:rPr>
        <w:t>，批复</w:t>
      </w:r>
      <w:r>
        <w:rPr>
          <w:rFonts w:hint="default" w:ascii="Times New Roman" w:hAnsi="Times New Roman" w:eastAsia="宋体" w:cs="Times New Roman"/>
          <w:color w:val="auto"/>
          <w:highlight w:val="none"/>
        </w:rPr>
        <w:t>总投资</w:t>
      </w:r>
      <w:r>
        <w:rPr>
          <w:rFonts w:hint="eastAsia" w:eastAsia="宋体" w:cs="Times New Roman"/>
          <w:color w:val="auto"/>
          <w:highlight w:val="none"/>
          <w:lang w:val="en-US" w:eastAsia="zh-CN"/>
        </w:rPr>
        <w:t>估算</w:t>
      </w:r>
      <w:r>
        <w:rPr>
          <w:rFonts w:hint="default" w:ascii="Times New Roman" w:hAnsi="Times New Roman" w:eastAsia="宋体" w:cs="Times New Roman"/>
          <w:color w:val="auto"/>
          <w:highlight w:val="none"/>
        </w:rPr>
        <w:t>为</w:t>
      </w:r>
      <w:r>
        <w:rPr>
          <w:rFonts w:hint="eastAsia" w:ascii="Times New Roman" w:hAnsi="Times New Roman" w:eastAsia="宋体" w:cs="Times New Roman"/>
          <w:color w:val="auto"/>
          <w:highlight w:val="none"/>
          <w:lang w:val="en-US" w:eastAsia="zh-CN"/>
        </w:rPr>
        <w:t>100</w:t>
      </w:r>
      <w:r>
        <w:rPr>
          <w:rFonts w:hint="default" w:ascii="Times New Roman" w:hAnsi="Times New Roman" w:eastAsia="宋体" w:cs="Times New Roman"/>
          <w:color w:val="auto"/>
          <w:highlight w:val="none"/>
        </w:rPr>
        <w:t>.00万元</w:t>
      </w:r>
      <w:r>
        <w:rPr>
          <w:rFonts w:hint="eastAsia" w:ascii="Times New Roman" w:hAnsi="Times New Roman" w:eastAsia="宋体" w:cs="Times New Roman"/>
          <w:color w:val="auto"/>
          <w:highlight w:val="none"/>
          <w:lang w:eastAsia="zh-CN"/>
        </w:rPr>
        <w:t>，</w:t>
      </w:r>
      <w:r>
        <w:rPr>
          <w:rFonts w:hint="eastAsia" w:eastAsia="宋体" w:cs="Times New Roman"/>
          <w:color w:val="auto"/>
          <w:highlight w:val="none"/>
          <w:lang w:val="en-US" w:eastAsia="zh-CN"/>
        </w:rPr>
        <w:t>项目预算批复程序完整，</w:t>
      </w:r>
      <w:r>
        <w:rPr>
          <w:rFonts w:hint="eastAsia" w:ascii="Times New Roman" w:hAnsi="Times New Roman" w:eastAsia="宋体" w:cs="Times New Roman"/>
          <w:color w:val="auto"/>
          <w:highlight w:val="none"/>
          <w:lang w:val="en-US" w:eastAsia="zh-CN"/>
        </w:rPr>
        <w:t>申请预算与工作任务相匹配。</w:t>
      </w:r>
    </w:p>
    <w:p w14:paraId="7BD3D7E5">
      <w:pPr>
        <w:snapToGrid w:val="0"/>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根据</w:t>
      </w:r>
      <w:r>
        <w:rPr>
          <w:rFonts w:hint="eastAsia" w:ascii="Times New Roman" w:hAnsi="Times New Roman" w:eastAsia="宋体" w:cs="Times New Roman"/>
          <w:color w:val="auto"/>
          <w:highlight w:val="none"/>
        </w:rPr>
        <w:t>《伊宁县全民健身场地建设项目可行性研究报告》</w:t>
      </w:r>
      <w:r>
        <w:rPr>
          <w:rFonts w:hint="eastAsia" w:ascii="Times New Roman" w:hAnsi="Times New Roman" w:eastAsia="宋体" w:cs="Times New Roman"/>
          <w:color w:val="auto"/>
          <w:highlight w:val="none"/>
          <w:lang w:val="en-US" w:eastAsia="zh-CN"/>
        </w:rPr>
        <w:t>预算编制包括</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本项目投资估算包括工程费用、工程建设其他费用、工程预备费等</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但缺少关于预算编制的工程量估算表以及具体费用的构成明细</w:t>
      </w:r>
      <w:r>
        <w:rPr>
          <w:rFonts w:hint="eastAsia" w:eastAsia="宋体" w:cs="Times New Roman"/>
          <w:color w:val="auto"/>
          <w:highlight w:val="none"/>
          <w:lang w:val="en-US" w:eastAsia="zh-CN"/>
        </w:rPr>
        <w:t>；且经查阅项目的</w:t>
      </w:r>
      <w:r>
        <w:rPr>
          <w:rFonts w:hint="eastAsia" w:ascii="Times New Roman" w:hAnsi="Times New Roman" w:eastAsia="宋体" w:cs="Times New Roman"/>
          <w:b w:val="0"/>
          <w:bCs w:val="0"/>
          <w:color w:val="auto"/>
          <w:kern w:val="2"/>
          <w:sz w:val="21"/>
          <w:szCs w:val="21"/>
          <w:highlight w:val="none"/>
          <w:lang w:val="en-US" w:eastAsia="zh-CN" w:bidi="ar-SA"/>
        </w:rPr>
        <w:t>《伊宁县全民健身场地设施项目竣工结算审核报告》</w:t>
      </w:r>
      <w:r>
        <w:rPr>
          <w:rFonts w:hint="eastAsia" w:eastAsia="宋体" w:cs="Times New Roman"/>
          <w:color w:val="auto"/>
          <w:highlight w:val="none"/>
          <w:lang w:val="en-US" w:eastAsia="zh-CN"/>
        </w:rPr>
        <w:t>以及合同文本</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项目</w:t>
      </w:r>
      <w:r>
        <w:rPr>
          <w:rFonts w:hint="eastAsia" w:eastAsia="宋体" w:cs="Times New Roman"/>
          <w:color w:val="auto"/>
          <w:highlight w:val="none"/>
          <w:lang w:val="en-US" w:eastAsia="zh-CN"/>
        </w:rPr>
        <w:t>实际产生的只有工程建设费用</w:t>
      </w:r>
      <w:r>
        <w:rPr>
          <w:rFonts w:hint="eastAsia" w:ascii="Times New Roman" w:hAnsi="Times New Roman" w:eastAsia="宋体" w:cs="Times New Roman"/>
          <w:color w:val="auto"/>
          <w:highlight w:val="none"/>
          <w:lang w:val="en-US" w:eastAsia="zh-CN"/>
        </w:rPr>
        <w:t>99.15</w:t>
      </w:r>
      <w:r>
        <w:rPr>
          <w:rFonts w:hint="default" w:ascii="Times New Roman" w:hAnsi="Times New Roman" w:eastAsia="宋体" w:cs="Times New Roman"/>
          <w:color w:val="auto"/>
          <w:highlight w:val="none"/>
        </w:rPr>
        <w:t>万元</w:t>
      </w:r>
      <w:r>
        <w:rPr>
          <w:rFonts w:hint="eastAsia" w:ascii="Times New Roman" w:hAnsi="Times New Roman" w:eastAsia="宋体" w:cs="Times New Roman"/>
          <w:color w:val="auto"/>
          <w:kern w:val="2"/>
          <w:sz w:val="21"/>
          <w:szCs w:val="21"/>
          <w:highlight w:val="none"/>
          <w:lang w:val="en-US" w:eastAsia="zh-CN" w:bidi="ar"/>
        </w:rPr>
        <w:t>，</w:t>
      </w:r>
      <w:r>
        <w:rPr>
          <w:rFonts w:hint="eastAsia" w:eastAsia="宋体" w:cs="Times New Roman"/>
          <w:color w:val="auto"/>
          <w:kern w:val="2"/>
          <w:sz w:val="21"/>
          <w:szCs w:val="21"/>
          <w:highlight w:val="none"/>
          <w:lang w:val="en-US" w:eastAsia="zh-CN" w:bidi="ar"/>
        </w:rPr>
        <w:t>且项目实际通过委托</w:t>
      </w:r>
      <w:r>
        <w:rPr>
          <w:rFonts w:hint="eastAsia" w:ascii="Times New Roman" w:hAnsi="Times New Roman" w:eastAsia="宋体" w:cs="Times New Roman"/>
          <w:color w:val="auto"/>
          <w:sz w:val="21"/>
          <w:szCs w:val="21"/>
          <w:highlight w:val="none"/>
          <w:lang w:val="en-US" w:eastAsia="zh-CN"/>
        </w:rPr>
        <w:t>设计、监理、审计结算单位</w:t>
      </w:r>
      <w:r>
        <w:rPr>
          <w:rFonts w:hint="eastAsia" w:eastAsia="宋体" w:cs="Times New Roman"/>
          <w:color w:val="auto"/>
          <w:sz w:val="21"/>
          <w:szCs w:val="21"/>
          <w:highlight w:val="none"/>
          <w:lang w:val="en-US" w:eastAsia="zh-CN"/>
        </w:rPr>
        <w:t>无偿为</w:t>
      </w:r>
      <w:r>
        <w:rPr>
          <w:rFonts w:ascii="Times New Roman" w:hAnsi="Times New Roman" w:eastAsia="宋体" w:cs="Times New Roman"/>
          <w:color w:val="auto"/>
          <w:sz w:val="21"/>
          <w:szCs w:val="21"/>
          <w:highlight w:val="none"/>
        </w:rPr>
        <w:t>项目实施单位</w:t>
      </w:r>
      <w:r>
        <w:rPr>
          <w:rFonts w:hint="eastAsia" w:eastAsia="宋体" w:cs="Times New Roman"/>
          <w:color w:val="auto"/>
          <w:sz w:val="21"/>
          <w:szCs w:val="21"/>
          <w:highlight w:val="none"/>
          <w:lang w:val="en-US" w:eastAsia="zh-CN"/>
        </w:rPr>
        <w:t>提供服务</w:t>
      </w:r>
      <w:r>
        <w:rPr>
          <w:rFonts w:hint="eastAsia"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b w:val="0"/>
          <w:bCs w:val="0"/>
          <w:color w:val="auto"/>
          <w:kern w:val="2"/>
          <w:sz w:val="21"/>
          <w:szCs w:val="21"/>
          <w:highlight w:val="none"/>
          <w:lang w:val="en-US" w:eastAsia="zh-CN" w:bidi="ar-SA"/>
        </w:rPr>
        <w:t>项目预算内容不完整</w:t>
      </w:r>
      <w:r>
        <w:rPr>
          <w:rFonts w:hint="eastAsia" w:eastAsia="宋体" w:cs="Times New Roman"/>
          <w:b w:val="0"/>
          <w:bCs w:val="0"/>
          <w:color w:val="auto"/>
          <w:kern w:val="2"/>
          <w:sz w:val="21"/>
          <w:szCs w:val="21"/>
          <w:highlight w:val="none"/>
          <w:lang w:val="en-US" w:eastAsia="zh-CN" w:bidi="ar-SA"/>
        </w:rPr>
        <w:t>，项目投资计划制定的不够充分，估预算编制的科学性不足</w:t>
      </w:r>
      <w:r>
        <w:rPr>
          <w:rFonts w:hint="default" w:ascii="Times New Roman" w:hAnsi="Times New Roman" w:eastAsia="宋体" w:cs="Times New Roman"/>
          <w:color w:val="auto"/>
          <w:highlight w:val="none"/>
        </w:rPr>
        <w:t>。</w:t>
      </w:r>
      <w:r>
        <w:rPr>
          <w:rFonts w:hint="eastAsia" w:eastAsia="宋体" w:cs="Times New Roman"/>
          <w:color w:val="auto"/>
          <w:highlight w:val="none"/>
          <w:lang w:val="en-US" w:eastAsia="zh-CN"/>
        </w:rPr>
        <w:t>根据评分标准扣2.00分。</w:t>
      </w:r>
    </w:p>
    <w:p w14:paraId="1146A0D4">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.00分，根据评分标准得</w:t>
      </w:r>
      <w:r>
        <w:rPr>
          <w:rFonts w:hint="eastAsia" w:eastAsia="宋体" w:cs="Times New Roman"/>
          <w:color w:val="auto"/>
          <w:sz w:val="21"/>
          <w:szCs w:val="21"/>
          <w:highlight w:val="none"/>
          <w:lang w:val="en-US" w:eastAsia="zh-CN"/>
        </w:rPr>
        <w:t>2.00</w:t>
      </w:r>
      <w:r>
        <w:rPr>
          <w:rFonts w:hint="default" w:ascii="Times New Roman" w:hAnsi="Times New Roman" w:eastAsia="宋体" w:cs="Times New Roman"/>
          <w:color w:val="auto"/>
          <w:highlight w:val="none"/>
        </w:rPr>
        <w:t>分。</w:t>
      </w:r>
    </w:p>
    <w:p w14:paraId="6DEA6E23">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（6）</w:t>
      </w:r>
      <w:r>
        <w:rPr>
          <w:rFonts w:hint="eastAsia" w:ascii="Times New Roman" w:hAnsi="Times New Roman" w:eastAsia="宋体" w:cs="Times New Roman"/>
          <w:b/>
          <w:bCs/>
          <w:color w:val="auto"/>
          <w:highlight w:val="none"/>
        </w:rPr>
        <w:t>A32资金分配合理性指标：</w:t>
      </w:r>
    </w:p>
    <w:p w14:paraId="45503AB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根据《关于伊宁</w:t>
      </w:r>
      <w:r>
        <w:rPr>
          <w:rFonts w:hint="eastAsia" w:ascii="Times New Roman" w:hAnsi="Times New Roman" w:eastAsia="宋体" w:cs="Times New Roman"/>
          <w:color w:val="auto"/>
          <w:highlight w:val="none"/>
          <w:lang w:val="en-US" w:eastAsia="zh-CN"/>
        </w:rPr>
        <w:t>县</w:t>
      </w:r>
      <w:r>
        <w:rPr>
          <w:rFonts w:hint="eastAsia" w:ascii="Times New Roman" w:hAnsi="Times New Roman" w:eastAsia="宋体" w:cs="Times New Roman"/>
          <w:color w:val="auto"/>
          <w:highlight w:val="none"/>
        </w:rPr>
        <w:t>全民健身场地建设项目可行性研究报告的批复》（伊县发改字〔2024〕87号）</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关于提前下达2024年中央集中彩票公益金支持体育事业专项资金预算的通知》（伊州财教〔2023〕52号）显示，该项目总投资为100.00万元，项目资金来源为中央集中彩票公益金支持体育事业专项资金，预算资金分配依据充分。</w:t>
      </w:r>
      <w:r>
        <w:rPr>
          <w:rFonts w:hint="eastAsia" w:ascii="Times New Roman" w:hAnsi="Times New Roman" w:eastAsia="宋体" w:cs="Times New Roman"/>
          <w:color w:val="auto"/>
          <w:highlight w:val="none"/>
          <w:lang w:val="en-US" w:eastAsia="zh-CN"/>
        </w:rPr>
        <w:t>该项目实际实施工程建设</w:t>
      </w:r>
      <w:r>
        <w:rPr>
          <w:rFonts w:hint="eastAsia" w:eastAsia="宋体" w:cs="Times New Roman"/>
          <w:color w:val="auto"/>
          <w:highlight w:val="none"/>
          <w:lang w:val="en-US" w:eastAsia="zh-CN"/>
        </w:rPr>
        <w:t>的</w:t>
      </w:r>
      <w:r>
        <w:rPr>
          <w:rFonts w:hint="default" w:ascii="Times New Roman" w:hAnsi="Times New Roman" w:eastAsia="宋体" w:cs="Times New Roman"/>
          <w:color w:val="auto"/>
          <w:highlight w:val="none"/>
          <w:lang w:val="en-US" w:eastAsia="zh-CN"/>
        </w:rPr>
        <w:t>合同金额</w:t>
      </w:r>
      <w:r>
        <w:rPr>
          <w:rFonts w:hint="eastAsia" w:ascii="Times New Roman" w:hAnsi="Times New Roman" w:eastAsia="宋体" w:cs="Times New Roman"/>
          <w:color w:val="auto"/>
          <w:highlight w:val="none"/>
          <w:lang w:val="en-US" w:eastAsia="zh-CN"/>
        </w:rPr>
        <w:t>为99.</w:t>
      </w:r>
      <w:r>
        <w:rPr>
          <w:rFonts w:hint="eastAsia" w:eastAsia="宋体" w:cs="Times New Roman"/>
          <w:color w:val="auto"/>
          <w:highlight w:val="none"/>
          <w:lang w:val="en-US" w:eastAsia="zh-CN"/>
        </w:rPr>
        <w:t>30</w:t>
      </w:r>
      <w:r>
        <w:rPr>
          <w:rFonts w:hint="default" w:ascii="Times New Roman" w:hAnsi="Times New Roman" w:eastAsia="宋体" w:cs="Times New Roman"/>
          <w:color w:val="auto"/>
          <w:highlight w:val="none"/>
          <w:lang w:val="en-US" w:eastAsia="zh-CN"/>
        </w:rPr>
        <w:t>万元，</w:t>
      </w:r>
      <w:r>
        <w:rPr>
          <w:rFonts w:hint="default" w:ascii="Times New Roman" w:hAnsi="Times New Roman" w:eastAsia="宋体" w:cs="Times New Roman"/>
          <w:color w:val="auto"/>
          <w:highlight w:val="none"/>
          <w:lang w:val="zh-TW" w:eastAsia="zh-TW"/>
        </w:rPr>
        <w:t>批复资金额度与项目单位实际相适应。</w:t>
      </w:r>
    </w:p>
    <w:p w14:paraId="40849425">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该指标满分为3.00分，根据评分标准得</w:t>
      </w:r>
      <w:r>
        <w:rPr>
          <w:rFonts w:hint="eastAsia" w:ascii="Times New Roman" w:hAnsi="Times New Roman" w:eastAsia="宋体" w:cs="Times New Roman"/>
          <w:color w:val="auto"/>
          <w:sz w:val="21"/>
          <w:szCs w:val="21"/>
          <w:highlight w:val="none"/>
          <w:lang w:eastAsia="zh-CN"/>
        </w:rPr>
        <w:t>3.00</w:t>
      </w:r>
      <w:r>
        <w:rPr>
          <w:rFonts w:ascii="Times New Roman" w:hAnsi="Times New Roman" w:eastAsia="宋体" w:cs="Times New Roman"/>
          <w:color w:val="auto"/>
          <w:highlight w:val="none"/>
        </w:rPr>
        <w:t>分。</w:t>
      </w:r>
    </w:p>
    <w:p w14:paraId="04E92C6B">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96" w:name="_Toc32586"/>
      <w:bookmarkStart w:id="97" w:name="_Toc7676"/>
      <w:r>
        <w:rPr>
          <w:rFonts w:ascii="Times New Roman" w:hAnsi="Times New Roman" w:eastAsia="宋体" w:cs="Times New Roman"/>
          <w:color w:val="auto"/>
          <w:highlight w:val="none"/>
        </w:rPr>
        <w:t>（二）项目过程情况</w:t>
      </w:r>
      <w:bookmarkEnd w:id="96"/>
      <w:bookmarkEnd w:id="97"/>
    </w:p>
    <w:p w14:paraId="0F2471F1">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项目过程类指标由</w:t>
      </w:r>
      <w:r>
        <w:rPr>
          <w:rFonts w:hint="eastAsia" w:ascii="Times New Roman" w:hAnsi="Times New Roman" w:eastAsia="宋体" w:cs="Times New Roman"/>
          <w:color w:val="auto"/>
          <w:sz w:val="21"/>
          <w:szCs w:val="21"/>
          <w:highlight w:val="none"/>
          <w:lang w:eastAsia="zh-CN"/>
        </w:rPr>
        <w:t>2</w:t>
      </w:r>
      <w:r>
        <w:rPr>
          <w:rFonts w:ascii="Times New Roman" w:hAnsi="Times New Roman" w:eastAsia="宋体" w:cs="Times New Roman"/>
          <w:color w:val="auto"/>
          <w:highlight w:val="none"/>
        </w:rPr>
        <w:t>个二级指标和</w:t>
      </w:r>
      <w:r>
        <w:rPr>
          <w:rFonts w:hint="eastAsia" w:ascii="Times New Roman" w:hAnsi="Times New Roman" w:eastAsia="宋体" w:cs="Times New Roman"/>
          <w:color w:val="auto"/>
          <w:sz w:val="21"/>
          <w:szCs w:val="21"/>
          <w:highlight w:val="none"/>
          <w:lang w:eastAsia="zh-CN"/>
        </w:rPr>
        <w:t>5</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sz w:val="21"/>
          <w:szCs w:val="21"/>
          <w:highlight w:val="none"/>
          <w:lang w:eastAsia="zh-CN"/>
        </w:rPr>
        <w:t>25.00</w:t>
      </w:r>
      <w:r>
        <w:rPr>
          <w:rFonts w:ascii="Times New Roman" w:hAnsi="Times New Roman" w:eastAsia="宋体" w:cs="Times New Roman"/>
          <w:color w:val="auto"/>
          <w:highlight w:val="none"/>
        </w:rPr>
        <w:t>分，实际得分</w:t>
      </w:r>
      <w:r>
        <w:rPr>
          <w:rFonts w:hint="eastAsia" w:eastAsia="宋体" w:cs="Times New Roman"/>
          <w:color w:val="auto"/>
          <w:sz w:val="21"/>
          <w:szCs w:val="21"/>
          <w:highlight w:val="none"/>
          <w:lang w:val="en-US" w:eastAsia="zh-CN"/>
        </w:rPr>
        <w:t>16.50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eastAsia="宋体" w:cs="Times New Roman"/>
          <w:color w:val="auto"/>
          <w:sz w:val="21"/>
          <w:szCs w:val="21"/>
          <w:highlight w:val="none"/>
          <w:lang w:val="en-US" w:eastAsia="zh-CN"/>
        </w:rPr>
        <w:t>66</w:t>
      </w:r>
      <w:r>
        <w:rPr>
          <w:rFonts w:hint="eastAsia" w:ascii="Times New Roman" w:hAnsi="Times New Roman" w:eastAsia="宋体" w:cs="Times New Roman"/>
          <w:color w:val="auto"/>
          <w:sz w:val="21"/>
          <w:szCs w:val="21"/>
          <w:highlight w:val="none"/>
          <w:lang w:eastAsia="zh-CN"/>
        </w:rPr>
        <w:t>.00%</w:t>
      </w:r>
      <w:r>
        <w:rPr>
          <w:rFonts w:ascii="Times New Roman" w:hAnsi="Times New Roman" w:eastAsia="宋体" w:cs="Times New Roman"/>
          <w:color w:val="auto"/>
          <w:highlight w:val="none"/>
        </w:rPr>
        <w:t>。各指标业绩值和绩效分值如下表所示：</w:t>
      </w:r>
    </w:p>
    <w:p w14:paraId="13E21FCA">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szCs w:val="16"/>
          <w:highlight w:val="none"/>
        </w:rPr>
        <w:t>表</w:t>
      </w:r>
      <w:r>
        <w:rPr>
          <w:rFonts w:hint="eastAsia"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-2：项目过程类指标及分值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1"/>
        <w:gridCol w:w="1105"/>
        <w:gridCol w:w="2019"/>
        <w:gridCol w:w="855"/>
        <w:gridCol w:w="1206"/>
        <w:gridCol w:w="651"/>
        <w:gridCol w:w="685"/>
        <w:gridCol w:w="856"/>
      </w:tblGrid>
      <w:tr w14:paraId="06C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3" w:type="pct"/>
            <w:vAlign w:val="center"/>
          </w:tcPr>
          <w:p w14:paraId="646341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657" w:type="pct"/>
            <w:vAlign w:val="center"/>
          </w:tcPr>
          <w:p w14:paraId="78C48B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198" w:type="pct"/>
            <w:vAlign w:val="center"/>
          </w:tcPr>
          <w:p w14:paraId="568C676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508" w:type="pct"/>
            <w:vAlign w:val="center"/>
          </w:tcPr>
          <w:p w14:paraId="7AC7B548">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717" w:type="pct"/>
            <w:vAlign w:val="center"/>
          </w:tcPr>
          <w:p w14:paraId="6618D707">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387" w:type="pct"/>
            <w:vAlign w:val="center"/>
          </w:tcPr>
          <w:p w14:paraId="46F6F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07" w:type="pct"/>
            <w:vAlign w:val="center"/>
          </w:tcPr>
          <w:p w14:paraId="2AB59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09" w:type="pct"/>
            <w:vAlign w:val="center"/>
          </w:tcPr>
          <w:p w14:paraId="6FA43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3363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3" w:type="pct"/>
            <w:vMerge w:val="restart"/>
            <w:vAlign w:val="center"/>
          </w:tcPr>
          <w:p w14:paraId="40440A3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B过程（25.00分）</w:t>
            </w:r>
          </w:p>
        </w:tc>
        <w:tc>
          <w:tcPr>
            <w:tcW w:w="657" w:type="pct"/>
            <w:vMerge w:val="restart"/>
            <w:vAlign w:val="center"/>
          </w:tcPr>
          <w:p w14:paraId="57F8097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B1资金管理（13.00分）</w:t>
            </w:r>
          </w:p>
        </w:tc>
        <w:tc>
          <w:tcPr>
            <w:tcW w:w="1198" w:type="pct"/>
            <w:vAlign w:val="center"/>
          </w:tcPr>
          <w:p w14:paraId="1A854382">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B11资金到位率</w:t>
            </w:r>
          </w:p>
        </w:tc>
        <w:tc>
          <w:tcPr>
            <w:tcW w:w="508" w:type="pct"/>
            <w:vAlign w:val="center"/>
          </w:tcPr>
          <w:p w14:paraId="34AE893C">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w:t>
            </w:r>
            <w:r>
              <w:rPr>
                <w:rFonts w:hint="eastAsia" w:ascii="Times New Roman" w:hAnsi="Times New Roman" w:eastAsia="宋体" w:cs="Times New Roman"/>
                <w:color w:val="auto"/>
                <w:kern w:val="0"/>
                <w:sz w:val="21"/>
                <w:szCs w:val="21"/>
                <w:highlight w:val="none"/>
                <w:lang w:val="en-US" w:eastAsia="zh-CN" w:bidi="ar"/>
              </w:rPr>
              <w:t>.00</w:t>
            </w:r>
            <w:r>
              <w:rPr>
                <w:rFonts w:hint="eastAsia" w:ascii="Times New Roman" w:hAnsi="Times New Roman" w:eastAsia="宋体" w:cs="Times New Roman"/>
                <w:color w:val="auto"/>
                <w:kern w:val="0"/>
                <w:sz w:val="21"/>
                <w:szCs w:val="21"/>
                <w:highlight w:val="none"/>
                <w:lang w:bidi="ar"/>
              </w:rPr>
              <w:t>%</w:t>
            </w:r>
          </w:p>
        </w:tc>
        <w:tc>
          <w:tcPr>
            <w:tcW w:w="717" w:type="pct"/>
            <w:vAlign w:val="center"/>
          </w:tcPr>
          <w:p w14:paraId="7FB1920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c>
          <w:tcPr>
            <w:tcW w:w="387" w:type="pct"/>
            <w:vAlign w:val="center"/>
          </w:tcPr>
          <w:p w14:paraId="088D110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407" w:type="pct"/>
            <w:vAlign w:val="center"/>
          </w:tcPr>
          <w:p w14:paraId="5633195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509" w:type="pct"/>
            <w:vAlign w:val="center"/>
          </w:tcPr>
          <w:p w14:paraId="38088EFF">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159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3" w:type="pct"/>
            <w:vMerge w:val="continue"/>
            <w:vAlign w:val="center"/>
          </w:tcPr>
          <w:p w14:paraId="05C6F609">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57" w:type="pct"/>
            <w:vMerge w:val="continue"/>
            <w:vAlign w:val="center"/>
          </w:tcPr>
          <w:p w14:paraId="78A7AC58">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198" w:type="pct"/>
            <w:vAlign w:val="center"/>
          </w:tcPr>
          <w:p w14:paraId="36500FA6">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B12预算执行率</w:t>
            </w:r>
          </w:p>
        </w:tc>
        <w:tc>
          <w:tcPr>
            <w:tcW w:w="508" w:type="pct"/>
            <w:vAlign w:val="center"/>
          </w:tcPr>
          <w:p w14:paraId="687D169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w:t>
            </w:r>
            <w:r>
              <w:rPr>
                <w:rFonts w:hint="eastAsia" w:ascii="Times New Roman" w:hAnsi="Times New Roman" w:eastAsia="宋体" w:cs="Times New Roman"/>
                <w:color w:val="auto"/>
                <w:kern w:val="0"/>
                <w:sz w:val="21"/>
                <w:szCs w:val="21"/>
                <w:highlight w:val="none"/>
                <w:lang w:val="en-US" w:eastAsia="zh-CN" w:bidi="ar"/>
              </w:rPr>
              <w:t>.00</w:t>
            </w:r>
            <w:r>
              <w:rPr>
                <w:rFonts w:hint="eastAsia" w:ascii="Times New Roman" w:hAnsi="Times New Roman" w:eastAsia="宋体" w:cs="Times New Roman"/>
                <w:color w:val="auto"/>
                <w:kern w:val="0"/>
                <w:sz w:val="21"/>
                <w:szCs w:val="21"/>
                <w:highlight w:val="none"/>
                <w:lang w:bidi="ar"/>
              </w:rPr>
              <w:t>%</w:t>
            </w:r>
          </w:p>
        </w:tc>
        <w:tc>
          <w:tcPr>
            <w:tcW w:w="717" w:type="pct"/>
            <w:vAlign w:val="center"/>
          </w:tcPr>
          <w:p w14:paraId="0B502D0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99.15%</w:t>
            </w:r>
          </w:p>
        </w:tc>
        <w:tc>
          <w:tcPr>
            <w:tcW w:w="387" w:type="pct"/>
            <w:vAlign w:val="center"/>
          </w:tcPr>
          <w:p w14:paraId="19EBB4A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5.00</w:t>
            </w:r>
          </w:p>
        </w:tc>
        <w:tc>
          <w:tcPr>
            <w:tcW w:w="407" w:type="pct"/>
            <w:vAlign w:val="center"/>
          </w:tcPr>
          <w:p w14:paraId="597A9BE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509" w:type="pct"/>
            <w:vAlign w:val="center"/>
          </w:tcPr>
          <w:p w14:paraId="41A1E13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37B70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3" w:type="pct"/>
            <w:vMerge w:val="continue"/>
            <w:vAlign w:val="center"/>
          </w:tcPr>
          <w:p w14:paraId="7499FEF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57" w:type="pct"/>
            <w:vMerge w:val="continue"/>
            <w:vAlign w:val="center"/>
          </w:tcPr>
          <w:p w14:paraId="2344CDD3">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198" w:type="pct"/>
            <w:vAlign w:val="center"/>
          </w:tcPr>
          <w:p w14:paraId="6C6D5115">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B13资金使用合规性</w:t>
            </w:r>
          </w:p>
        </w:tc>
        <w:tc>
          <w:tcPr>
            <w:tcW w:w="508" w:type="pct"/>
            <w:vAlign w:val="center"/>
          </w:tcPr>
          <w:p w14:paraId="4492E55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合规</w:t>
            </w:r>
          </w:p>
        </w:tc>
        <w:tc>
          <w:tcPr>
            <w:tcW w:w="717" w:type="pct"/>
            <w:vAlign w:val="center"/>
          </w:tcPr>
          <w:p w14:paraId="6B828A8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较合规</w:t>
            </w:r>
          </w:p>
        </w:tc>
        <w:tc>
          <w:tcPr>
            <w:tcW w:w="387" w:type="pct"/>
            <w:vAlign w:val="center"/>
          </w:tcPr>
          <w:p w14:paraId="19C1FF0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5.00</w:t>
            </w:r>
          </w:p>
        </w:tc>
        <w:tc>
          <w:tcPr>
            <w:tcW w:w="407" w:type="pct"/>
            <w:vAlign w:val="center"/>
          </w:tcPr>
          <w:p w14:paraId="5F27EEC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w:t>
            </w:r>
          </w:p>
        </w:tc>
        <w:tc>
          <w:tcPr>
            <w:tcW w:w="509" w:type="pct"/>
            <w:vAlign w:val="center"/>
          </w:tcPr>
          <w:p w14:paraId="01A6302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6</w:t>
            </w:r>
            <w:r>
              <w:rPr>
                <w:rFonts w:hint="eastAsia" w:ascii="Times New Roman" w:hAnsi="Times New Roman" w:eastAsia="宋体" w:cs="Times New Roman"/>
                <w:color w:val="auto"/>
                <w:kern w:val="0"/>
                <w:sz w:val="21"/>
                <w:szCs w:val="21"/>
                <w:highlight w:val="none"/>
                <w:lang w:bidi="ar"/>
              </w:rPr>
              <w:t>0.00%</w:t>
            </w:r>
          </w:p>
        </w:tc>
      </w:tr>
      <w:tr w14:paraId="4C6C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3" w:type="pct"/>
            <w:vMerge w:val="continue"/>
            <w:vAlign w:val="center"/>
          </w:tcPr>
          <w:p w14:paraId="73B8757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57" w:type="pct"/>
            <w:vMerge w:val="restart"/>
            <w:vAlign w:val="center"/>
          </w:tcPr>
          <w:p w14:paraId="346B93B8">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B2组织实施（12.00分）</w:t>
            </w:r>
          </w:p>
        </w:tc>
        <w:tc>
          <w:tcPr>
            <w:tcW w:w="1198" w:type="pct"/>
            <w:vAlign w:val="center"/>
          </w:tcPr>
          <w:p w14:paraId="35B25CAF">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B21管理制度健全性</w:t>
            </w:r>
          </w:p>
        </w:tc>
        <w:tc>
          <w:tcPr>
            <w:tcW w:w="508" w:type="pct"/>
            <w:vAlign w:val="center"/>
          </w:tcPr>
          <w:p w14:paraId="682E083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健全</w:t>
            </w:r>
          </w:p>
        </w:tc>
        <w:tc>
          <w:tcPr>
            <w:tcW w:w="717" w:type="pct"/>
            <w:vAlign w:val="center"/>
          </w:tcPr>
          <w:p w14:paraId="7FEF3A7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健全</w:t>
            </w:r>
          </w:p>
        </w:tc>
        <w:tc>
          <w:tcPr>
            <w:tcW w:w="387" w:type="pct"/>
            <w:vAlign w:val="center"/>
          </w:tcPr>
          <w:p w14:paraId="547C3DC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4.00</w:t>
            </w:r>
          </w:p>
        </w:tc>
        <w:tc>
          <w:tcPr>
            <w:tcW w:w="407" w:type="pct"/>
            <w:vAlign w:val="center"/>
          </w:tcPr>
          <w:p w14:paraId="31424C2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2</w:t>
            </w:r>
            <w:r>
              <w:rPr>
                <w:rFonts w:hint="eastAsia" w:ascii="Times New Roman" w:hAnsi="Times New Roman" w:eastAsia="宋体" w:cs="Times New Roman"/>
                <w:color w:val="auto"/>
                <w:kern w:val="0"/>
                <w:sz w:val="21"/>
                <w:szCs w:val="21"/>
                <w:highlight w:val="none"/>
                <w:lang w:bidi="ar"/>
              </w:rPr>
              <w:t>.00</w:t>
            </w:r>
          </w:p>
        </w:tc>
        <w:tc>
          <w:tcPr>
            <w:tcW w:w="509" w:type="pct"/>
            <w:vAlign w:val="center"/>
          </w:tcPr>
          <w:p w14:paraId="28DAB55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0.00%</w:t>
            </w:r>
          </w:p>
        </w:tc>
      </w:tr>
      <w:tr w14:paraId="52DA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3" w:type="pct"/>
            <w:vMerge w:val="continue"/>
            <w:vAlign w:val="center"/>
          </w:tcPr>
          <w:p w14:paraId="73C2408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657" w:type="pct"/>
            <w:vMerge w:val="continue"/>
            <w:vAlign w:val="center"/>
          </w:tcPr>
          <w:p w14:paraId="6F25903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198" w:type="pct"/>
            <w:vAlign w:val="center"/>
          </w:tcPr>
          <w:p w14:paraId="7B78F75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B22制度执行有效性</w:t>
            </w:r>
          </w:p>
        </w:tc>
        <w:tc>
          <w:tcPr>
            <w:tcW w:w="508" w:type="pct"/>
            <w:vAlign w:val="center"/>
          </w:tcPr>
          <w:p w14:paraId="4BA253C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有效</w:t>
            </w:r>
          </w:p>
        </w:tc>
        <w:tc>
          <w:tcPr>
            <w:tcW w:w="717" w:type="pct"/>
            <w:vAlign w:val="center"/>
          </w:tcPr>
          <w:p w14:paraId="565483F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较有效</w:t>
            </w:r>
          </w:p>
        </w:tc>
        <w:tc>
          <w:tcPr>
            <w:tcW w:w="387" w:type="pct"/>
            <w:vAlign w:val="center"/>
          </w:tcPr>
          <w:p w14:paraId="3BA48B7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8.00</w:t>
            </w:r>
          </w:p>
        </w:tc>
        <w:tc>
          <w:tcPr>
            <w:tcW w:w="407" w:type="pct"/>
            <w:vAlign w:val="center"/>
          </w:tcPr>
          <w:p w14:paraId="7F590A00">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rPr>
            </w:pPr>
            <w:r>
              <w:rPr>
                <w:rFonts w:hint="eastAsia"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val="en-US" w:eastAsia="zh-CN" w:bidi="ar"/>
              </w:rPr>
              <w:t>.</w:t>
            </w:r>
            <w:r>
              <w:rPr>
                <w:rFonts w:hint="eastAsia"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val="en-US" w:eastAsia="zh-CN" w:bidi="ar"/>
              </w:rPr>
              <w:t>0</w:t>
            </w:r>
          </w:p>
        </w:tc>
        <w:tc>
          <w:tcPr>
            <w:tcW w:w="509" w:type="pct"/>
            <w:vAlign w:val="center"/>
          </w:tcPr>
          <w:p w14:paraId="5BBA92D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43.75</w:t>
            </w:r>
            <w:r>
              <w:rPr>
                <w:rFonts w:hint="eastAsia" w:ascii="Times New Roman" w:hAnsi="Times New Roman" w:eastAsia="宋体" w:cs="Times New Roman"/>
                <w:color w:val="auto"/>
                <w:kern w:val="0"/>
                <w:sz w:val="21"/>
                <w:szCs w:val="21"/>
                <w:highlight w:val="none"/>
                <w:lang w:bidi="ar"/>
              </w:rPr>
              <w:t>%</w:t>
            </w:r>
          </w:p>
        </w:tc>
      </w:tr>
      <w:tr w14:paraId="29DB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0" w:type="pct"/>
            <w:gridSpan w:val="3"/>
            <w:vAlign w:val="center"/>
          </w:tcPr>
          <w:p w14:paraId="11B94733">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508" w:type="pct"/>
            <w:vAlign w:val="center"/>
          </w:tcPr>
          <w:p w14:paraId="6D48805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717" w:type="pct"/>
            <w:vAlign w:val="center"/>
          </w:tcPr>
          <w:p w14:paraId="7CD94B5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387" w:type="pct"/>
            <w:vAlign w:val="center"/>
          </w:tcPr>
          <w:p w14:paraId="6E59B5B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25.00</w:t>
            </w:r>
          </w:p>
        </w:tc>
        <w:tc>
          <w:tcPr>
            <w:tcW w:w="407" w:type="pct"/>
            <w:vAlign w:val="center"/>
          </w:tcPr>
          <w:p w14:paraId="69D30D1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w:t>
            </w:r>
            <w:r>
              <w:rPr>
                <w:rFonts w:hint="eastAsia" w:eastAsia="宋体" w:cs="Times New Roman"/>
                <w:color w:val="auto"/>
                <w:kern w:val="0"/>
                <w:sz w:val="21"/>
                <w:szCs w:val="21"/>
                <w:highlight w:val="none"/>
                <w:lang w:val="en-US" w:eastAsia="zh-CN" w:bidi="ar"/>
              </w:rPr>
              <w:t>6.5</w:t>
            </w:r>
            <w:r>
              <w:rPr>
                <w:rFonts w:hint="eastAsia" w:ascii="Times New Roman" w:hAnsi="Times New Roman" w:eastAsia="宋体" w:cs="Times New Roman"/>
                <w:color w:val="auto"/>
                <w:kern w:val="0"/>
                <w:sz w:val="21"/>
                <w:szCs w:val="21"/>
                <w:highlight w:val="none"/>
                <w:lang w:val="en-US" w:eastAsia="zh-CN" w:bidi="ar"/>
              </w:rPr>
              <w:t>0</w:t>
            </w:r>
          </w:p>
        </w:tc>
        <w:tc>
          <w:tcPr>
            <w:tcW w:w="509" w:type="pct"/>
            <w:vAlign w:val="center"/>
          </w:tcPr>
          <w:p w14:paraId="3F6C8E2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eastAsia="宋体" w:cs="Times New Roman"/>
                <w:color w:val="auto"/>
                <w:kern w:val="0"/>
                <w:sz w:val="21"/>
                <w:szCs w:val="21"/>
                <w:highlight w:val="none"/>
                <w:lang w:val="en-US" w:eastAsia="zh-CN" w:bidi="ar"/>
              </w:rPr>
              <w:t>66</w:t>
            </w:r>
            <w:r>
              <w:rPr>
                <w:rFonts w:hint="eastAsia" w:ascii="Times New Roman" w:hAnsi="Times New Roman" w:eastAsia="宋体" w:cs="Times New Roman"/>
                <w:color w:val="auto"/>
                <w:kern w:val="0"/>
                <w:sz w:val="21"/>
                <w:szCs w:val="21"/>
                <w:highlight w:val="none"/>
                <w:lang w:bidi="ar"/>
              </w:rPr>
              <w:t>.00%</w:t>
            </w:r>
          </w:p>
        </w:tc>
      </w:tr>
    </w:tbl>
    <w:p w14:paraId="00635064">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5802BB1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418DEB31">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rPr>
        <w:t>B11资金到位率指标：</w:t>
      </w:r>
    </w:p>
    <w:p w14:paraId="79EC56B2">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根据项目可研批复及《关于提前下达2024年中央集中彩票公益金支持体育事业专项资金预算的通知》（伊州财教〔2023〕52号），该项目预算资金为100.00万元，项目实际到位中央集中彩票公益金支持体育事业专项资金100.00万元，资金到位率100.00%。</w:t>
      </w:r>
    </w:p>
    <w:p w14:paraId="61F9B6C5">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该指标满分为3.00分，根据评分标准得</w:t>
      </w:r>
      <w:r>
        <w:rPr>
          <w:rFonts w:hint="eastAsia" w:ascii="Times New Roman" w:hAnsi="Times New Roman" w:eastAsia="宋体" w:cs="Times New Roman"/>
          <w:color w:val="auto"/>
          <w:sz w:val="21"/>
          <w:szCs w:val="21"/>
          <w:highlight w:val="none"/>
          <w:lang w:eastAsia="zh-CN"/>
        </w:rPr>
        <w:t>3.00</w:t>
      </w:r>
      <w:r>
        <w:rPr>
          <w:rFonts w:ascii="Times New Roman" w:hAnsi="Times New Roman" w:eastAsia="宋体" w:cs="Times New Roman"/>
          <w:color w:val="auto"/>
          <w:highlight w:val="none"/>
        </w:rPr>
        <w:t>分。</w:t>
      </w:r>
    </w:p>
    <w:p w14:paraId="4B24904C">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（2）</w:t>
      </w:r>
      <w:r>
        <w:rPr>
          <w:rFonts w:hint="eastAsia" w:ascii="Times New Roman" w:hAnsi="Times New Roman" w:eastAsia="宋体" w:cs="Times New Roman"/>
          <w:b/>
          <w:bCs/>
          <w:color w:val="auto"/>
          <w:highlight w:val="none"/>
        </w:rPr>
        <w:t>B12预算执行率指标：</w:t>
      </w:r>
    </w:p>
    <w:p w14:paraId="6C129F92">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经查阅国库集中支付凭证、采购合同、发票等资料显示，项目实际已支付资金</w:t>
      </w:r>
      <w:r>
        <w:rPr>
          <w:rFonts w:hint="eastAsia" w:ascii="Times New Roman" w:hAnsi="Times New Roman" w:eastAsia="宋体" w:cs="Times New Roman"/>
          <w:color w:val="auto"/>
          <w:highlight w:val="none"/>
          <w:lang w:eastAsia="zh-CN"/>
        </w:rPr>
        <w:t>99.15</w:t>
      </w:r>
      <w:r>
        <w:rPr>
          <w:rFonts w:hint="eastAsia" w:ascii="Times New Roman" w:hAnsi="Times New Roman" w:eastAsia="宋体" w:cs="Times New Roman"/>
          <w:color w:val="auto"/>
          <w:highlight w:val="none"/>
        </w:rPr>
        <w:t>万元。预算执行率=（实际支出资金/实际到位资金）×100.00%=（</w:t>
      </w:r>
      <w:r>
        <w:rPr>
          <w:rFonts w:hint="eastAsia" w:ascii="Times New Roman" w:hAnsi="Times New Roman" w:eastAsia="宋体" w:cs="Times New Roman"/>
          <w:color w:val="auto"/>
          <w:highlight w:val="none"/>
          <w:lang w:eastAsia="zh-CN"/>
        </w:rPr>
        <w:t>99.15</w:t>
      </w:r>
      <w:r>
        <w:rPr>
          <w:rFonts w:hint="eastAsia" w:ascii="Times New Roman" w:hAnsi="Times New Roman" w:eastAsia="宋体" w:cs="Times New Roman"/>
          <w:color w:val="auto"/>
          <w:highlight w:val="none"/>
        </w:rPr>
        <w:t>/100.00）×100.00%</w:t>
      </w:r>
    </w:p>
    <w:p w14:paraId="5014A65A">
      <w:pPr>
        <w:pageBreakBefore w:val="0"/>
        <w:kinsoku/>
        <w:wordWrap/>
        <w:overflowPunct/>
        <w:topLinePunct w:val="0"/>
        <w:autoSpaceDE/>
        <w:autoSpaceDN/>
        <w:bidi w:val="0"/>
        <w:snapToGrid w:val="0"/>
        <w:spacing w:before="0" w:after="0" w:line="360" w:lineRule="auto"/>
        <w:ind w:firstLine="0" w:firstLineChars="0"/>
        <w:jc w:val="left"/>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99.15</w:t>
      </w:r>
      <w:r>
        <w:rPr>
          <w:rFonts w:hint="eastAsia" w:ascii="Times New Roman" w:hAnsi="Times New Roman" w:eastAsia="宋体" w:cs="Times New Roman"/>
          <w:color w:val="auto"/>
          <w:highlight w:val="none"/>
        </w:rPr>
        <w:t>%，根据评分规则，项目完成且执行数控制在年度预算规模之内的，得</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.00分。</w:t>
      </w:r>
    </w:p>
    <w:p w14:paraId="4B0727E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该指标满分为5.00分，根据评分标准得</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sz w:val="21"/>
          <w:szCs w:val="21"/>
          <w:highlight w:val="none"/>
          <w:lang w:eastAsia="zh-CN"/>
        </w:rPr>
        <w:t>.00</w:t>
      </w:r>
      <w:r>
        <w:rPr>
          <w:rFonts w:ascii="Times New Roman" w:hAnsi="Times New Roman" w:eastAsia="宋体" w:cs="Times New Roman"/>
          <w:color w:val="auto"/>
          <w:highlight w:val="none"/>
        </w:rPr>
        <w:t>分。</w:t>
      </w:r>
    </w:p>
    <w:p w14:paraId="225DA58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（3）</w:t>
      </w:r>
      <w:r>
        <w:rPr>
          <w:rFonts w:hint="eastAsia" w:ascii="Times New Roman" w:hAnsi="Times New Roman" w:eastAsia="宋体" w:cs="Times New Roman"/>
          <w:b/>
          <w:bCs/>
          <w:color w:val="auto"/>
          <w:highlight w:val="none"/>
        </w:rPr>
        <w:t>B13资金使用合规性指标：</w:t>
      </w:r>
    </w:p>
    <w:p w14:paraId="7D86BD3E">
      <w:pPr>
        <w:spacing w:line="360" w:lineRule="auto"/>
        <w:ind w:firstLine="420"/>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highlight w:val="none"/>
        </w:rPr>
        <w:t>经查阅该项目的合同、资金拨付文件及付款凭证等资料，项目资金用于</w:t>
      </w:r>
      <w:r>
        <w:rPr>
          <w:rFonts w:hint="eastAsia" w:ascii="Times New Roman" w:hAnsi="Times New Roman" w:eastAsia="宋体" w:cs="Times New Roman"/>
          <w:color w:val="auto"/>
          <w:highlight w:val="none"/>
        </w:rPr>
        <w:t>伊宁县全民健身场地设施项目</w:t>
      </w:r>
      <w:r>
        <w:rPr>
          <w:rFonts w:hint="default" w:ascii="Times New Roman" w:hAnsi="Times New Roman" w:eastAsia="宋体" w:cs="Times New Roman"/>
          <w:color w:val="auto"/>
          <w:highlight w:val="none"/>
          <w:lang w:val="en-US" w:eastAsia="zh-CN"/>
        </w:rPr>
        <w:t>工程</w:t>
      </w:r>
      <w:r>
        <w:rPr>
          <w:rFonts w:hint="default" w:ascii="Times New Roman" w:hAnsi="Times New Roman" w:eastAsia="宋体" w:cs="Times New Roman"/>
          <w:color w:val="auto"/>
          <w:highlight w:val="none"/>
        </w:rPr>
        <w:t>费支出，资金使用符合项目预算批复的用途，与项目合同签订的用途一致。</w:t>
      </w:r>
      <w:r>
        <w:rPr>
          <w:rFonts w:ascii="Times New Roman" w:hAnsi="Times New Roman" w:eastAsia="宋体" w:cs="Times New Roman"/>
          <w:color w:val="auto"/>
          <w:highlight w:val="none"/>
        </w:rPr>
        <w:t>经</w:t>
      </w:r>
      <w:r>
        <w:rPr>
          <w:rFonts w:hint="eastAsia" w:ascii="Times New Roman" w:hAnsi="Times New Roman" w:eastAsia="宋体" w:cs="Times New Roman"/>
          <w:color w:val="auto"/>
          <w:highlight w:val="none"/>
        </w:rPr>
        <w:t>查阅</w:t>
      </w:r>
      <w:r>
        <w:rPr>
          <w:rFonts w:ascii="Times New Roman" w:hAnsi="Times New Roman" w:eastAsia="宋体" w:cs="Times New Roman"/>
          <w:color w:val="auto"/>
          <w:highlight w:val="none"/>
        </w:rPr>
        <w:t>该项目</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工程项目施工进度形象确认表</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《伊宁县国家、自治区投资建设工程资金拨付单》、</w:t>
      </w:r>
      <w:r>
        <w:rPr>
          <w:rFonts w:ascii="Times New Roman" w:hAnsi="Times New Roman" w:eastAsia="宋体" w:cs="Times New Roman"/>
          <w:color w:val="auto"/>
          <w:highlight w:val="none"/>
        </w:rPr>
        <w:t>财政直接支付凭证</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合同、发票及会议纪要</w:t>
      </w:r>
      <w:r>
        <w:rPr>
          <w:rFonts w:ascii="Times New Roman" w:hAnsi="Times New Roman" w:eastAsia="宋体" w:cs="Times New Roman"/>
          <w:color w:val="auto"/>
          <w:highlight w:val="none"/>
        </w:rPr>
        <w:t>等资料</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lang w:val="en-US" w:eastAsia="zh-CN"/>
        </w:rPr>
        <w:t xml:space="preserve"> 资金支付手续齐全，且对于5,000.00元以上资金支付经过单位局</w:t>
      </w:r>
      <w:r>
        <w:rPr>
          <w:rFonts w:hint="default" w:ascii="Times New Roman" w:hAnsi="Times New Roman" w:eastAsia="宋体" w:cs="Times New Roman"/>
          <w:color w:val="auto"/>
          <w:szCs w:val="21"/>
          <w:highlight w:val="none"/>
        </w:rPr>
        <w:t>党组会议通过后提交资金支付申请至</w:t>
      </w:r>
      <w:r>
        <w:rPr>
          <w:rFonts w:hint="eastAsia" w:ascii="Times New Roman" w:hAnsi="Times New Roman" w:eastAsia="宋体" w:cs="Times New Roman"/>
          <w:color w:val="auto"/>
          <w:szCs w:val="21"/>
          <w:highlight w:val="none"/>
          <w:lang w:val="en-US" w:eastAsia="zh-CN"/>
        </w:rPr>
        <w:t>县</w:t>
      </w:r>
      <w:r>
        <w:rPr>
          <w:rFonts w:hint="default" w:ascii="Times New Roman" w:hAnsi="Times New Roman" w:eastAsia="宋体" w:cs="Times New Roman"/>
          <w:color w:val="auto"/>
          <w:szCs w:val="21"/>
          <w:highlight w:val="none"/>
        </w:rPr>
        <w:t>财政部门，</w:t>
      </w:r>
      <w:r>
        <w:rPr>
          <w:rFonts w:hint="eastAsia" w:ascii="Times New Roman" w:hAnsi="Times New Roman" w:eastAsia="宋体" w:cs="Times New Roman"/>
          <w:color w:val="auto"/>
          <w:szCs w:val="21"/>
          <w:highlight w:val="none"/>
          <w:lang w:val="en-US" w:eastAsia="zh-CN"/>
        </w:rPr>
        <w:t>通过</w:t>
      </w:r>
      <w:r>
        <w:rPr>
          <w:rFonts w:hint="default" w:ascii="Times New Roman" w:hAnsi="Times New Roman" w:eastAsia="宋体" w:cs="Times New Roman"/>
          <w:color w:val="auto"/>
          <w:szCs w:val="21"/>
          <w:highlight w:val="none"/>
        </w:rPr>
        <w:t>国库</w:t>
      </w:r>
      <w:r>
        <w:rPr>
          <w:rFonts w:hint="eastAsia" w:ascii="Times New Roman" w:hAnsi="Times New Roman" w:eastAsia="宋体" w:cs="Times New Roman"/>
          <w:color w:val="auto"/>
          <w:szCs w:val="21"/>
          <w:highlight w:val="none"/>
          <w:lang w:val="en-US" w:eastAsia="zh-CN"/>
        </w:rPr>
        <w:t>集中支付</w:t>
      </w:r>
      <w:r>
        <w:rPr>
          <w:rFonts w:hint="default" w:ascii="Times New Roman" w:hAnsi="Times New Roman" w:eastAsia="宋体" w:cs="Times New Roman"/>
          <w:color w:val="auto"/>
          <w:szCs w:val="21"/>
          <w:highlight w:val="none"/>
        </w:rPr>
        <w:t>将资金拨付至</w:t>
      </w:r>
      <w:r>
        <w:rPr>
          <w:rFonts w:hint="eastAsia" w:ascii="Times New Roman" w:hAnsi="Times New Roman" w:eastAsia="宋体" w:cs="Times New Roman"/>
          <w:color w:val="auto"/>
          <w:szCs w:val="21"/>
          <w:highlight w:val="none"/>
          <w:lang w:val="en-US" w:eastAsia="zh-CN"/>
        </w:rPr>
        <w:t>相关单位</w:t>
      </w:r>
      <w:r>
        <w:rPr>
          <w:rFonts w:hint="default" w:ascii="Times New Roman" w:hAnsi="Times New Roman" w:eastAsia="宋体" w:cs="Times New Roman"/>
          <w:color w:val="auto"/>
          <w:szCs w:val="21"/>
          <w:highlight w:val="none"/>
        </w:rPr>
        <w:t>，项目资金的拨付有完整的审批程序和手续。</w:t>
      </w:r>
      <w:r>
        <w:rPr>
          <w:rFonts w:hint="eastAsia" w:ascii="Times New Roman" w:hAnsi="Times New Roman" w:eastAsia="宋体" w:cs="Times New Roman"/>
          <w:color w:val="auto"/>
          <w:szCs w:val="21"/>
          <w:highlight w:val="none"/>
          <w:lang w:val="en-US" w:eastAsia="zh-CN"/>
        </w:rPr>
        <w:t>但资金使用管理不够规范，</w:t>
      </w:r>
      <w:r>
        <w:rPr>
          <w:rFonts w:hint="default" w:ascii="Times New Roman" w:hAnsi="Times New Roman" w:eastAsia="宋体" w:cs="Times New Roman"/>
          <w:color w:val="auto"/>
          <w:highlight w:val="none"/>
          <w:lang w:val="en-US" w:eastAsia="zh-CN"/>
        </w:rPr>
        <w:t>具体如下：</w:t>
      </w:r>
    </w:p>
    <w:p w14:paraId="10D70ADB">
      <w:pPr>
        <w:numPr>
          <w:ilvl w:val="-1"/>
          <w:numId w:val="0"/>
        </w:numPr>
        <w:spacing w:line="360" w:lineRule="auto"/>
        <w:ind w:firstLine="420" w:firstLineChars="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①</w:t>
      </w:r>
      <w:r>
        <w:rPr>
          <w:rFonts w:hint="default" w:ascii="Times New Roman" w:hAnsi="Times New Roman" w:eastAsia="宋体" w:cs="Times New Roman"/>
          <w:color w:val="auto"/>
          <w:highlight w:val="none"/>
          <w:lang w:val="en-US" w:eastAsia="zh-CN"/>
        </w:rPr>
        <w:t>项目在实施过程中存在</w:t>
      </w:r>
      <w:r>
        <w:rPr>
          <w:rFonts w:hint="eastAsia" w:ascii="Times New Roman" w:hAnsi="Times New Roman" w:eastAsia="宋体" w:cs="Times New Roman"/>
          <w:color w:val="auto"/>
          <w:highlight w:val="none"/>
          <w:lang w:val="en-US" w:eastAsia="zh-CN"/>
        </w:rPr>
        <w:t>未按合同约定支付合同款项</w:t>
      </w:r>
      <w:r>
        <w:rPr>
          <w:rFonts w:hint="default" w:ascii="Times New Roman" w:hAnsi="Times New Roman" w:eastAsia="宋体" w:cs="Times New Roman"/>
          <w:color w:val="auto"/>
          <w:highlight w:val="none"/>
          <w:lang w:val="en-US" w:eastAsia="zh-CN"/>
        </w:rPr>
        <w:t>的情况，</w:t>
      </w:r>
      <w:r>
        <w:rPr>
          <w:rFonts w:hint="eastAsia" w:ascii="Times New Roman" w:hAnsi="Times New Roman" w:eastAsia="宋体" w:cs="Times New Roman"/>
          <w:color w:val="auto"/>
          <w:highlight w:val="none"/>
        </w:rPr>
        <w:t>该项目</w:t>
      </w:r>
      <w:r>
        <w:rPr>
          <w:rFonts w:hint="eastAsia" w:ascii="Times New Roman" w:hAnsi="Times New Roman" w:eastAsia="宋体" w:cs="Times New Roman"/>
          <w:color w:val="auto"/>
          <w:highlight w:val="none"/>
          <w:lang w:eastAsia="zh-CN"/>
        </w:rPr>
        <w:t>于</w:t>
      </w:r>
      <w:r>
        <w:rPr>
          <w:rFonts w:hint="eastAsia" w:ascii="Times New Roman" w:hAnsi="Times New Roman" w:eastAsia="宋体" w:cs="Times New Roman"/>
          <w:color w:val="auto"/>
          <w:highlight w:val="none"/>
        </w:rPr>
        <w:t>2024年</w:t>
      </w:r>
      <w:r>
        <w:rPr>
          <w:rFonts w:hint="eastAsia" w:ascii="Times New Roman" w:hAnsi="Times New Roman" w:eastAsia="宋体" w:cs="Times New Roman"/>
          <w:color w:val="auto"/>
          <w:highlight w:val="none"/>
          <w:lang w:val="en-US" w:eastAsia="zh-CN"/>
        </w:rPr>
        <w:t>9</w:t>
      </w:r>
      <w:r>
        <w:rPr>
          <w:rFonts w:hint="eastAsia" w:ascii="Times New Roman" w:hAnsi="Times New Roman" w:eastAsia="宋体" w:cs="Times New Roman"/>
          <w:color w:val="auto"/>
          <w:highlight w:val="none"/>
        </w:rPr>
        <w:t>月1</w:t>
      </w:r>
      <w:r>
        <w:rPr>
          <w:rFonts w:hint="eastAsia" w:ascii="Times New Roman" w:hAnsi="Times New Roman" w:eastAsia="宋体" w:cs="Times New Roman"/>
          <w:color w:val="auto"/>
          <w:highlight w:val="none"/>
          <w:lang w:val="en-US" w:eastAsia="zh-CN"/>
        </w:rPr>
        <w:t>5</w:t>
      </w:r>
      <w:r>
        <w:rPr>
          <w:rFonts w:hint="eastAsia" w:ascii="Times New Roman" w:hAnsi="Times New Roman" w:eastAsia="宋体" w:cs="Times New Roman"/>
          <w:color w:val="auto"/>
          <w:highlight w:val="none"/>
        </w:rPr>
        <w:t>日完工，</w:t>
      </w:r>
      <w:r>
        <w:rPr>
          <w:rFonts w:hint="eastAsia" w:eastAsia="宋体" w:cs="Times New Roman"/>
          <w:color w:val="auto"/>
          <w:highlight w:val="none"/>
          <w:lang w:val="en-US" w:eastAsia="zh-CN"/>
        </w:rPr>
        <w:t>项目已完成工程结算审定金额为99.15万元，截止2024年12月31日，项目已支付合同款项99.15万元，合同执行进度为100.00%，</w:t>
      </w:r>
      <w:r>
        <w:rPr>
          <w:rFonts w:hint="eastAsia" w:ascii="Times New Roman" w:hAnsi="Times New Roman" w:eastAsia="宋体" w:cs="Times New Roman"/>
          <w:color w:val="auto"/>
          <w:highlight w:val="none"/>
          <w:lang w:val="en-US" w:eastAsia="zh-CN"/>
        </w:rPr>
        <w:t>与《</w:t>
      </w:r>
      <w:r>
        <w:rPr>
          <w:rFonts w:hint="default" w:ascii="Times New Roman" w:hAnsi="Times New Roman" w:eastAsia="宋体" w:cs="Times New Roman"/>
          <w:color w:val="auto"/>
          <w:highlight w:val="none"/>
          <w:lang w:val="en-US" w:eastAsia="zh-CN"/>
        </w:rPr>
        <w:t>施工合同</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关于付款周期的约定“合同签订之日起</w:t>
      </w:r>
      <w:r>
        <w:rPr>
          <w:rFonts w:hint="eastAsia" w:ascii="Times New Roman" w:hAnsi="Times New Roman" w:eastAsia="宋体" w:cs="Times New Roman"/>
          <w:color w:val="auto"/>
          <w:highlight w:val="none"/>
          <w:lang w:val="en-US" w:eastAsia="zh-CN"/>
        </w:rPr>
        <w:t>7</w:t>
      </w:r>
      <w:r>
        <w:rPr>
          <w:rFonts w:hint="default" w:ascii="Times New Roman" w:hAnsi="Times New Roman" w:eastAsia="宋体" w:cs="Times New Roman"/>
          <w:color w:val="auto"/>
          <w:highlight w:val="none"/>
          <w:lang w:val="en-US" w:eastAsia="zh-CN"/>
        </w:rPr>
        <w:t>日内，甲方向乙方支付合同总款的30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工程施工进度完成至50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%时，甲方向乙方支付合同总款的20</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工程竣工并经甲方验收合格后，甲方向乙方支付合同总款的47</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w:t>
      </w:r>
      <w:r>
        <w:rPr>
          <w:rFonts w:hint="default" w:ascii="Times New Roman" w:hAnsi="Times New Roman" w:eastAsia="宋体" w:cs="Times New Roman"/>
          <w:color w:val="auto"/>
          <w:highlight w:val="none"/>
          <w:lang w:val="en-US" w:eastAsia="zh-CN"/>
        </w:rPr>
        <w:t>剩余3</w:t>
      </w:r>
      <w:r>
        <w:rPr>
          <w:rFonts w:hint="eastAsia" w:ascii="Times New Roman" w:hAnsi="Times New Roman" w:eastAsia="宋体" w:cs="Times New Roman"/>
          <w:color w:val="auto"/>
          <w:highlight w:val="none"/>
          <w:lang w:val="en-US" w:eastAsia="zh-CN"/>
        </w:rPr>
        <w:t>.00</w:t>
      </w:r>
      <w:r>
        <w:rPr>
          <w:rFonts w:hint="default" w:ascii="Times New Roman" w:hAnsi="Times New Roman" w:eastAsia="宋体" w:cs="Times New Roman"/>
          <w:color w:val="auto"/>
          <w:highlight w:val="none"/>
          <w:lang w:val="en-US" w:eastAsia="zh-CN"/>
        </w:rPr>
        <w:t>%为工程质量保证金，自工程验收合格之日起2年的工程质量保质期限届满，无任何质量问题时，由甲方一次性向乙方付清。”</w:t>
      </w:r>
      <w:r>
        <w:rPr>
          <w:rFonts w:hint="eastAsia" w:ascii="Times New Roman" w:hAnsi="Times New Roman" w:eastAsia="宋体" w:cs="Times New Roman"/>
          <w:color w:val="auto"/>
          <w:highlight w:val="none"/>
          <w:lang w:val="en-US" w:eastAsia="zh-CN"/>
        </w:rPr>
        <w:t>不符</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扣</w:t>
      </w:r>
      <w:r>
        <w:rPr>
          <w:rFonts w:hint="eastAsia" w:eastAsia="宋体" w:cs="Times New Roman"/>
          <w:color w:val="auto"/>
          <w:highlight w:val="none"/>
          <w:lang w:val="en-US" w:eastAsia="zh-CN"/>
        </w:rPr>
        <w:t>1.00</w:t>
      </w:r>
      <w:r>
        <w:rPr>
          <w:rFonts w:hint="eastAsia" w:ascii="Times New Roman" w:hAnsi="Times New Roman" w:eastAsia="宋体" w:cs="Times New Roman"/>
          <w:color w:val="auto"/>
          <w:highlight w:val="none"/>
          <w:lang w:val="en-US" w:eastAsia="zh-CN"/>
        </w:rPr>
        <w:t>分。</w:t>
      </w:r>
    </w:p>
    <w:p w14:paraId="73D35E15">
      <w:pPr>
        <w:numPr>
          <w:ilvl w:val="-1"/>
          <w:numId w:val="0"/>
        </w:numPr>
        <w:spacing w:line="360" w:lineRule="auto"/>
        <w:ind w:firstLine="420" w:firstLineChars="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②</w:t>
      </w:r>
      <w:r>
        <w:rPr>
          <w:rFonts w:hint="eastAsia" w:ascii="Times New Roman" w:hAnsi="Times New Roman" w:eastAsia="宋体" w:cs="Times New Roman"/>
          <w:color w:val="auto"/>
          <w:highlight w:val="none"/>
        </w:rPr>
        <w:t>经查阅项目</w:t>
      </w:r>
      <w:r>
        <w:rPr>
          <w:rFonts w:hint="eastAsia" w:ascii="Times New Roman" w:hAnsi="Times New Roman" w:eastAsia="宋体" w:cs="Times New Roman"/>
          <w:color w:val="auto"/>
          <w:highlight w:val="none"/>
          <w:lang w:val="en-US" w:eastAsia="zh-CN"/>
        </w:rPr>
        <w:t>记账凭证</w:t>
      </w:r>
      <w:r>
        <w:rPr>
          <w:rFonts w:hint="eastAsia" w:ascii="Times New Roman" w:hAnsi="Times New Roman" w:eastAsia="宋体" w:cs="Times New Roman"/>
          <w:color w:val="auto"/>
          <w:highlight w:val="none"/>
        </w:rPr>
        <w:t>，该项目</w:t>
      </w:r>
      <w:r>
        <w:rPr>
          <w:rFonts w:hint="eastAsia" w:ascii="Times New Roman" w:hAnsi="Times New Roman" w:eastAsia="宋体" w:cs="Times New Roman"/>
          <w:color w:val="auto"/>
          <w:highlight w:val="none"/>
          <w:lang w:val="en-US" w:eastAsia="zh-CN"/>
        </w:rPr>
        <w:t>将</w:t>
      </w:r>
      <w:r>
        <w:rPr>
          <w:rFonts w:hint="eastAsia" w:ascii="Times New Roman" w:hAnsi="Times New Roman" w:eastAsia="宋体" w:cs="Times New Roman"/>
          <w:color w:val="auto"/>
          <w:highlight w:val="none"/>
        </w:rPr>
        <w:t>发生的工程款费用计入商品和服务费用科目，未按照</w:t>
      </w:r>
      <w:r>
        <w:rPr>
          <w:rFonts w:hint="eastAsia" w:ascii="Times New Roman" w:hAnsi="Times New Roman" w:eastAsia="宋体" w:cs="Times New Roman"/>
          <w:color w:val="auto"/>
          <w:sz w:val="21"/>
          <w:szCs w:val="21"/>
          <w:highlight w:val="none"/>
        </w:rPr>
        <w:t>《政府会计准则第3号——固定资产》</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财会</w:t>
      </w:r>
      <w:r>
        <w:rPr>
          <w:rFonts w:hint="eastAsia" w:ascii="Times New Roman" w:hAnsi="Times New Roman" w:eastAsia="宋体" w:cs="Times New Roman"/>
          <w:color w:val="auto"/>
          <w:sz w:val="21"/>
          <w:szCs w:val="21"/>
          <w:highlight w:val="none"/>
        </w:rPr>
        <w:t>〔2016〕</w:t>
      </w:r>
      <w:r>
        <w:rPr>
          <w:rFonts w:hint="eastAsia" w:ascii="Times New Roman" w:hAnsi="Times New Roman" w:eastAsia="宋体" w:cs="Times New Roman"/>
          <w:color w:val="auto"/>
          <w:sz w:val="21"/>
          <w:szCs w:val="21"/>
          <w:highlight w:val="none"/>
          <w:lang w:val="en-US" w:eastAsia="zh-CN"/>
        </w:rPr>
        <w:t>12号</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《行政事业性国有资产管理条例》等有关规定</w:t>
      </w:r>
      <w:r>
        <w:rPr>
          <w:rFonts w:hint="eastAsia" w:ascii="Times New Roman" w:hAnsi="Times New Roman" w:eastAsia="宋体" w:cs="Times New Roman"/>
          <w:color w:val="auto"/>
          <w:highlight w:val="none"/>
          <w:lang w:eastAsia="zh-CN"/>
        </w:rPr>
        <w:t>的</w:t>
      </w:r>
      <w:r>
        <w:rPr>
          <w:rFonts w:hint="eastAsia" w:ascii="Times New Roman" w:hAnsi="Times New Roman" w:eastAsia="宋体" w:cs="Times New Roman"/>
          <w:color w:val="auto"/>
          <w:highlight w:val="none"/>
          <w:lang w:val="en-US" w:eastAsia="zh-CN"/>
        </w:rPr>
        <w:t>会计核算要求</w:t>
      </w:r>
      <w:r>
        <w:rPr>
          <w:rFonts w:hint="eastAsia" w:ascii="Times New Roman" w:hAnsi="Times New Roman" w:eastAsia="宋体" w:cs="Times New Roman"/>
          <w:color w:val="auto"/>
          <w:highlight w:val="none"/>
        </w:rPr>
        <w:t>计入在建工程</w:t>
      </w:r>
      <w:r>
        <w:rPr>
          <w:rFonts w:hint="eastAsia" w:ascii="Times New Roman" w:hAnsi="Times New Roman" w:eastAsia="宋体" w:cs="Times New Roman"/>
          <w:color w:val="auto"/>
          <w:highlight w:val="none"/>
          <w:lang w:val="en-US" w:eastAsia="zh-CN"/>
        </w:rPr>
        <w:t>或固定资产科目，扣</w:t>
      </w:r>
      <w:r>
        <w:rPr>
          <w:rFonts w:hint="eastAsia" w:eastAsia="宋体" w:cs="Times New Roman"/>
          <w:color w:val="auto"/>
          <w:highlight w:val="none"/>
          <w:lang w:val="en-US" w:eastAsia="zh-CN"/>
        </w:rPr>
        <w:t>1.00</w:t>
      </w:r>
      <w:r>
        <w:rPr>
          <w:rFonts w:hint="eastAsia" w:ascii="Times New Roman" w:hAnsi="Times New Roman" w:eastAsia="宋体" w:cs="Times New Roman"/>
          <w:color w:val="auto"/>
          <w:highlight w:val="none"/>
          <w:lang w:val="en-US" w:eastAsia="zh-CN"/>
        </w:rPr>
        <w:t>分。</w:t>
      </w:r>
    </w:p>
    <w:p w14:paraId="3813DF9A">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该指标满分为5.00分，根据评分标准得</w:t>
      </w:r>
      <w:r>
        <w:rPr>
          <w:rFonts w:hint="eastAsia" w:eastAsia="宋体" w:cs="Times New Roman"/>
          <w:color w:val="auto"/>
          <w:sz w:val="21"/>
          <w:szCs w:val="21"/>
          <w:highlight w:val="none"/>
          <w:lang w:val="en-US" w:eastAsia="zh-CN"/>
        </w:rPr>
        <w:t>3</w:t>
      </w:r>
      <w:r>
        <w:rPr>
          <w:rFonts w:hint="eastAsia" w:ascii="Times New Roman" w:hAnsi="Times New Roman" w:eastAsia="宋体" w:cs="Times New Roman"/>
          <w:color w:val="auto"/>
          <w:sz w:val="21"/>
          <w:szCs w:val="21"/>
          <w:highlight w:val="none"/>
          <w:lang w:eastAsia="zh-CN"/>
        </w:rPr>
        <w:t>.00</w:t>
      </w:r>
      <w:r>
        <w:rPr>
          <w:rFonts w:ascii="Times New Roman" w:hAnsi="Times New Roman" w:eastAsia="宋体" w:cs="Times New Roman"/>
          <w:color w:val="auto"/>
          <w:highlight w:val="none"/>
        </w:rPr>
        <w:t>分。</w:t>
      </w:r>
    </w:p>
    <w:p w14:paraId="606121B3">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（4）</w:t>
      </w:r>
      <w:r>
        <w:rPr>
          <w:rFonts w:hint="eastAsia" w:ascii="Times New Roman" w:hAnsi="Times New Roman" w:eastAsia="宋体" w:cs="Times New Roman"/>
          <w:b/>
          <w:bCs/>
          <w:color w:val="auto"/>
          <w:highlight w:val="none"/>
        </w:rPr>
        <w:t>B21管理制度健全性指标：</w:t>
      </w:r>
    </w:p>
    <w:p w14:paraId="12242F1C">
      <w:pPr>
        <w:pageBreakBefore w:val="0"/>
        <w:numPr>
          <w:ilvl w:val="-1"/>
          <w:numId w:val="0"/>
        </w:numPr>
        <w:kinsoku/>
        <w:wordWrap/>
        <w:overflowPunct/>
        <w:topLinePunct w:val="0"/>
        <w:autoSpaceDE/>
        <w:autoSpaceDN/>
        <w:bidi w:val="0"/>
        <w:snapToGrid w:val="0"/>
        <w:spacing w:before="0" w:after="0" w:line="360" w:lineRule="auto"/>
        <w:ind w:firstLine="420" w:firstLineChars="0"/>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根据</w:t>
      </w:r>
      <w:r>
        <w:rPr>
          <w:rFonts w:hint="eastAsia" w:ascii="Times New Roman" w:hAnsi="Times New Roman" w:eastAsia="宋体" w:cs="Times New Roman"/>
          <w:color w:val="auto"/>
          <w:highlight w:val="none"/>
          <w:lang w:val="en-US" w:eastAsia="zh-CN"/>
        </w:rPr>
        <w:t>项目实施已提供</w:t>
      </w:r>
      <w:r>
        <w:rPr>
          <w:rFonts w:hint="eastAsia" w:eastAsia="宋体" w:cs="Times New Roman"/>
          <w:color w:val="auto"/>
          <w:highlight w:val="none"/>
          <w:lang w:val="en-US" w:eastAsia="zh-CN"/>
        </w:rPr>
        <w:t>的</w:t>
      </w:r>
      <w:r>
        <w:rPr>
          <w:rFonts w:hint="eastAsia" w:ascii="Times New Roman" w:hAnsi="Times New Roman" w:eastAsia="宋体" w:cs="Times New Roman"/>
          <w:color w:val="auto"/>
          <w:highlight w:val="none"/>
        </w:rPr>
        <w:t>《伊宁县文化体育广播电视和旅游局合同业务管理内控制度》</w:t>
      </w:r>
      <w:r>
        <w:rPr>
          <w:rFonts w:hint="eastAsia" w:ascii="Times New Roman" w:hAnsi="Times New Roman" w:eastAsia="宋体" w:cs="Times New Roman"/>
          <w:color w:val="auto"/>
          <w:highlight w:val="none"/>
          <w:lang w:eastAsia="zh-CN"/>
        </w:rPr>
        <w:t>《伊宁县文化体育广播电视和旅游局财务管理制度》《伊宁县文化体育广播电视和旅游局采购管理制度》《伊宁县文化体育广播电视和旅游局预算管理制度》《伊宁县文化体育广播电视和旅游局建设项目管理制度》</w:t>
      </w:r>
      <w:r>
        <w:rPr>
          <w:rFonts w:hint="eastAsia" w:eastAsia="宋体" w:cs="Times New Roman"/>
          <w:color w:val="auto"/>
          <w:highlight w:val="none"/>
          <w:lang w:eastAsia="zh-CN"/>
        </w:rPr>
        <w:t>《</w:t>
      </w:r>
      <w:r>
        <w:rPr>
          <w:rFonts w:hint="eastAsia" w:ascii="Times New Roman" w:hAnsi="Times New Roman" w:eastAsia="宋体" w:cs="Times New Roman"/>
          <w:color w:val="auto"/>
          <w:highlight w:val="none"/>
          <w:lang w:eastAsia="zh-CN"/>
        </w:rPr>
        <w:t>伊宁县文化体育广播电视和旅游局</w:t>
      </w:r>
      <w:r>
        <w:rPr>
          <w:rFonts w:hint="eastAsia" w:ascii="Times New Roman" w:eastAsia="宋体"/>
          <w:b w:val="0"/>
          <w:bCs w:val="0"/>
          <w:color w:val="auto"/>
          <w:sz w:val="21"/>
          <w:szCs w:val="21"/>
          <w:highlight w:val="none"/>
          <w:lang w:eastAsia="zh-CN"/>
        </w:rPr>
        <w:t>国有</w:t>
      </w:r>
      <w:r>
        <w:rPr>
          <w:rFonts w:hint="eastAsia" w:ascii="Times New Roman" w:eastAsia="宋体"/>
          <w:b w:val="0"/>
          <w:bCs w:val="0"/>
          <w:color w:val="auto"/>
          <w:sz w:val="21"/>
          <w:szCs w:val="21"/>
          <w:highlight w:val="none"/>
        </w:rPr>
        <w:t>资产</w:t>
      </w:r>
      <w:r>
        <w:rPr>
          <w:rFonts w:hint="eastAsia" w:ascii="Times New Roman" w:eastAsia="宋体"/>
          <w:b w:val="0"/>
          <w:bCs w:val="0"/>
          <w:color w:val="auto"/>
          <w:sz w:val="21"/>
          <w:szCs w:val="21"/>
          <w:highlight w:val="none"/>
          <w:lang w:eastAsia="zh-CN"/>
        </w:rPr>
        <w:t>管理内部</w:t>
      </w:r>
      <w:r>
        <w:rPr>
          <w:rFonts w:hint="eastAsia" w:ascii="Times New Roman" w:eastAsia="宋体"/>
          <w:b w:val="0"/>
          <w:bCs w:val="0"/>
          <w:color w:val="auto"/>
          <w:sz w:val="21"/>
          <w:szCs w:val="21"/>
          <w:highlight w:val="none"/>
        </w:rPr>
        <w:t>控制制度</w:t>
      </w:r>
      <w:r>
        <w:rPr>
          <w:rFonts w:hint="eastAsia" w:eastAsia="宋体" w:cs="Times New Roman"/>
          <w:color w:val="auto"/>
          <w:highlight w:val="none"/>
          <w:lang w:eastAsia="zh-CN"/>
        </w:rPr>
        <w:t>》</w:t>
      </w:r>
      <w:r>
        <w:rPr>
          <w:rFonts w:hint="eastAsia" w:ascii="Times New Roman" w:hAnsi="Times New Roman" w:eastAsia="宋体" w:cs="Times New Roman"/>
          <w:color w:val="auto"/>
          <w:highlight w:val="none"/>
        </w:rPr>
        <w:t>等相应的财务和业务管理制度，</w:t>
      </w:r>
      <w:r>
        <w:rPr>
          <w:rFonts w:hint="eastAsia" w:eastAsia="宋体" w:cs="Times New Roman"/>
          <w:color w:val="auto"/>
          <w:highlight w:val="none"/>
          <w:lang w:val="en-US" w:eastAsia="zh-CN"/>
        </w:rPr>
        <w:t>主要存在以下问题：</w:t>
      </w:r>
    </w:p>
    <w:p w14:paraId="222D69BB">
      <w:pPr>
        <w:pageBreakBefore w:val="0"/>
        <w:numPr>
          <w:ilvl w:val="-1"/>
          <w:numId w:val="0"/>
        </w:numPr>
        <w:kinsoku/>
        <w:wordWrap/>
        <w:overflowPunct/>
        <w:topLinePunct w:val="0"/>
        <w:autoSpaceDE/>
        <w:autoSpaceDN/>
        <w:bidi w:val="0"/>
        <w:snapToGrid w:val="0"/>
        <w:spacing w:before="0" w:after="0" w:line="360" w:lineRule="auto"/>
        <w:ind w:firstLine="420" w:firstLineChars="0"/>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①</w:t>
      </w:r>
      <w:r>
        <w:rPr>
          <w:rFonts w:hint="eastAsia" w:ascii="Times New Roman" w:hAnsi="Times New Roman" w:eastAsia="宋体" w:cs="Times New Roman"/>
          <w:color w:val="auto"/>
          <w:highlight w:val="none"/>
          <w:lang w:val="en-US" w:eastAsia="zh-CN"/>
        </w:rPr>
        <w:t>单位资产管理制度中缺少关于单位资产验收、日常管理、维修维护、盘点调拨及处置等相关管理要求。按照评分规则，扣1.00分。</w:t>
      </w:r>
    </w:p>
    <w:p w14:paraId="3AB6246B">
      <w:pPr>
        <w:pageBreakBefore w:val="0"/>
        <w:numPr>
          <w:ilvl w:val="-1"/>
          <w:numId w:val="0"/>
        </w:numPr>
        <w:kinsoku/>
        <w:wordWrap/>
        <w:overflowPunct/>
        <w:topLinePunct w:val="0"/>
        <w:autoSpaceDE/>
        <w:autoSpaceDN/>
        <w:bidi w:val="0"/>
        <w:snapToGrid w:val="0"/>
        <w:spacing w:before="0" w:after="0" w:line="360" w:lineRule="auto"/>
        <w:ind w:firstLine="420" w:firstLineChars="0"/>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②单位</w:t>
      </w:r>
      <w:r>
        <w:rPr>
          <w:rFonts w:hint="eastAsia" w:ascii="Times New Roman" w:hAnsi="Times New Roman" w:eastAsia="宋体" w:cs="Times New Roman"/>
          <w:color w:val="auto"/>
          <w:highlight w:val="none"/>
          <w:lang w:val="en-US" w:eastAsia="zh-CN"/>
        </w:rPr>
        <w:t>采购</w:t>
      </w:r>
      <w:r>
        <w:rPr>
          <w:rFonts w:hint="eastAsia" w:eastAsia="宋体" w:cs="Times New Roman"/>
          <w:color w:val="auto"/>
          <w:highlight w:val="none"/>
          <w:lang w:val="en-US" w:eastAsia="zh-CN"/>
        </w:rPr>
        <w:t>管理制度</w:t>
      </w:r>
      <w:r>
        <w:rPr>
          <w:rFonts w:hint="eastAsia" w:ascii="Times New Roman" w:hAnsi="Times New Roman" w:eastAsia="宋体" w:cs="Times New Roman"/>
          <w:color w:val="auto"/>
          <w:highlight w:val="none"/>
          <w:lang w:val="en-US" w:eastAsia="zh-CN"/>
        </w:rPr>
        <w:t>仅原则性规定“采购应履行审批程序”，未</w:t>
      </w:r>
      <w:r>
        <w:rPr>
          <w:rFonts w:hint="eastAsia" w:eastAsia="宋体" w:cs="Times New Roman"/>
          <w:color w:val="auto"/>
          <w:highlight w:val="none"/>
          <w:lang w:val="en-US" w:eastAsia="zh-CN"/>
        </w:rPr>
        <w:t>按照政府集采目录及《中华人民共和国政府采购法》等要求，</w:t>
      </w:r>
      <w:r>
        <w:rPr>
          <w:rFonts w:hint="eastAsia" w:ascii="Times New Roman" w:hAnsi="Times New Roman" w:eastAsia="宋体" w:cs="Times New Roman"/>
          <w:color w:val="auto"/>
          <w:highlight w:val="none"/>
          <w:lang w:val="en-US" w:eastAsia="zh-CN"/>
        </w:rPr>
        <w:t>明确不同</w:t>
      </w:r>
      <w:r>
        <w:rPr>
          <w:rFonts w:hint="eastAsia" w:eastAsia="宋体" w:cs="Times New Roman"/>
          <w:color w:val="auto"/>
          <w:highlight w:val="none"/>
          <w:lang w:val="en-US" w:eastAsia="zh-CN"/>
        </w:rPr>
        <w:t>采购</w:t>
      </w:r>
      <w:r>
        <w:rPr>
          <w:rFonts w:hint="eastAsia" w:ascii="Times New Roman" w:hAnsi="Times New Roman" w:eastAsia="宋体" w:cs="Times New Roman"/>
          <w:color w:val="auto"/>
          <w:highlight w:val="none"/>
          <w:lang w:val="en-US" w:eastAsia="zh-CN"/>
        </w:rPr>
        <w:t>限额</w:t>
      </w:r>
      <w:r>
        <w:rPr>
          <w:rFonts w:hint="eastAsia" w:eastAsia="宋体" w:cs="Times New Roman"/>
          <w:color w:val="auto"/>
          <w:highlight w:val="none"/>
          <w:lang w:val="en-US" w:eastAsia="zh-CN"/>
        </w:rPr>
        <w:t>和采购内容</w:t>
      </w:r>
      <w:r>
        <w:rPr>
          <w:rFonts w:hint="eastAsia" w:ascii="Times New Roman" w:hAnsi="Times New Roman" w:eastAsia="宋体" w:cs="Times New Roman"/>
          <w:color w:val="auto"/>
          <w:highlight w:val="none"/>
          <w:lang w:val="en-US" w:eastAsia="zh-CN"/>
        </w:rPr>
        <w:t>对应的采购方式、操作流程、</w:t>
      </w:r>
      <w:r>
        <w:rPr>
          <w:rFonts w:hint="eastAsia" w:eastAsia="宋体" w:cs="Times New Roman"/>
          <w:color w:val="auto"/>
          <w:highlight w:val="none"/>
          <w:lang w:val="en-US" w:eastAsia="zh-CN"/>
        </w:rPr>
        <w:t>采购审批权限及</w:t>
      </w:r>
      <w:r>
        <w:rPr>
          <w:rFonts w:hint="eastAsia" w:ascii="Times New Roman" w:hAnsi="Times New Roman" w:eastAsia="宋体" w:cs="Times New Roman"/>
          <w:color w:val="auto"/>
          <w:highlight w:val="none"/>
          <w:lang w:val="en-US" w:eastAsia="zh-CN"/>
        </w:rPr>
        <w:t>职责分工等</w:t>
      </w:r>
      <w:r>
        <w:rPr>
          <w:rFonts w:hint="eastAsia" w:eastAsia="宋体" w:cs="Times New Roman"/>
          <w:color w:val="auto"/>
          <w:highlight w:val="none"/>
          <w:lang w:val="en-US" w:eastAsia="zh-CN"/>
        </w:rPr>
        <w:t>采购内部控制内容</w:t>
      </w:r>
      <w:r>
        <w:rPr>
          <w:rFonts w:hint="eastAsia" w:ascii="Times New Roman" w:hAnsi="Times New Roman" w:eastAsia="宋体" w:cs="Times New Roman"/>
          <w:color w:val="auto"/>
          <w:highlight w:val="none"/>
          <w:lang w:val="en-US" w:eastAsia="zh-CN"/>
        </w:rPr>
        <w:t>。按照评分规则，扣1.00分。</w:t>
      </w:r>
    </w:p>
    <w:p w14:paraId="035CB032">
      <w:pPr>
        <w:pageBreakBefore w:val="0"/>
        <w:numPr>
          <w:ilvl w:val="0"/>
          <w:numId w:val="0"/>
        </w:numPr>
        <w:kinsoku/>
        <w:wordWrap/>
        <w:overflowPunct/>
        <w:topLinePunct w:val="0"/>
        <w:autoSpaceDE/>
        <w:autoSpaceDN/>
        <w:bidi w:val="0"/>
        <w:snapToGrid w:val="0"/>
        <w:spacing w:before="0" w:after="0" w:line="360" w:lineRule="auto"/>
        <w:ind w:firstLine="420" w:firstLineChars="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该指标满分为4.00分，根据评分标准得</w:t>
      </w:r>
      <w:r>
        <w:rPr>
          <w:rFonts w:hint="eastAsia" w:eastAsia="宋体" w:cs="Times New Roman"/>
          <w:color w:val="auto"/>
          <w:sz w:val="21"/>
          <w:szCs w:val="21"/>
          <w:highlight w:val="none"/>
          <w:lang w:val="en-US" w:eastAsia="zh-CN"/>
        </w:rPr>
        <w:t>2</w:t>
      </w:r>
      <w:r>
        <w:rPr>
          <w:rFonts w:hint="eastAsia" w:ascii="Times New Roman" w:hAnsi="Times New Roman" w:eastAsia="宋体" w:cs="Times New Roman"/>
          <w:color w:val="auto"/>
          <w:sz w:val="21"/>
          <w:szCs w:val="21"/>
          <w:highlight w:val="none"/>
          <w:lang w:eastAsia="zh-CN"/>
        </w:rPr>
        <w:t>.00</w:t>
      </w:r>
      <w:r>
        <w:rPr>
          <w:rFonts w:hint="eastAsia" w:ascii="Times New Roman" w:hAnsi="Times New Roman" w:eastAsia="宋体" w:cs="Times New Roman"/>
          <w:color w:val="auto"/>
          <w:highlight w:val="none"/>
        </w:rPr>
        <w:t>分。</w:t>
      </w:r>
    </w:p>
    <w:p w14:paraId="60EEE512">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（5）</w:t>
      </w:r>
      <w:r>
        <w:rPr>
          <w:rFonts w:hint="eastAsia" w:ascii="Times New Roman" w:hAnsi="Times New Roman" w:eastAsia="宋体" w:cs="Times New Roman"/>
          <w:b/>
          <w:bCs/>
          <w:color w:val="auto"/>
          <w:highlight w:val="none"/>
        </w:rPr>
        <w:t>B22制度执行有效性指标：</w:t>
      </w:r>
    </w:p>
    <w:p w14:paraId="77090915">
      <w:pPr>
        <w:pStyle w:val="2"/>
        <w:spacing w:line="360" w:lineRule="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该项目实施单位为</w:t>
      </w:r>
      <w:r>
        <w:rPr>
          <w:rFonts w:hint="eastAsia" w:ascii="Times New Roman" w:hAnsi="Times New Roman" w:eastAsia="宋体" w:cs="Times New Roman"/>
          <w:color w:val="auto"/>
          <w:highlight w:val="none"/>
          <w:lang w:eastAsia="zh-CN"/>
        </w:rPr>
        <w:t>伊宁县文化体育广播电视和旅游局</w:t>
      </w:r>
      <w:r>
        <w:rPr>
          <w:rFonts w:hint="eastAsia" w:ascii="Times New Roman" w:hAnsi="Times New Roman" w:eastAsia="宋体" w:cs="Times New Roman"/>
          <w:color w:val="auto"/>
          <w:highlight w:val="none"/>
          <w:lang w:val="en-US" w:eastAsia="zh-CN"/>
        </w:rPr>
        <w:t>，负责项目建设的监督管理职责，已完成前期立项申报、环评、选址等前期手续；项目完工后由</w:t>
      </w:r>
      <w:r>
        <w:rPr>
          <w:rFonts w:hint="eastAsia" w:ascii="Times New Roman" w:hAnsi="Times New Roman" w:eastAsia="宋体" w:cs="Times New Roman"/>
          <w:color w:val="auto"/>
          <w:highlight w:val="none"/>
          <w:lang w:eastAsia="zh-CN"/>
        </w:rPr>
        <w:t>伊宁县文化体育广播电视和旅游局</w:t>
      </w:r>
      <w:r>
        <w:rPr>
          <w:rFonts w:hint="eastAsia" w:ascii="Times New Roman" w:hAnsi="Times New Roman" w:eastAsia="宋体" w:cs="Times New Roman"/>
          <w:color w:val="auto"/>
          <w:highlight w:val="none"/>
          <w:lang w:val="en-US" w:eastAsia="zh-CN"/>
        </w:rPr>
        <w:t>、施工、监理单位已共同完成项目竣工验收工作，项目已完成工程结算工作。但在查看项目实施单位提供的项目资料中，发现存在以下问题：</w:t>
      </w:r>
    </w:p>
    <w:p w14:paraId="7D0944FF">
      <w:pPr>
        <w:numPr>
          <w:ilvl w:val="0"/>
          <w:numId w:val="0"/>
        </w:numPr>
        <w:spacing w:line="360" w:lineRule="auto"/>
        <w:ind w:firstLine="420" w:firstLineChars="20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szCs w:val="21"/>
          <w:highlight w:val="none"/>
          <w:lang w:val="en-US" w:eastAsia="zh-CN"/>
        </w:rPr>
        <w:t>①</w:t>
      </w:r>
      <w:r>
        <w:rPr>
          <w:rFonts w:hint="eastAsia" w:ascii="Times New Roman" w:hAnsi="Times New Roman" w:eastAsia="宋体" w:cs="Times New Roman"/>
          <w:color w:val="auto"/>
          <w:highlight w:val="none"/>
        </w:rPr>
        <w:t>截至</w:t>
      </w:r>
      <w:r>
        <w:rPr>
          <w:rFonts w:hint="eastAsia" w:ascii="Times New Roman" w:hAnsi="Times New Roman" w:eastAsia="宋体" w:cs="Times New Roman"/>
          <w:color w:val="auto"/>
          <w:highlight w:val="none"/>
          <w:lang w:val="en-US" w:eastAsia="zh-CN"/>
        </w:rPr>
        <w:t>评价阶段</w:t>
      </w:r>
      <w:r>
        <w:rPr>
          <w:rFonts w:hint="eastAsia" w:ascii="Times New Roman" w:hAnsi="Times New Roman" w:eastAsia="宋体" w:cs="Times New Roman"/>
          <w:color w:val="auto"/>
          <w:highlight w:val="none"/>
        </w:rPr>
        <w:t>，项目尚未完成工程竣工财务决算审计工作，</w:t>
      </w:r>
      <w:r>
        <w:rPr>
          <w:rFonts w:hint="eastAsia" w:ascii="Times New Roman" w:hAnsi="Times New Roman" w:eastAsia="宋体" w:cs="Times New Roman"/>
          <w:color w:val="auto"/>
          <w:highlight w:val="none"/>
          <w:lang w:val="en-US" w:eastAsia="zh-CN"/>
        </w:rPr>
        <w:t>与</w:t>
      </w:r>
      <w:r>
        <w:rPr>
          <w:rFonts w:hint="eastAsia" w:ascii="Times New Roman" w:hAnsi="Times New Roman" w:eastAsia="宋体" w:cs="Times New Roman"/>
          <w:color w:val="auto"/>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的规定</w:t>
      </w:r>
      <w:r>
        <w:rPr>
          <w:rFonts w:hint="eastAsia" w:ascii="Times New Roman" w:hAnsi="Times New Roman" w:eastAsia="宋体" w:cs="Times New Roman"/>
          <w:color w:val="auto"/>
          <w:highlight w:val="none"/>
          <w:lang w:val="en-US" w:eastAsia="zh-CN"/>
        </w:rPr>
        <w:t>不相符</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rPr>
        <w:t>根据评分标准</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扣0.50分。</w:t>
      </w:r>
    </w:p>
    <w:p w14:paraId="2F90003A">
      <w:pPr>
        <w:spacing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szCs w:val="21"/>
          <w:highlight w:val="none"/>
          <w:lang w:val="en-US" w:eastAsia="zh-CN"/>
        </w:rPr>
        <w:t>②</w:t>
      </w:r>
      <w:r>
        <w:rPr>
          <w:rFonts w:hint="eastAsia" w:ascii="Times New Roman" w:hAnsi="Times New Roman" w:eastAsia="宋体" w:cs="Times New Roman"/>
          <w:color w:val="auto"/>
          <w:sz w:val="21"/>
          <w:szCs w:val="21"/>
          <w:highlight w:val="none"/>
        </w:rPr>
        <w:t>该项目完工</w:t>
      </w:r>
      <w:r>
        <w:rPr>
          <w:rFonts w:hint="eastAsia" w:ascii="Times New Roman" w:hAnsi="Times New Roman" w:eastAsia="宋体" w:cs="Times New Roman"/>
          <w:color w:val="auto"/>
          <w:sz w:val="21"/>
          <w:szCs w:val="21"/>
          <w:highlight w:val="none"/>
          <w:lang w:val="en-US" w:eastAsia="zh-CN"/>
        </w:rPr>
        <w:t>后</w:t>
      </w:r>
      <w:r>
        <w:rPr>
          <w:rFonts w:hint="eastAsia" w:ascii="Times New Roman" w:hAnsi="Times New Roman" w:eastAsia="宋体" w:cs="Times New Roman"/>
          <w:color w:val="auto"/>
          <w:sz w:val="21"/>
          <w:szCs w:val="21"/>
          <w:highlight w:val="none"/>
        </w:rPr>
        <w:t>实际交付使用的主体</w:t>
      </w:r>
      <w:r>
        <w:rPr>
          <w:rFonts w:hint="eastAsia" w:ascii="Times New Roman" w:hAnsi="Times New Roman" w:eastAsia="宋体" w:cs="Times New Roman"/>
          <w:color w:val="auto"/>
          <w:sz w:val="21"/>
          <w:szCs w:val="21"/>
          <w:highlight w:val="none"/>
          <w:lang w:val="en-US" w:eastAsia="zh-CN"/>
        </w:rPr>
        <w:t>单位</w:t>
      </w:r>
      <w:r>
        <w:rPr>
          <w:rFonts w:hint="eastAsia" w:ascii="Times New Roman" w:hAnsi="Times New Roman" w:eastAsia="宋体" w:cs="Times New Roman"/>
          <w:color w:val="auto"/>
          <w:sz w:val="21"/>
          <w:szCs w:val="21"/>
          <w:highlight w:val="none"/>
        </w:rPr>
        <w:t>是伊宁县吉里于孜镇上肉孜买提于孜村</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伊宁县阿热吾斯塘镇托万克村；截至</w:t>
      </w:r>
      <w:r>
        <w:rPr>
          <w:rFonts w:hint="eastAsia" w:ascii="Times New Roman" w:hAnsi="Times New Roman" w:eastAsia="宋体" w:cs="Times New Roman"/>
          <w:color w:val="auto"/>
          <w:sz w:val="21"/>
          <w:szCs w:val="21"/>
          <w:highlight w:val="none"/>
          <w:lang w:val="en-US" w:eastAsia="zh-CN"/>
        </w:rPr>
        <w:t>本次绩效评价期间</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项目实施单位尚未</w:t>
      </w:r>
      <w:r>
        <w:rPr>
          <w:rFonts w:hint="eastAsia" w:ascii="Times New Roman" w:hAnsi="Times New Roman" w:eastAsia="宋体" w:cs="Times New Roman"/>
          <w:color w:val="auto"/>
          <w:sz w:val="21"/>
          <w:szCs w:val="21"/>
          <w:highlight w:val="none"/>
        </w:rPr>
        <w:t>依据《新疆维吾尔自治区行政事业单位国有资产管理办法》</w:t>
      </w:r>
      <w:r>
        <w:rPr>
          <w:rFonts w:hint="eastAsia" w:ascii="Times New Roman" w:hAnsi="Times New Roman" w:eastAsia="宋体" w:cs="Times New Roman"/>
          <w:color w:val="auto"/>
          <w:sz w:val="21"/>
          <w:szCs w:val="21"/>
          <w:highlight w:val="none"/>
          <w:lang w:val="en-US" w:eastAsia="zh-CN"/>
        </w:rPr>
        <w:t>等有关规定及时</w:t>
      </w:r>
      <w:r>
        <w:rPr>
          <w:rFonts w:hint="eastAsia" w:ascii="Times New Roman" w:hAnsi="Times New Roman" w:eastAsia="宋体" w:cs="Times New Roman"/>
          <w:color w:val="auto"/>
          <w:sz w:val="21"/>
          <w:szCs w:val="21"/>
          <w:highlight w:val="none"/>
        </w:rPr>
        <w:t>与</w:t>
      </w:r>
      <w:r>
        <w:rPr>
          <w:rFonts w:hint="eastAsia" w:ascii="Times New Roman" w:hAnsi="Times New Roman" w:eastAsia="宋体" w:cs="Times New Roman"/>
          <w:color w:val="auto"/>
          <w:sz w:val="21"/>
          <w:szCs w:val="21"/>
          <w:highlight w:val="none"/>
          <w:lang w:val="en-US" w:eastAsia="zh-CN"/>
        </w:rPr>
        <w:t>资产</w:t>
      </w:r>
      <w:r>
        <w:rPr>
          <w:rFonts w:hint="eastAsia" w:ascii="Times New Roman" w:hAnsi="Times New Roman" w:eastAsia="宋体" w:cs="Times New Roman"/>
          <w:color w:val="auto"/>
          <w:sz w:val="21"/>
          <w:szCs w:val="21"/>
          <w:highlight w:val="none"/>
        </w:rPr>
        <w:t>接收单位办理资产移交</w:t>
      </w:r>
      <w:r>
        <w:rPr>
          <w:rFonts w:hint="eastAsia" w:ascii="Times New Roman" w:hAnsi="Times New Roman" w:eastAsia="宋体" w:cs="Times New Roman"/>
          <w:color w:val="auto"/>
          <w:sz w:val="21"/>
          <w:szCs w:val="21"/>
          <w:highlight w:val="none"/>
          <w:lang w:val="en-US" w:eastAsia="zh-CN"/>
        </w:rPr>
        <w:t>手续</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szCs w:val="21"/>
          <w:highlight w:val="none"/>
        </w:rPr>
        <w:t>根据评分标准</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扣1.00分。</w:t>
      </w:r>
    </w:p>
    <w:p w14:paraId="0ACE4202">
      <w:pPr>
        <w:spacing w:line="360" w:lineRule="auto"/>
        <w:ind w:firstLine="42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③</w:t>
      </w:r>
      <w:r>
        <w:rPr>
          <w:rFonts w:hint="eastAsia" w:ascii="Times New Roman" w:hAnsi="Times New Roman" w:eastAsia="宋体" w:cs="Times New Roman"/>
          <w:b w:val="0"/>
          <w:bCs w:val="0"/>
          <w:color w:val="auto"/>
          <w:kern w:val="2"/>
          <w:sz w:val="21"/>
          <w:szCs w:val="21"/>
          <w:highlight w:val="none"/>
          <w:lang w:val="en-US" w:eastAsia="zh-CN" w:bidi="ar-SA"/>
        </w:rPr>
        <w:t>根据</w:t>
      </w:r>
      <w:r>
        <w:rPr>
          <w:rFonts w:hint="eastAsia" w:ascii="Times New Roman" w:hAnsi="Times New Roman" w:eastAsia="宋体" w:cs="Times New Roman"/>
          <w:color w:val="auto"/>
          <w:kern w:val="2"/>
          <w:sz w:val="21"/>
          <w:szCs w:val="21"/>
          <w:highlight w:val="none"/>
          <w:lang w:val="en-US" w:eastAsia="zh-CN" w:bidi="ar-SA"/>
        </w:rPr>
        <w:t>伊宁县文化体育广播电视和旅游局提供的</w:t>
      </w:r>
      <w:r>
        <w:rPr>
          <w:rFonts w:hint="eastAsia" w:ascii="Times New Roman" w:hAnsi="Times New Roman" w:eastAsia="宋体" w:cs="Times New Roman"/>
          <w:b w:val="0"/>
          <w:bCs w:val="0"/>
          <w:color w:val="auto"/>
          <w:kern w:val="2"/>
          <w:sz w:val="21"/>
          <w:szCs w:val="21"/>
          <w:highlight w:val="none"/>
          <w:lang w:val="en-US" w:eastAsia="zh-CN" w:bidi="ar-SA"/>
        </w:rPr>
        <w:t>《情况说明》：“我单位新疆伊犁州伊宁县全民健身场地建设项目监理单位为新疆高新工程项目管理有限责任公司伊宁分公司；设计单位为新疆润疆工程设计有限责任公司；审计结算单位为智博建筑设计集团有限公司。以上三个单位自愿免费为我单位服务，保质保量完成项目的设计及监理工作。”</w:t>
      </w:r>
      <w:r>
        <w:rPr>
          <w:rFonts w:hint="eastAsia" w:eastAsia="宋体" w:cs="Times New Roman"/>
          <w:b w:val="0"/>
          <w:bCs w:val="0"/>
          <w:color w:val="auto"/>
          <w:kern w:val="2"/>
          <w:sz w:val="21"/>
          <w:szCs w:val="21"/>
          <w:highlight w:val="none"/>
          <w:lang w:val="en-US" w:eastAsia="zh-CN" w:bidi="ar-SA"/>
        </w:rPr>
        <w:t>可知，</w:t>
      </w:r>
      <w:r>
        <w:rPr>
          <w:rFonts w:hint="eastAsia" w:ascii="Times New Roman" w:hAnsi="Times New Roman" w:eastAsia="宋体" w:cs="Times New Roman"/>
          <w:color w:val="auto"/>
          <w:sz w:val="21"/>
          <w:szCs w:val="21"/>
          <w:highlight w:val="none"/>
          <w:lang w:val="en-US" w:eastAsia="zh-CN"/>
        </w:rPr>
        <w:t>设计、监理、审计结算单位</w:t>
      </w:r>
      <w:r>
        <w:rPr>
          <w:rFonts w:hint="eastAsia" w:eastAsia="宋体" w:cs="Times New Roman"/>
          <w:color w:val="auto"/>
          <w:sz w:val="21"/>
          <w:szCs w:val="21"/>
          <w:highlight w:val="none"/>
          <w:lang w:val="en-US" w:eastAsia="zh-CN"/>
        </w:rPr>
        <w:t>实际为</w:t>
      </w:r>
      <w:r>
        <w:rPr>
          <w:rFonts w:ascii="Times New Roman" w:hAnsi="Times New Roman" w:eastAsia="宋体" w:cs="Times New Roman"/>
          <w:color w:val="auto"/>
          <w:sz w:val="21"/>
          <w:szCs w:val="21"/>
          <w:highlight w:val="none"/>
        </w:rPr>
        <w:t>项目实施单位</w:t>
      </w:r>
      <w:r>
        <w:rPr>
          <w:rFonts w:hint="eastAsia" w:eastAsia="宋体" w:cs="Times New Roman"/>
          <w:color w:val="auto"/>
          <w:sz w:val="21"/>
          <w:szCs w:val="21"/>
          <w:highlight w:val="none"/>
          <w:lang w:val="en-US" w:eastAsia="zh-CN"/>
        </w:rPr>
        <w:t>无偿提供服务</w:t>
      </w:r>
      <w:r>
        <w:rPr>
          <w:rFonts w:hint="eastAsia" w:ascii="Times New Roman" w:hAnsi="Times New Roman" w:eastAsia="宋体" w:cs="Times New Roman"/>
          <w:color w:val="auto"/>
          <w:sz w:val="21"/>
          <w:szCs w:val="21"/>
          <w:highlight w:val="none"/>
          <w:lang w:val="en-US" w:eastAsia="zh-CN"/>
        </w:rPr>
        <w:t>，</w:t>
      </w:r>
      <w:r>
        <w:rPr>
          <w:rFonts w:hint="eastAsia" w:eastAsia="宋体" w:cs="Times New Roman"/>
          <w:color w:val="auto"/>
          <w:sz w:val="21"/>
          <w:szCs w:val="21"/>
          <w:highlight w:val="none"/>
          <w:lang w:val="en-US" w:eastAsia="zh-CN"/>
        </w:rPr>
        <w:t>但</w:t>
      </w:r>
      <w:r>
        <w:rPr>
          <w:rFonts w:hint="eastAsia" w:ascii="Times New Roman" w:hAnsi="Times New Roman" w:eastAsia="宋体" w:cs="Times New Roman"/>
          <w:b w:val="0"/>
          <w:bCs w:val="0"/>
          <w:color w:val="auto"/>
          <w:kern w:val="2"/>
          <w:sz w:val="21"/>
          <w:szCs w:val="21"/>
          <w:highlight w:val="none"/>
          <w:lang w:val="en-US" w:eastAsia="zh-CN" w:bidi="ar-SA"/>
        </w:rPr>
        <w:t>缺失有法律效力的</w:t>
      </w:r>
      <w:r>
        <w:rPr>
          <w:rFonts w:hint="eastAsia" w:eastAsia="宋体" w:cs="Times New Roman"/>
          <w:b w:val="0"/>
          <w:bCs w:val="0"/>
          <w:color w:val="auto"/>
          <w:kern w:val="2"/>
          <w:sz w:val="21"/>
          <w:szCs w:val="21"/>
          <w:highlight w:val="none"/>
          <w:lang w:val="en-US" w:eastAsia="zh-CN" w:bidi="ar-SA"/>
        </w:rPr>
        <w:t>业务</w:t>
      </w:r>
      <w:r>
        <w:rPr>
          <w:rFonts w:hint="eastAsia" w:ascii="Times New Roman" w:hAnsi="Times New Roman" w:eastAsia="宋体" w:cs="Times New Roman"/>
          <w:color w:val="auto"/>
          <w:szCs w:val="21"/>
          <w:highlight w:val="none"/>
          <w:lang w:val="en-US" w:eastAsia="zh-CN"/>
        </w:rPr>
        <w:t>委托</w:t>
      </w:r>
      <w:r>
        <w:rPr>
          <w:rFonts w:hint="eastAsia" w:eastAsia="宋体" w:cs="Times New Roman"/>
          <w:color w:val="auto"/>
          <w:szCs w:val="21"/>
          <w:highlight w:val="none"/>
          <w:lang w:val="en-US" w:eastAsia="zh-CN"/>
        </w:rPr>
        <w:t>协议</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未</w:t>
      </w:r>
      <w:r>
        <w:rPr>
          <w:rFonts w:hint="eastAsia" w:eastAsia="宋体" w:cs="Times New Roman"/>
          <w:color w:val="auto"/>
          <w:sz w:val="21"/>
          <w:szCs w:val="21"/>
          <w:highlight w:val="none"/>
          <w:lang w:val="en-US" w:eastAsia="zh-CN"/>
        </w:rPr>
        <w:t>能</w:t>
      </w:r>
      <w:r>
        <w:rPr>
          <w:rFonts w:hint="eastAsia" w:ascii="Times New Roman" w:hAnsi="Times New Roman" w:eastAsia="宋体" w:cs="Times New Roman"/>
          <w:color w:val="auto"/>
          <w:sz w:val="21"/>
          <w:szCs w:val="21"/>
          <w:highlight w:val="none"/>
          <w:lang w:val="en-US" w:eastAsia="zh-CN"/>
        </w:rPr>
        <w:t>对项目</w:t>
      </w:r>
      <w:r>
        <w:rPr>
          <w:rFonts w:ascii="Times New Roman" w:hAnsi="Times New Roman" w:eastAsia="宋体" w:cs="Times New Roman"/>
          <w:color w:val="auto"/>
          <w:sz w:val="21"/>
          <w:szCs w:val="21"/>
          <w:highlight w:val="none"/>
        </w:rPr>
        <w:t>履约责任、服务标准、交付要求及争议解决方式等核心事项形成有效约束。</w:t>
      </w:r>
      <w:r>
        <w:rPr>
          <w:rFonts w:hint="eastAsia" w:ascii="Times New Roman" w:hAnsi="Times New Roman" w:eastAsia="宋体" w:cs="Times New Roman"/>
          <w:color w:val="auto"/>
          <w:szCs w:val="21"/>
          <w:highlight w:val="none"/>
        </w:rPr>
        <w:t>根据评分标准</w:t>
      </w:r>
      <w:r>
        <w:rPr>
          <w:rFonts w:hint="eastAsia" w:ascii="Times New Roman" w:hAnsi="Times New Roman" w:eastAsia="宋体" w:cs="Times New Roman"/>
          <w:color w:val="auto"/>
          <w:szCs w:val="21"/>
          <w:highlight w:val="none"/>
          <w:lang w:eastAsia="zh-CN"/>
        </w:rPr>
        <w:t>，</w:t>
      </w:r>
      <w:r>
        <w:rPr>
          <w:rFonts w:hint="eastAsia" w:ascii="Times New Roman" w:hAnsi="Times New Roman" w:eastAsia="宋体" w:cs="Times New Roman"/>
          <w:color w:val="auto"/>
          <w:szCs w:val="21"/>
          <w:highlight w:val="none"/>
          <w:lang w:val="en-US" w:eastAsia="zh-CN"/>
        </w:rPr>
        <w:t>扣1.50分。</w:t>
      </w:r>
    </w:p>
    <w:p w14:paraId="6F00DFA7">
      <w:pPr>
        <w:pStyle w:val="2"/>
        <w:spacing w:line="360" w:lineRule="auto"/>
        <w:ind w:firstLine="420" w:firstLineChars="200"/>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highlight w:val="none"/>
          <w:lang w:val="en-US" w:eastAsia="zh-CN"/>
        </w:rPr>
        <w:t>④</w:t>
      </w:r>
      <w:r>
        <w:rPr>
          <w:rFonts w:hint="eastAsia" w:ascii="Times New Roman" w:hAnsi="Times New Roman" w:eastAsia="宋体" w:cs="Times New Roman"/>
          <w:color w:val="auto"/>
          <w:szCs w:val="21"/>
          <w:highlight w:val="none"/>
          <w:lang w:val="en-US" w:eastAsia="zh-CN"/>
        </w:rPr>
        <w:t>项目实施单位按照吉里于孜镇上肉孜买提于孜村、阿热吾斯塘镇托万克村两个村的工程分别出具了2份竣工验收记录表，但将所有工程的竣工验收完工内容填写到了《</w:t>
      </w:r>
      <w:r>
        <w:rPr>
          <w:rFonts w:ascii="Times New Roman" w:hAnsi="Times New Roman" w:eastAsia="宋体" w:cs="Times New Roman"/>
          <w:color w:val="auto"/>
          <w:highlight w:val="none"/>
        </w:rPr>
        <w:t>吉里于孜镇上肉孜买提于孜村</w:t>
      </w:r>
      <w:r>
        <w:rPr>
          <w:rFonts w:hint="eastAsia" w:ascii="Times New Roman" w:hAnsi="Times New Roman" w:eastAsia="宋体" w:cs="Times New Roman"/>
          <w:color w:val="auto"/>
          <w:szCs w:val="21"/>
          <w:highlight w:val="none"/>
          <w:lang w:val="en-US" w:eastAsia="zh-CN"/>
        </w:rPr>
        <w:t>竣工验收记录表》里，工程竣工验收程序不够严谨，且《阿热吾斯塘镇托万克村竣工验收记录表》未填写验收日期。根据评分标准，扣1.00分。</w:t>
      </w:r>
    </w:p>
    <w:p w14:paraId="255092F1">
      <w:pPr>
        <w:widowControl/>
        <w:spacing w:line="360" w:lineRule="auto"/>
        <w:ind w:firstLine="420" w:firstLineChars="20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⑤根据</w:t>
      </w:r>
      <w:r>
        <w:rPr>
          <w:rFonts w:hint="eastAsia" w:ascii="Times New Roman" w:hAnsi="Times New Roman" w:eastAsia="宋体" w:cs="Times New Roman"/>
          <w:color w:val="auto"/>
          <w:kern w:val="2"/>
          <w:sz w:val="21"/>
          <w:szCs w:val="21"/>
          <w:highlight w:val="none"/>
          <w:lang w:val="en-US" w:eastAsia="zh-CN" w:bidi="ar-SA"/>
        </w:rPr>
        <w:t>伊宁县文化体育广播电视和旅游局提供的</w:t>
      </w:r>
      <w:r>
        <w:rPr>
          <w:rFonts w:hint="eastAsia" w:ascii="Times New Roman" w:hAnsi="Times New Roman" w:eastAsia="宋体" w:cs="Times New Roman"/>
          <w:color w:val="auto"/>
          <w:szCs w:val="21"/>
          <w:highlight w:val="none"/>
          <w:lang w:val="en-US" w:eastAsia="zh-CN"/>
        </w:rPr>
        <w:t>《开工报告》：“</w:t>
      </w:r>
      <w:r>
        <w:rPr>
          <w:rFonts w:hint="eastAsia" w:ascii="Times New Roman" w:hAnsi="Times New Roman" w:eastAsia="宋体" w:cs="Times New Roman"/>
          <w:color w:val="auto"/>
          <w:kern w:val="2"/>
          <w:sz w:val="21"/>
          <w:szCs w:val="21"/>
          <w:highlight w:val="none"/>
          <w:lang w:val="en-US" w:eastAsia="zh-CN" w:bidi="ar-SA"/>
        </w:rPr>
        <w:t>我方承担的贵单位伊宁县全民健身场地建设项目，设备、材料、施工队伍均已到位 ，图纸等设计资料和现场情况均已熟悉，本工程拟于2024年</w:t>
      </w:r>
      <w:r>
        <w:rPr>
          <w:rFonts w:hint="eastAsia" w:ascii="Times New Roman" w:hAnsi="Times New Roman" w:eastAsia="宋体" w:cs="Times New Roman"/>
          <w:b w:val="0"/>
          <w:bCs w:val="0"/>
          <w:color w:val="auto"/>
          <w:kern w:val="2"/>
          <w:sz w:val="21"/>
          <w:szCs w:val="21"/>
          <w:highlight w:val="none"/>
          <w:lang w:val="en-US" w:eastAsia="zh-CN" w:bidi="ar-SA"/>
        </w:rPr>
        <w:t>5</w:t>
      </w:r>
      <w:r>
        <w:rPr>
          <w:rFonts w:hint="eastAsia" w:ascii="Times New Roman" w:hAnsi="Times New Roman" w:eastAsia="宋体" w:cs="Times New Roman"/>
          <w:color w:val="auto"/>
          <w:kern w:val="2"/>
          <w:sz w:val="21"/>
          <w:szCs w:val="21"/>
          <w:highlight w:val="none"/>
          <w:lang w:val="en-US" w:eastAsia="zh-CN" w:bidi="ar-SA"/>
        </w:rPr>
        <w:t>月20日正式开工，特此报告。</w:t>
      </w:r>
      <w:r>
        <w:rPr>
          <w:rFonts w:hint="eastAsia" w:ascii="Times New Roman" w:hAnsi="Times New Roman" w:eastAsia="宋体" w:cs="Times New Roman"/>
          <w:color w:val="auto"/>
          <w:szCs w:val="21"/>
          <w:highlight w:val="none"/>
          <w:lang w:val="en-US" w:eastAsia="zh-CN"/>
        </w:rPr>
        <w:t>”建设单位意见为“同意”，但</w:t>
      </w:r>
      <w:r>
        <w:rPr>
          <w:rFonts w:hint="eastAsia" w:ascii="Times New Roman" w:hAnsi="Times New Roman" w:eastAsia="宋体" w:cs="Times New Roman"/>
          <w:color w:val="auto"/>
          <w:highlight w:val="none"/>
          <w:lang w:val="en-US" w:eastAsia="zh-CN"/>
        </w:rPr>
        <w:t>开工报告上未签署实际开工日期，</w:t>
      </w:r>
      <w:r>
        <w:rPr>
          <w:rFonts w:hint="eastAsia" w:ascii="Times New Roman" w:hAnsi="Times New Roman" w:eastAsia="宋体" w:cs="Times New Roman"/>
          <w:color w:val="auto"/>
          <w:szCs w:val="21"/>
          <w:highlight w:val="none"/>
          <w:lang w:val="en-US" w:eastAsia="zh-CN"/>
        </w:rPr>
        <w:t>扣0.50分。</w:t>
      </w:r>
    </w:p>
    <w:p w14:paraId="4C27C93B">
      <w:pPr>
        <w:spacing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8</w:t>
      </w:r>
      <w:r>
        <w:rPr>
          <w:rFonts w:hint="default" w:ascii="Times New Roman" w:hAnsi="Times New Roman" w:eastAsia="宋体" w:cs="Times New Roman"/>
          <w:color w:val="auto"/>
          <w:highlight w:val="none"/>
        </w:rPr>
        <w:t>.00分，根据评分标准得</w:t>
      </w:r>
      <w:r>
        <w:rPr>
          <w:rFonts w:hint="eastAsia" w:eastAsia="宋体" w:cs="Times New Roman"/>
          <w:color w:val="auto"/>
          <w:highlight w:val="none"/>
          <w:lang w:val="en-US" w:eastAsia="zh-CN"/>
        </w:rPr>
        <w:t>3</w:t>
      </w:r>
      <w:r>
        <w:rPr>
          <w:rFonts w:hint="eastAsia" w:ascii="Times New Roman" w:hAnsi="Times New Roman" w:eastAsia="宋体" w:cs="Times New Roman"/>
          <w:color w:val="auto"/>
          <w:highlight w:val="none"/>
          <w:lang w:val="en-US" w:eastAsia="zh-CN"/>
        </w:rPr>
        <w:t>.</w:t>
      </w: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lang w:val="en-US" w:eastAsia="zh-CN"/>
        </w:rPr>
        <w:t>0</w:t>
      </w:r>
      <w:r>
        <w:rPr>
          <w:rFonts w:hint="default" w:ascii="Times New Roman" w:hAnsi="Times New Roman" w:eastAsia="宋体" w:cs="Times New Roman"/>
          <w:color w:val="auto"/>
          <w:highlight w:val="none"/>
        </w:rPr>
        <w:t>分。</w:t>
      </w:r>
    </w:p>
    <w:p w14:paraId="6D714145">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98" w:name="_Toc16601"/>
      <w:bookmarkStart w:id="99" w:name="_Toc20163"/>
      <w:r>
        <w:rPr>
          <w:rFonts w:ascii="Times New Roman" w:hAnsi="Times New Roman" w:eastAsia="宋体" w:cs="Times New Roman"/>
          <w:color w:val="auto"/>
          <w:highlight w:val="none"/>
        </w:rPr>
        <w:t>（三）项目产出情况</w:t>
      </w:r>
      <w:bookmarkEnd w:id="98"/>
      <w:bookmarkEnd w:id="99"/>
    </w:p>
    <w:p w14:paraId="0994991B">
      <w:pPr>
        <w:pageBreakBefore w:val="0"/>
        <w:kinsoku/>
        <w:wordWrap/>
        <w:overflowPunct/>
        <w:topLinePunct w:val="0"/>
        <w:autoSpaceDE/>
        <w:autoSpaceDN/>
        <w:bidi w:val="0"/>
        <w:snapToGrid w:val="0"/>
        <w:spacing w:before="0" w:after="0" w:line="360" w:lineRule="auto"/>
        <w:ind w:firstLine="420"/>
        <w:jc w:val="left"/>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项目产出指标由</w:t>
      </w:r>
      <w:r>
        <w:rPr>
          <w:rFonts w:hint="eastAsia" w:ascii="Times New Roman" w:hAnsi="Times New Roman" w:eastAsia="宋体" w:cs="Times New Roman"/>
          <w:color w:val="auto"/>
          <w:highlight w:val="none"/>
        </w:rPr>
        <w:t>4</w:t>
      </w:r>
      <w:r>
        <w:rPr>
          <w:rFonts w:ascii="Times New Roman" w:hAnsi="Times New Roman" w:eastAsia="宋体" w:cs="Times New Roman"/>
          <w:color w:val="auto"/>
          <w:highlight w:val="none"/>
        </w:rPr>
        <w:t>个二级和</w:t>
      </w:r>
      <w:r>
        <w:rPr>
          <w:rFonts w:hint="eastAsia" w:ascii="Times New Roman" w:hAnsi="Times New Roman" w:eastAsia="宋体" w:cs="Times New Roman"/>
          <w:color w:val="auto"/>
          <w:highlight w:val="none"/>
        </w:rPr>
        <w:t>6</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rPr>
        <w:t>30.00</w:t>
      </w:r>
      <w:r>
        <w:rPr>
          <w:rFonts w:ascii="Times New Roman" w:hAnsi="Times New Roman" w:eastAsia="宋体" w:cs="Times New Roman"/>
          <w:color w:val="auto"/>
          <w:highlight w:val="none"/>
        </w:rPr>
        <w:t>分，实际得分</w:t>
      </w:r>
      <w:r>
        <w:rPr>
          <w:rFonts w:hint="eastAsia" w:ascii="Times New Roman" w:hAnsi="Times New Roman" w:eastAsia="宋体" w:cs="Times New Roman"/>
          <w:color w:val="auto"/>
          <w:highlight w:val="none"/>
        </w:rPr>
        <w:t>30.00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ascii="Times New Roman" w:hAnsi="Times New Roman" w:eastAsia="宋体" w:cs="Times New Roman"/>
          <w:color w:val="auto"/>
          <w:kern w:val="0"/>
          <w:sz w:val="21"/>
          <w:szCs w:val="21"/>
          <w:highlight w:val="none"/>
          <w:lang w:bidi="ar"/>
        </w:rPr>
        <w:t>100.00%</w:t>
      </w:r>
      <w:r>
        <w:rPr>
          <w:rFonts w:ascii="Times New Roman" w:hAnsi="Times New Roman" w:eastAsia="宋体" w:cs="Times New Roman"/>
          <w:color w:val="auto"/>
          <w:highlight w:val="none"/>
        </w:rPr>
        <w:t>。各指标业绩值和绩效分值如下表所示：</w:t>
      </w:r>
    </w:p>
    <w:p w14:paraId="49BCE1EF">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b/>
          <w:bCs/>
          <w:color w:val="auto"/>
          <w:szCs w:val="16"/>
          <w:highlight w:val="none"/>
        </w:rPr>
      </w:pPr>
      <w:r>
        <w:rPr>
          <w:rFonts w:ascii="Times New Roman" w:hAnsi="Times New Roman" w:eastAsia="宋体" w:cs="Times New Roman"/>
          <w:b/>
          <w:bCs/>
          <w:color w:val="auto"/>
          <w:szCs w:val="16"/>
          <w:highlight w:val="none"/>
        </w:rPr>
        <w:t>表</w:t>
      </w:r>
      <w:r>
        <w:rPr>
          <w:rFonts w:hint="default" w:ascii="Times New Roman" w:hAnsi="Times New Roman" w:eastAsia="宋体" w:cs="Times New Roman"/>
          <w:b/>
          <w:bCs/>
          <w:color w:val="auto"/>
          <w:szCs w:val="16"/>
          <w:highlight w:val="none"/>
          <w:lang w:val="en-US" w:eastAsia="zh-CN"/>
        </w:rPr>
        <w:t>5</w:t>
      </w:r>
      <w:r>
        <w:rPr>
          <w:rFonts w:ascii="Times New Roman" w:hAnsi="Times New Roman" w:eastAsia="宋体" w:cs="Times New Roman"/>
          <w:b/>
          <w:bCs/>
          <w:color w:val="auto"/>
          <w:szCs w:val="16"/>
          <w:highlight w:val="none"/>
        </w:rPr>
        <w:t>-3：项目产出指标及分值</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733"/>
        <w:gridCol w:w="1212"/>
        <w:gridCol w:w="2338"/>
        <w:gridCol w:w="1135"/>
        <w:gridCol w:w="954"/>
        <w:gridCol w:w="604"/>
        <w:gridCol w:w="575"/>
        <w:gridCol w:w="857"/>
      </w:tblGrid>
      <w:tr w14:paraId="4800A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trPr>
        <w:tc>
          <w:tcPr>
            <w:tcW w:w="435" w:type="pct"/>
            <w:vAlign w:val="center"/>
          </w:tcPr>
          <w:p w14:paraId="4A2EE6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720" w:type="pct"/>
            <w:vAlign w:val="center"/>
          </w:tcPr>
          <w:p w14:paraId="777CD18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1390" w:type="pct"/>
            <w:vAlign w:val="center"/>
          </w:tcPr>
          <w:p w14:paraId="6B88F9B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674" w:type="pct"/>
            <w:vAlign w:val="center"/>
          </w:tcPr>
          <w:p w14:paraId="61B4E8D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567" w:type="pct"/>
            <w:vAlign w:val="center"/>
          </w:tcPr>
          <w:p w14:paraId="4A2300A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359" w:type="pct"/>
            <w:vAlign w:val="center"/>
          </w:tcPr>
          <w:p w14:paraId="17EB025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341" w:type="pct"/>
            <w:vAlign w:val="center"/>
          </w:tcPr>
          <w:p w14:paraId="0D66A53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09" w:type="pct"/>
            <w:vAlign w:val="center"/>
          </w:tcPr>
          <w:p w14:paraId="5E83F78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139CE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2" w:hRule="atLeast"/>
        </w:trPr>
        <w:tc>
          <w:tcPr>
            <w:tcW w:w="435" w:type="pct"/>
            <w:vMerge w:val="restart"/>
            <w:vAlign w:val="center"/>
          </w:tcPr>
          <w:p w14:paraId="711ACF72">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C产出（30.00分）</w:t>
            </w:r>
          </w:p>
        </w:tc>
        <w:tc>
          <w:tcPr>
            <w:tcW w:w="720" w:type="pct"/>
            <w:vMerge w:val="restart"/>
            <w:vAlign w:val="center"/>
          </w:tcPr>
          <w:p w14:paraId="7DCFBE30">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C1产出数量（14.00分）</w:t>
            </w:r>
          </w:p>
        </w:tc>
        <w:tc>
          <w:tcPr>
            <w:tcW w:w="1390" w:type="pct"/>
            <w:vAlign w:val="center"/>
          </w:tcPr>
          <w:p w14:paraId="7FA8F5AF">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C11新建建设五人制笼式足球场工程量</w:t>
            </w:r>
          </w:p>
        </w:tc>
        <w:tc>
          <w:tcPr>
            <w:tcW w:w="674" w:type="pct"/>
            <w:vAlign w:val="center"/>
          </w:tcPr>
          <w:p w14:paraId="48B56CAE">
            <w:pPr>
              <w:keepNext w:val="0"/>
              <w:keepLines w:val="0"/>
              <w:widowControl/>
              <w:suppressLineNumbers w:val="0"/>
              <w:spacing w:line="240" w:lineRule="auto"/>
              <w:ind w:firstLine="0" w:firstLineChars="0"/>
              <w:jc w:val="left"/>
              <w:textAlignment w:val="auto"/>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≥1,080.00平方米</w:t>
            </w:r>
          </w:p>
        </w:tc>
        <w:tc>
          <w:tcPr>
            <w:tcW w:w="567" w:type="pct"/>
            <w:vAlign w:val="center"/>
          </w:tcPr>
          <w:p w14:paraId="34959B2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1,080.00平方米</w:t>
            </w:r>
          </w:p>
        </w:tc>
        <w:tc>
          <w:tcPr>
            <w:tcW w:w="359" w:type="pct"/>
            <w:vAlign w:val="center"/>
          </w:tcPr>
          <w:p w14:paraId="5051EA6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7.00</w:t>
            </w:r>
          </w:p>
        </w:tc>
        <w:tc>
          <w:tcPr>
            <w:tcW w:w="341" w:type="pct"/>
            <w:vAlign w:val="center"/>
          </w:tcPr>
          <w:p w14:paraId="5FC7872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eastAsia="宋体" w:cs="Times New Roman"/>
                <w:color w:val="auto"/>
                <w:kern w:val="0"/>
                <w:sz w:val="21"/>
                <w:szCs w:val="21"/>
                <w:highlight w:val="none"/>
                <w:lang w:val="en-US" w:eastAsia="zh-CN" w:bidi="ar"/>
              </w:rPr>
              <w:t>7.00</w:t>
            </w:r>
            <w:r>
              <w:rPr>
                <w:rFonts w:hint="eastAsia" w:ascii="Times New Roman" w:hAnsi="Times New Roman" w:eastAsia="宋体" w:cs="Times New Roman"/>
                <w:color w:val="auto"/>
                <w:kern w:val="0"/>
                <w:sz w:val="21"/>
                <w:szCs w:val="21"/>
                <w:highlight w:val="none"/>
                <w:lang w:val="en-US" w:eastAsia="zh-CN" w:bidi="ar"/>
              </w:rPr>
              <w:t xml:space="preserve"> </w:t>
            </w:r>
          </w:p>
        </w:tc>
        <w:tc>
          <w:tcPr>
            <w:tcW w:w="509" w:type="pct"/>
            <w:vAlign w:val="center"/>
          </w:tcPr>
          <w:p w14:paraId="3B00E67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eastAsia="宋体" w:cs="Times New Roman"/>
                <w:color w:val="auto"/>
                <w:kern w:val="0"/>
                <w:sz w:val="21"/>
                <w:szCs w:val="21"/>
                <w:highlight w:val="none"/>
                <w:lang w:val="en-US" w:eastAsia="zh-CN" w:bidi="ar"/>
              </w:rPr>
              <w:t>100.00</w:t>
            </w:r>
            <w:r>
              <w:rPr>
                <w:rFonts w:hint="eastAsia" w:ascii="Times New Roman" w:hAnsi="Times New Roman" w:eastAsia="宋体" w:cs="Times New Roman"/>
                <w:color w:val="auto"/>
                <w:kern w:val="0"/>
                <w:sz w:val="21"/>
                <w:szCs w:val="21"/>
                <w:highlight w:val="none"/>
                <w:lang w:val="en-US" w:eastAsia="zh-CN" w:bidi="ar"/>
              </w:rPr>
              <w:t>%</w:t>
            </w:r>
          </w:p>
        </w:tc>
      </w:tr>
      <w:tr w14:paraId="7C67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435" w:type="pct"/>
            <w:vMerge w:val="continue"/>
            <w:vAlign w:val="center"/>
          </w:tcPr>
          <w:p w14:paraId="35C41BB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720" w:type="pct"/>
            <w:vMerge w:val="continue"/>
            <w:vAlign w:val="center"/>
          </w:tcPr>
          <w:p w14:paraId="4C697971">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390" w:type="pct"/>
            <w:vAlign w:val="center"/>
          </w:tcPr>
          <w:p w14:paraId="7C4860FA">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C12新建标准篮球场工程量</w:t>
            </w:r>
          </w:p>
        </w:tc>
        <w:tc>
          <w:tcPr>
            <w:tcW w:w="674" w:type="pct"/>
            <w:vAlign w:val="center"/>
          </w:tcPr>
          <w:p w14:paraId="6EF9B2EC">
            <w:pPr>
              <w:keepNext w:val="0"/>
              <w:keepLines w:val="0"/>
              <w:widowControl/>
              <w:suppressLineNumbers w:val="0"/>
              <w:spacing w:line="240" w:lineRule="auto"/>
              <w:ind w:firstLine="0" w:firstLineChars="0"/>
              <w:jc w:val="left"/>
              <w:textAlignment w:val="auto"/>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i w:val="0"/>
                <w:iCs w:val="0"/>
                <w:color w:val="auto"/>
                <w:kern w:val="0"/>
                <w:sz w:val="21"/>
                <w:szCs w:val="21"/>
                <w:highlight w:val="none"/>
                <w:u w:val="none"/>
                <w:lang w:val="en-US" w:eastAsia="zh-CN" w:bidi="ar"/>
              </w:rPr>
              <w:t>≥1,587.00平方米</w:t>
            </w:r>
          </w:p>
        </w:tc>
        <w:tc>
          <w:tcPr>
            <w:tcW w:w="567" w:type="pct"/>
            <w:vAlign w:val="center"/>
          </w:tcPr>
          <w:p w14:paraId="575B525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1,596.00平方米</w:t>
            </w:r>
          </w:p>
        </w:tc>
        <w:tc>
          <w:tcPr>
            <w:tcW w:w="359" w:type="pct"/>
            <w:vAlign w:val="center"/>
          </w:tcPr>
          <w:p w14:paraId="2445784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7.00</w:t>
            </w:r>
          </w:p>
        </w:tc>
        <w:tc>
          <w:tcPr>
            <w:tcW w:w="341" w:type="pct"/>
            <w:vAlign w:val="center"/>
          </w:tcPr>
          <w:p w14:paraId="41C7E3FB">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0"/>
                <w:sz w:val="21"/>
                <w:szCs w:val="21"/>
                <w:highlight w:val="none"/>
                <w:lang w:val="en-US" w:eastAsia="zh-CN" w:bidi="ar"/>
              </w:rPr>
            </w:pPr>
            <w:r>
              <w:rPr>
                <w:rFonts w:hint="eastAsia" w:eastAsia="宋体" w:cs="Times New Roman"/>
                <w:color w:val="auto"/>
                <w:kern w:val="0"/>
                <w:sz w:val="21"/>
                <w:szCs w:val="21"/>
                <w:highlight w:val="none"/>
                <w:lang w:val="en-US" w:eastAsia="zh-CN" w:bidi="ar"/>
              </w:rPr>
              <w:t>7.00</w:t>
            </w:r>
          </w:p>
        </w:tc>
        <w:tc>
          <w:tcPr>
            <w:tcW w:w="509" w:type="pct"/>
            <w:shd w:val="clear" w:color="auto" w:fill="auto"/>
            <w:vAlign w:val="center"/>
          </w:tcPr>
          <w:p w14:paraId="29518BE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val="en-US" w:eastAsia="zh-CN" w:bidi="ar"/>
              </w:rPr>
            </w:pPr>
            <w:r>
              <w:rPr>
                <w:rFonts w:hint="eastAsia" w:eastAsia="宋体" w:cs="Times New Roman"/>
                <w:color w:val="auto"/>
                <w:kern w:val="0"/>
                <w:sz w:val="21"/>
                <w:szCs w:val="21"/>
                <w:highlight w:val="none"/>
                <w:lang w:val="en-US" w:eastAsia="zh-CN" w:bidi="ar"/>
              </w:rPr>
              <w:t>100.00</w:t>
            </w:r>
            <w:r>
              <w:rPr>
                <w:rFonts w:hint="eastAsia" w:ascii="Times New Roman" w:hAnsi="Times New Roman" w:eastAsia="宋体" w:cs="Times New Roman"/>
                <w:color w:val="auto"/>
                <w:kern w:val="0"/>
                <w:sz w:val="21"/>
                <w:szCs w:val="21"/>
                <w:highlight w:val="none"/>
                <w:lang w:val="en-US" w:eastAsia="zh-CN" w:bidi="ar"/>
              </w:rPr>
              <w:t>%</w:t>
            </w:r>
          </w:p>
        </w:tc>
      </w:tr>
      <w:tr w14:paraId="64FE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435" w:type="pct"/>
            <w:vMerge w:val="continue"/>
            <w:vAlign w:val="center"/>
          </w:tcPr>
          <w:p w14:paraId="7268109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720" w:type="pct"/>
            <w:vAlign w:val="center"/>
          </w:tcPr>
          <w:p w14:paraId="75DB675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C2产出质量（</w:t>
            </w: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.00分）</w:t>
            </w:r>
          </w:p>
        </w:tc>
        <w:tc>
          <w:tcPr>
            <w:tcW w:w="1390" w:type="pct"/>
            <w:vAlign w:val="center"/>
          </w:tcPr>
          <w:p w14:paraId="792379DF">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0"/>
                <w:sz w:val="21"/>
                <w:szCs w:val="21"/>
                <w:highlight w:val="none"/>
                <w:lang w:bidi="ar"/>
              </w:rPr>
              <w:t>C21</w:t>
            </w:r>
            <w:r>
              <w:rPr>
                <w:rFonts w:hint="eastAsia" w:ascii="Times New Roman" w:hAnsi="Times New Roman" w:eastAsia="宋体" w:cs="Times New Roman"/>
                <w:color w:val="auto"/>
                <w:kern w:val="0"/>
                <w:sz w:val="21"/>
                <w:szCs w:val="21"/>
                <w:highlight w:val="none"/>
                <w:lang w:val="en-US" w:eastAsia="zh-CN" w:bidi="ar"/>
              </w:rPr>
              <w:t>项目</w:t>
            </w:r>
            <w:r>
              <w:rPr>
                <w:rFonts w:hint="eastAsia" w:ascii="Times New Roman" w:hAnsi="Times New Roman" w:eastAsia="宋体" w:cs="Times New Roman"/>
                <w:color w:val="auto"/>
                <w:kern w:val="0"/>
                <w:sz w:val="21"/>
                <w:szCs w:val="21"/>
                <w:highlight w:val="none"/>
                <w:lang w:eastAsia="zh-CN" w:bidi="ar"/>
              </w:rPr>
              <w:t>竣工验收合格率</w:t>
            </w:r>
          </w:p>
        </w:tc>
        <w:tc>
          <w:tcPr>
            <w:tcW w:w="674" w:type="pct"/>
            <w:vAlign w:val="center"/>
          </w:tcPr>
          <w:p w14:paraId="0DD5170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c>
          <w:tcPr>
            <w:tcW w:w="567" w:type="pct"/>
            <w:vAlign w:val="center"/>
          </w:tcPr>
          <w:p w14:paraId="77376A2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c>
          <w:tcPr>
            <w:tcW w:w="359" w:type="pct"/>
            <w:vAlign w:val="center"/>
          </w:tcPr>
          <w:p w14:paraId="0DA776F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341" w:type="pct"/>
            <w:vAlign w:val="center"/>
          </w:tcPr>
          <w:p w14:paraId="1C1892D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5</w:t>
            </w:r>
            <w:r>
              <w:rPr>
                <w:rFonts w:hint="eastAsia" w:ascii="Times New Roman" w:hAnsi="Times New Roman" w:eastAsia="宋体" w:cs="Times New Roman"/>
                <w:color w:val="auto"/>
                <w:kern w:val="0"/>
                <w:sz w:val="21"/>
                <w:szCs w:val="21"/>
                <w:highlight w:val="none"/>
                <w:lang w:bidi="ar"/>
              </w:rPr>
              <w:t>.00</w:t>
            </w:r>
          </w:p>
        </w:tc>
        <w:tc>
          <w:tcPr>
            <w:tcW w:w="509" w:type="pct"/>
            <w:vAlign w:val="center"/>
          </w:tcPr>
          <w:p w14:paraId="43E79C1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5550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435" w:type="pct"/>
            <w:vMerge w:val="continue"/>
            <w:vAlign w:val="center"/>
          </w:tcPr>
          <w:p w14:paraId="0537C804">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720" w:type="pct"/>
            <w:vMerge w:val="restart"/>
            <w:vAlign w:val="center"/>
          </w:tcPr>
          <w:p w14:paraId="7EB82A72">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C3产出时效（</w:t>
            </w:r>
            <w:r>
              <w:rPr>
                <w:rFonts w:hint="eastAsia" w:ascii="Times New Roman" w:hAnsi="Times New Roman" w:eastAsia="宋体" w:cs="Times New Roman"/>
                <w:color w:val="auto"/>
                <w:kern w:val="0"/>
                <w:sz w:val="21"/>
                <w:szCs w:val="21"/>
                <w:highlight w:val="none"/>
                <w:lang w:val="en-US" w:eastAsia="zh-CN" w:bidi="ar"/>
              </w:rPr>
              <w:t>6</w:t>
            </w:r>
            <w:r>
              <w:rPr>
                <w:rFonts w:hint="eastAsia" w:ascii="Times New Roman" w:hAnsi="Times New Roman" w:eastAsia="宋体" w:cs="Times New Roman"/>
                <w:color w:val="auto"/>
                <w:kern w:val="0"/>
                <w:sz w:val="21"/>
                <w:szCs w:val="21"/>
                <w:highlight w:val="none"/>
                <w:lang w:bidi="ar"/>
              </w:rPr>
              <w:t>.00分）</w:t>
            </w:r>
          </w:p>
        </w:tc>
        <w:tc>
          <w:tcPr>
            <w:tcW w:w="1390" w:type="pct"/>
            <w:vAlign w:val="center"/>
          </w:tcPr>
          <w:p w14:paraId="4E68C8A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C31项目开工及时率</w:t>
            </w:r>
          </w:p>
        </w:tc>
        <w:tc>
          <w:tcPr>
            <w:tcW w:w="674" w:type="pct"/>
            <w:vAlign w:val="center"/>
          </w:tcPr>
          <w:p w14:paraId="594643C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c>
          <w:tcPr>
            <w:tcW w:w="567" w:type="pct"/>
            <w:vAlign w:val="center"/>
          </w:tcPr>
          <w:p w14:paraId="13681C3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kern w:val="0"/>
                <w:sz w:val="21"/>
                <w:szCs w:val="21"/>
                <w:highlight w:val="none"/>
                <w:lang w:bidi="ar"/>
              </w:rPr>
              <w:t>100.00%</w:t>
            </w:r>
          </w:p>
        </w:tc>
        <w:tc>
          <w:tcPr>
            <w:tcW w:w="359" w:type="pct"/>
            <w:vAlign w:val="center"/>
          </w:tcPr>
          <w:p w14:paraId="5F35B63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w:t>
            </w:r>
          </w:p>
        </w:tc>
        <w:tc>
          <w:tcPr>
            <w:tcW w:w="341" w:type="pct"/>
            <w:vAlign w:val="center"/>
          </w:tcPr>
          <w:p w14:paraId="79EA2F4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3</w:t>
            </w:r>
            <w:r>
              <w:rPr>
                <w:rFonts w:hint="eastAsia" w:ascii="Times New Roman" w:hAnsi="Times New Roman" w:eastAsia="宋体" w:cs="Times New Roman"/>
                <w:color w:val="auto"/>
                <w:kern w:val="0"/>
                <w:sz w:val="21"/>
                <w:szCs w:val="21"/>
                <w:highlight w:val="none"/>
                <w:lang w:bidi="ar"/>
              </w:rPr>
              <w:t>.00</w:t>
            </w:r>
          </w:p>
        </w:tc>
        <w:tc>
          <w:tcPr>
            <w:tcW w:w="509" w:type="pct"/>
            <w:vAlign w:val="center"/>
          </w:tcPr>
          <w:p w14:paraId="46E8B8A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0.00%</w:t>
            </w:r>
          </w:p>
        </w:tc>
      </w:tr>
      <w:tr w14:paraId="70AEA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25" w:hRule="atLeast"/>
        </w:trPr>
        <w:tc>
          <w:tcPr>
            <w:tcW w:w="435" w:type="pct"/>
            <w:vMerge w:val="continue"/>
            <w:vAlign w:val="center"/>
          </w:tcPr>
          <w:p w14:paraId="604746C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720" w:type="pct"/>
            <w:vMerge w:val="continue"/>
            <w:vAlign w:val="center"/>
          </w:tcPr>
          <w:p w14:paraId="0F3F8D26">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1390" w:type="pct"/>
            <w:vAlign w:val="center"/>
          </w:tcPr>
          <w:p w14:paraId="778868EC">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C32项目完工及时率</w:t>
            </w:r>
          </w:p>
        </w:tc>
        <w:tc>
          <w:tcPr>
            <w:tcW w:w="674" w:type="pct"/>
            <w:vAlign w:val="center"/>
          </w:tcPr>
          <w:p w14:paraId="3BB118A6">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c>
          <w:tcPr>
            <w:tcW w:w="567" w:type="pct"/>
            <w:vAlign w:val="center"/>
          </w:tcPr>
          <w:p w14:paraId="2E3435E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100.00%</w:t>
            </w:r>
          </w:p>
        </w:tc>
        <w:tc>
          <w:tcPr>
            <w:tcW w:w="359" w:type="pct"/>
            <w:vAlign w:val="center"/>
          </w:tcPr>
          <w:p w14:paraId="49F538E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341" w:type="pct"/>
            <w:vAlign w:val="center"/>
          </w:tcPr>
          <w:p w14:paraId="5BCF2A7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w:t>
            </w:r>
          </w:p>
        </w:tc>
        <w:tc>
          <w:tcPr>
            <w:tcW w:w="509" w:type="pct"/>
            <w:vAlign w:val="center"/>
          </w:tcPr>
          <w:p w14:paraId="1F6E448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08A34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435" w:type="pct"/>
            <w:vMerge w:val="continue"/>
            <w:vAlign w:val="center"/>
          </w:tcPr>
          <w:p w14:paraId="1C18F67E">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720" w:type="pct"/>
            <w:vAlign w:val="center"/>
          </w:tcPr>
          <w:p w14:paraId="4480833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C4产出成本（5.00分）</w:t>
            </w:r>
          </w:p>
        </w:tc>
        <w:tc>
          <w:tcPr>
            <w:tcW w:w="1390" w:type="pct"/>
            <w:vAlign w:val="center"/>
          </w:tcPr>
          <w:p w14:paraId="3596FE87">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0"/>
                <w:sz w:val="21"/>
                <w:szCs w:val="21"/>
                <w:highlight w:val="none"/>
                <w:lang w:bidi="ar"/>
              </w:rPr>
              <w:t>C41</w:t>
            </w:r>
            <w:r>
              <w:rPr>
                <w:rFonts w:hint="eastAsia" w:eastAsia="宋体" w:cs="Times New Roman"/>
                <w:color w:val="auto"/>
                <w:kern w:val="0"/>
                <w:sz w:val="21"/>
                <w:szCs w:val="21"/>
                <w:highlight w:val="none"/>
                <w:lang w:eastAsia="zh-CN" w:bidi="ar"/>
              </w:rPr>
              <w:t>项目工程建设成本</w:t>
            </w:r>
          </w:p>
        </w:tc>
        <w:tc>
          <w:tcPr>
            <w:tcW w:w="674" w:type="pct"/>
            <w:vAlign w:val="center"/>
          </w:tcPr>
          <w:p w14:paraId="47A81EF6">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1"/>
                <w:szCs w:val="21"/>
                <w:highlight w:val="none"/>
                <w:lang w:val="en-US"/>
              </w:rPr>
            </w:pPr>
            <w:r>
              <w:rPr>
                <w:rFonts w:hint="eastAsia" w:eastAsia="宋体" w:cs="Times New Roman"/>
                <w:color w:val="auto"/>
                <w:kern w:val="0"/>
                <w:sz w:val="21"/>
                <w:szCs w:val="21"/>
                <w:highlight w:val="none"/>
                <w:lang w:val="en-US" w:eastAsia="zh-CN" w:bidi="ar"/>
              </w:rPr>
              <w:t>≤100.00万元</w:t>
            </w:r>
          </w:p>
        </w:tc>
        <w:tc>
          <w:tcPr>
            <w:tcW w:w="567" w:type="pct"/>
            <w:vAlign w:val="center"/>
          </w:tcPr>
          <w:p w14:paraId="089EBFE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highlight w:val="none"/>
                <w:lang w:val="en-US" w:eastAsia="zh-CN"/>
              </w:rPr>
              <w:t>99.15</w:t>
            </w:r>
            <w:r>
              <w:rPr>
                <w:rFonts w:hint="eastAsia" w:eastAsia="宋体" w:cs="Times New Roman"/>
                <w:color w:val="auto"/>
                <w:highlight w:val="none"/>
                <w:lang w:val="en-US" w:eastAsia="zh-CN"/>
              </w:rPr>
              <w:t>万元</w:t>
            </w:r>
          </w:p>
        </w:tc>
        <w:tc>
          <w:tcPr>
            <w:tcW w:w="359" w:type="pct"/>
            <w:vAlign w:val="center"/>
          </w:tcPr>
          <w:p w14:paraId="626985A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5.00</w:t>
            </w:r>
          </w:p>
        </w:tc>
        <w:tc>
          <w:tcPr>
            <w:tcW w:w="341" w:type="pct"/>
            <w:vAlign w:val="center"/>
          </w:tcPr>
          <w:p w14:paraId="07E62730">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5.00</w:t>
            </w:r>
          </w:p>
        </w:tc>
        <w:tc>
          <w:tcPr>
            <w:tcW w:w="509" w:type="pct"/>
            <w:vAlign w:val="center"/>
          </w:tcPr>
          <w:p w14:paraId="4F50C60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5071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2546" w:type="pct"/>
            <w:gridSpan w:val="3"/>
            <w:vAlign w:val="center"/>
          </w:tcPr>
          <w:p w14:paraId="550F9D2B">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674" w:type="pct"/>
            <w:vAlign w:val="center"/>
          </w:tcPr>
          <w:p w14:paraId="6BBF2CD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567" w:type="pct"/>
            <w:vAlign w:val="center"/>
          </w:tcPr>
          <w:p w14:paraId="1E89106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359" w:type="pct"/>
            <w:vAlign w:val="center"/>
          </w:tcPr>
          <w:p w14:paraId="66BD87B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30.00</w:t>
            </w:r>
          </w:p>
        </w:tc>
        <w:tc>
          <w:tcPr>
            <w:tcW w:w="341" w:type="pct"/>
            <w:vAlign w:val="center"/>
          </w:tcPr>
          <w:p w14:paraId="23E7C81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highlight w:val="none"/>
              </w:rPr>
              <w:t>30.00</w:t>
            </w:r>
            <w:r>
              <w:rPr>
                <w:rFonts w:hint="eastAsia" w:ascii="Times New Roman" w:hAnsi="Times New Roman" w:eastAsia="宋体" w:cs="Times New Roman"/>
                <w:color w:val="auto"/>
                <w:kern w:val="0"/>
                <w:sz w:val="21"/>
                <w:szCs w:val="21"/>
                <w:highlight w:val="none"/>
                <w:lang w:val="en-US" w:eastAsia="zh-CN" w:bidi="ar"/>
              </w:rPr>
              <w:t xml:space="preserve"> </w:t>
            </w:r>
          </w:p>
        </w:tc>
        <w:tc>
          <w:tcPr>
            <w:tcW w:w="509" w:type="pct"/>
            <w:vAlign w:val="center"/>
          </w:tcPr>
          <w:p w14:paraId="0B318F4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bl>
    <w:p w14:paraId="2BDEBD22">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b/>
          <w:bCs/>
          <w:color w:val="auto"/>
          <w:highlight w:val="none"/>
        </w:rPr>
      </w:pPr>
    </w:p>
    <w:p w14:paraId="05C8186D">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43F4619A">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rPr>
        <w:t>C11新建建设五人制笼式足球场工程量指标：</w:t>
      </w:r>
    </w:p>
    <w:p w14:paraId="356D3144">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经查阅</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工程</w:t>
      </w:r>
      <w:r>
        <w:rPr>
          <w:rFonts w:ascii="Times New Roman" w:hAnsi="Times New Roman" w:eastAsia="宋体" w:cs="Times New Roman"/>
          <w:color w:val="auto"/>
          <w:highlight w:val="none"/>
        </w:rPr>
        <w:t>竣工验收</w:t>
      </w:r>
      <w:r>
        <w:rPr>
          <w:rFonts w:hint="eastAsia" w:ascii="Times New Roman" w:hAnsi="Times New Roman" w:eastAsia="宋体" w:cs="Times New Roman"/>
          <w:color w:val="auto"/>
          <w:highlight w:val="none"/>
          <w:lang w:val="en-US" w:eastAsia="zh-CN"/>
        </w:rPr>
        <w:t>记录表</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，该项目实际完成</w:t>
      </w:r>
      <w:r>
        <w:rPr>
          <w:rFonts w:hint="eastAsia" w:ascii="Times New Roman" w:hAnsi="Times New Roman" w:eastAsia="宋体" w:cs="Times New Roman"/>
          <w:color w:val="auto"/>
          <w:highlight w:val="none"/>
          <w:lang w:val="en-US" w:eastAsia="zh-CN"/>
        </w:rPr>
        <w:t>伊宁县</w:t>
      </w:r>
      <w:r>
        <w:rPr>
          <w:rFonts w:ascii="Times New Roman" w:hAnsi="Times New Roman" w:eastAsia="宋体" w:cs="Times New Roman"/>
          <w:color w:val="auto"/>
          <w:highlight w:val="none"/>
        </w:rPr>
        <w:t>吉里于孜镇上肉孜买提于孜村</w:t>
      </w:r>
      <w:r>
        <w:rPr>
          <w:rFonts w:hint="eastAsia" w:ascii="Times New Roman" w:hAnsi="Times New Roman" w:eastAsia="宋体" w:cs="Times New Roman"/>
          <w:color w:val="auto"/>
          <w:highlight w:val="none"/>
        </w:rPr>
        <w:t>新建足球场面积共</w:t>
      </w:r>
      <w:r>
        <w:rPr>
          <w:rFonts w:hint="eastAsia" w:ascii="Times New Roman" w:hAnsi="Times New Roman" w:eastAsia="宋体" w:cs="Times New Roman"/>
          <w:i w:val="0"/>
          <w:iCs w:val="0"/>
          <w:color w:val="auto"/>
          <w:kern w:val="0"/>
          <w:sz w:val="21"/>
          <w:szCs w:val="21"/>
          <w:highlight w:val="none"/>
          <w:u w:val="none"/>
          <w:lang w:val="en-US" w:eastAsia="zh-CN" w:bidi="ar"/>
        </w:rPr>
        <w:t>1,080.00平方米</w:t>
      </w:r>
      <w:r>
        <w:rPr>
          <w:rFonts w:hint="eastAsia" w:ascii="Times New Roman" w:hAnsi="Times New Roman" w:eastAsia="宋体" w:cs="Times New Roman"/>
          <w:color w:val="auto"/>
          <w:highlight w:val="none"/>
        </w:rPr>
        <w:t>，实际完成值达到预期目标，根据评分标准，得满分。</w:t>
      </w:r>
    </w:p>
    <w:p w14:paraId="394D250F">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该指标满分为7.00分，根据评分标准得7.00分。</w:t>
      </w:r>
    </w:p>
    <w:p w14:paraId="5B06D521">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（2）</w:t>
      </w:r>
      <w:r>
        <w:rPr>
          <w:rFonts w:hint="eastAsia" w:ascii="Times New Roman" w:hAnsi="Times New Roman" w:eastAsia="宋体" w:cs="Times New Roman"/>
          <w:b/>
          <w:bCs/>
          <w:color w:val="auto"/>
          <w:highlight w:val="none"/>
        </w:rPr>
        <w:t>C12新建标准篮球场工程量指标：</w:t>
      </w:r>
    </w:p>
    <w:p w14:paraId="4C3BDCF8">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经查阅</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工程</w:t>
      </w:r>
      <w:r>
        <w:rPr>
          <w:rFonts w:ascii="Times New Roman" w:hAnsi="Times New Roman" w:eastAsia="宋体" w:cs="Times New Roman"/>
          <w:color w:val="auto"/>
          <w:highlight w:val="none"/>
        </w:rPr>
        <w:t>竣工验收</w:t>
      </w:r>
      <w:r>
        <w:rPr>
          <w:rFonts w:hint="eastAsia" w:ascii="Times New Roman" w:hAnsi="Times New Roman" w:eastAsia="宋体" w:cs="Times New Roman"/>
          <w:color w:val="auto"/>
          <w:highlight w:val="none"/>
          <w:lang w:val="en-US" w:eastAsia="zh-CN"/>
        </w:rPr>
        <w:t>记录表</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rPr>
        <w:t>，该项目实际完成新建标准篮球场面积共</w:t>
      </w:r>
      <w:r>
        <w:rPr>
          <w:rFonts w:hint="eastAsia" w:ascii="Times New Roman" w:hAnsi="Times New Roman" w:eastAsia="宋体" w:cs="Times New Roman"/>
          <w:i w:val="0"/>
          <w:iCs w:val="0"/>
          <w:color w:val="auto"/>
          <w:kern w:val="0"/>
          <w:sz w:val="21"/>
          <w:szCs w:val="21"/>
          <w:highlight w:val="none"/>
          <w:u w:val="none"/>
          <w:lang w:val="en-US" w:eastAsia="zh-CN" w:bidi="ar"/>
        </w:rPr>
        <w:t>1,596.00平方米</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其中伊宁县</w:t>
      </w:r>
      <w:r>
        <w:rPr>
          <w:rFonts w:ascii="Times New Roman" w:hAnsi="Times New Roman" w:eastAsia="宋体" w:cs="Times New Roman"/>
          <w:color w:val="auto"/>
          <w:highlight w:val="none"/>
        </w:rPr>
        <w:t>吉里于孜镇上肉孜买提于孜村</w:t>
      </w:r>
      <w:r>
        <w:rPr>
          <w:rFonts w:hint="eastAsia" w:ascii="Times New Roman" w:hAnsi="Times New Roman" w:eastAsia="宋体" w:cs="Times New Roman"/>
          <w:color w:val="auto"/>
          <w:highlight w:val="none"/>
          <w:lang w:val="en-US" w:eastAsia="zh-CN"/>
        </w:rPr>
        <w:t>798.00平方米，伊宁县</w:t>
      </w:r>
      <w:r>
        <w:rPr>
          <w:rFonts w:hint="eastAsia" w:ascii="Times New Roman" w:hAnsi="Times New Roman" w:eastAsia="宋体" w:cs="Times New Roman"/>
          <w:color w:val="auto"/>
          <w:highlight w:val="none"/>
        </w:rPr>
        <w:t>阿热吾斯塘镇托万克村</w:t>
      </w:r>
      <w:r>
        <w:rPr>
          <w:rFonts w:hint="eastAsia" w:ascii="Times New Roman" w:hAnsi="Times New Roman" w:eastAsia="宋体" w:cs="Times New Roman"/>
          <w:color w:val="auto"/>
          <w:highlight w:val="none"/>
          <w:lang w:val="en-US" w:eastAsia="zh-CN"/>
        </w:rPr>
        <w:t>798.00平方米，</w:t>
      </w:r>
      <w:r>
        <w:rPr>
          <w:rFonts w:hint="eastAsia" w:eastAsia="宋体" w:cs="Times New Roman"/>
          <w:color w:val="auto"/>
          <w:highlight w:val="none"/>
          <w:lang w:val="en-US" w:eastAsia="zh-CN"/>
        </w:rPr>
        <w:t>实际完成率=实际完成值/计划完成值×100,00%=</w:t>
      </w:r>
      <w:r>
        <w:rPr>
          <w:rFonts w:hint="eastAsia" w:ascii="Times New Roman" w:hAnsi="Times New Roman" w:eastAsia="宋体" w:cs="Times New Roman"/>
          <w:i w:val="0"/>
          <w:iCs w:val="0"/>
          <w:color w:val="auto"/>
          <w:kern w:val="0"/>
          <w:sz w:val="21"/>
          <w:szCs w:val="21"/>
          <w:highlight w:val="none"/>
          <w:u w:val="none"/>
          <w:lang w:val="en-US" w:eastAsia="zh-CN" w:bidi="ar"/>
        </w:rPr>
        <w:t>1,596.00</w:t>
      </w:r>
      <w:r>
        <w:rPr>
          <w:rFonts w:hint="eastAsia"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1,587.00</w:t>
      </w:r>
      <w:r>
        <w:rPr>
          <w:rFonts w:hint="eastAsia" w:eastAsia="宋体" w:cs="Times New Roman"/>
          <w:i w:val="0"/>
          <w:iCs w:val="0"/>
          <w:color w:val="auto"/>
          <w:kern w:val="0"/>
          <w:sz w:val="21"/>
          <w:szCs w:val="21"/>
          <w:highlight w:val="none"/>
          <w:u w:val="none"/>
          <w:lang w:val="en-US" w:eastAsia="zh-CN" w:bidi="ar"/>
        </w:rPr>
        <w:t>×100.00%=100.57%，</w:t>
      </w:r>
      <w:r>
        <w:rPr>
          <w:rFonts w:hint="eastAsia" w:ascii="Times New Roman" w:hAnsi="Times New Roman" w:eastAsia="宋体" w:cs="Times New Roman"/>
          <w:color w:val="auto"/>
          <w:highlight w:val="none"/>
        </w:rPr>
        <w:t>根据评分标准，</w:t>
      </w:r>
      <w:r>
        <w:rPr>
          <w:rFonts w:hint="eastAsia" w:eastAsia="宋体" w:cs="Times New Roman"/>
          <w:color w:val="auto"/>
          <w:highlight w:val="none"/>
          <w:lang w:val="en-US" w:eastAsia="zh-CN"/>
        </w:rPr>
        <w:t>得满分。</w:t>
      </w:r>
    </w:p>
    <w:p w14:paraId="6B9E7376">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该指标满分为7.00分，根据评分标准得</w:t>
      </w:r>
      <w:r>
        <w:rPr>
          <w:rFonts w:hint="eastAsia" w:eastAsia="宋体" w:cs="Times New Roman"/>
          <w:color w:val="auto"/>
          <w:kern w:val="0"/>
          <w:sz w:val="21"/>
          <w:szCs w:val="21"/>
          <w:highlight w:val="none"/>
          <w:lang w:val="en-US" w:eastAsia="zh-CN" w:bidi="ar"/>
        </w:rPr>
        <w:t>7.00</w:t>
      </w:r>
      <w:r>
        <w:rPr>
          <w:rFonts w:ascii="Times New Roman" w:hAnsi="Times New Roman" w:eastAsia="宋体" w:cs="Times New Roman"/>
          <w:color w:val="auto"/>
          <w:highlight w:val="none"/>
        </w:rPr>
        <w:t>分。</w:t>
      </w:r>
    </w:p>
    <w:p w14:paraId="2F7F1E42">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（3）</w:t>
      </w:r>
      <w:r>
        <w:rPr>
          <w:rFonts w:hint="eastAsia" w:ascii="Times New Roman" w:hAnsi="Times New Roman" w:eastAsia="宋体" w:cs="Times New Roman"/>
          <w:b/>
          <w:bCs/>
          <w:color w:val="auto"/>
          <w:highlight w:val="none"/>
        </w:rPr>
        <w:t>C21</w:t>
      </w:r>
      <w:r>
        <w:rPr>
          <w:rFonts w:hint="eastAsia" w:ascii="Times New Roman" w:hAnsi="Times New Roman" w:eastAsia="宋体" w:cs="Times New Roman"/>
          <w:b/>
          <w:bCs/>
          <w:color w:val="auto"/>
          <w:highlight w:val="none"/>
          <w:lang w:eastAsia="zh-CN"/>
        </w:rPr>
        <w:t>竣工验收合格率</w:t>
      </w:r>
      <w:r>
        <w:rPr>
          <w:rFonts w:hint="eastAsia" w:ascii="Times New Roman" w:hAnsi="Times New Roman" w:eastAsia="宋体" w:cs="Times New Roman"/>
          <w:b/>
          <w:bCs/>
          <w:color w:val="auto"/>
          <w:highlight w:val="none"/>
        </w:rPr>
        <w:t>指标：</w:t>
      </w:r>
    </w:p>
    <w:p w14:paraId="44B71BBC">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经查看《</w:t>
      </w:r>
      <w:r>
        <w:rPr>
          <w:rFonts w:hint="eastAsia" w:ascii="Times New Roman" w:hAnsi="Times New Roman" w:eastAsia="宋体" w:cs="Times New Roman"/>
          <w:color w:val="auto"/>
          <w:highlight w:val="none"/>
          <w:lang w:val="en-US" w:eastAsia="zh-CN"/>
        </w:rPr>
        <w:t>工程</w:t>
      </w:r>
      <w:r>
        <w:rPr>
          <w:rFonts w:ascii="Times New Roman" w:hAnsi="Times New Roman" w:eastAsia="宋体" w:cs="Times New Roman"/>
          <w:color w:val="auto"/>
          <w:highlight w:val="none"/>
        </w:rPr>
        <w:t>竣工验收</w:t>
      </w:r>
      <w:r>
        <w:rPr>
          <w:rFonts w:hint="eastAsia" w:ascii="Times New Roman" w:hAnsi="Times New Roman" w:eastAsia="宋体" w:cs="Times New Roman"/>
          <w:color w:val="auto"/>
          <w:highlight w:val="none"/>
          <w:lang w:val="en-US" w:eastAsia="zh-CN"/>
        </w:rPr>
        <w:t>记录表</w:t>
      </w:r>
      <w:r>
        <w:rPr>
          <w:rFonts w:ascii="Times New Roman" w:hAnsi="Times New Roman" w:eastAsia="宋体" w:cs="Times New Roman"/>
          <w:color w:val="auto"/>
          <w:highlight w:val="none"/>
        </w:rPr>
        <w:t>》，项目实施内容</w:t>
      </w:r>
      <w:r>
        <w:rPr>
          <w:rFonts w:hint="eastAsia" w:ascii="Times New Roman" w:hAnsi="Times New Roman" w:eastAsia="宋体" w:cs="Times New Roman"/>
          <w:color w:val="auto"/>
          <w:highlight w:val="none"/>
          <w:lang w:val="en-US" w:eastAsia="zh-CN"/>
        </w:rPr>
        <w:t>包括在</w:t>
      </w:r>
      <w:r>
        <w:rPr>
          <w:rFonts w:ascii="Times New Roman" w:hAnsi="Times New Roman" w:eastAsia="宋体" w:cs="Times New Roman"/>
          <w:color w:val="auto"/>
          <w:highlight w:val="none"/>
        </w:rPr>
        <w:t>伊宁县吉里于孜镇上肉孜买提于孜村委会建设五人制笼式足球场1个</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面积</w:t>
      </w:r>
      <w:r>
        <w:rPr>
          <w:rFonts w:hint="eastAsia" w:ascii="Times New Roman" w:hAnsi="Times New Roman" w:eastAsia="宋体" w:cs="Times New Roman"/>
          <w:i w:val="0"/>
          <w:iCs w:val="0"/>
          <w:color w:val="auto"/>
          <w:kern w:val="0"/>
          <w:sz w:val="21"/>
          <w:szCs w:val="21"/>
          <w:highlight w:val="none"/>
          <w:u w:val="none"/>
          <w:lang w:val="en-US" w:eastAsia="zh-CN" w:bidi="ar"/>
        </w:rPr>
        <w:t>1,080.00平方米</w:t>
      </w:r>
      <w:r>
        <w:rPr>
          <w:rFonts w:ascii="Times New Roman" w:hAnsi="Times New Roman" w:eastAsia="宋体" w:cs="Times New Roman"/>
          <w:color w:val="auto"/>
          <w:highlight w:val="none"/>
        </w:rPr>
        <w:t>、建设标准篮球场1个</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面积共</w:t>
      </w:r>
      <w:r>
        <w:rPr>
          <w:rFonts w:hint="eastAsia" w:ascii="Times New Roman" w:hAnsi="Times New Roman" w:eastAsia="宋体" w:cs="Times New Roman"/>
          <w:color w:val="auto"/>
          <w:highlight w:val="none"/>
          <w:lang w:val="en-US" w:eastAsia="zh-CN"/>
        </w:rPr>
        <w:t>798.00平方米；</w:t>
      </w:r>
      <w:r>
        <w:rPr>
          <w:rFonts w:hint="eastAsia" w:ascii="Times New Roman" w:hAnsi="Times New Roman" w:eastAsia="宋体" w:cs="Times New Roman"/>
          <w:color w:val="auto"/>
          <w:highlight w:val="none"/>
        </w:rPr>
        <w:t>在伊宁县阿热吾斯塘镇托万克村委会建设标准篮球场1个</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面积共</w:t>
      </w:r>
      <w:r>
        <w:rPr>
          <w:rFonts w:hint="eastAsia" w:ascii="Times New Roman" w:hAnsi="Times New Roman" w:eastAsia="宋体" w:cs="Times New Roman"/>
          <w:color w:val="auto"/>
          <w:highlight w:val="none"/>
          <w:lang w:val="en-US" w:eastAsia="zh-CN"/>
        </w:rPr>
        <w:t>798.00平方米，</w:t>
      </w:r>
      <w:r>
        <w:rPr>
          <w:rFonts w:hint="default" w:ascii="Times New Roman" w:hAnsi="Times New Roman" w:eastAsia="宋体" w:cs="Times New Roman"/>
          <w:color w:val="auto"/>
          <w:highlight w:val="none"/>
          <w:lang w:val="en-US" w:eastAsia="zh-CN"/>
        </w:rPr>
        <w:t>项目竣工后</w:t>
      </w:r>
      <w:r>
        <w:rPr>
          <w:rFonts w:ascii="Times New Roman" w:hAnsi="Times New Roman" w:eastAsia="宋体" w:cs="Times New Roman"/>
          <w:color w:val="auto"/>
          <w:highlight w:val="none"/>
        </w:rPr>
        <w:t>经建设单位、监理单位、施工单位确认验收结果</w:t>
      </w:r>
      <w:r>
        <w:rPr>
          <w:rFonts w:hint="eastAsia" w:ascii="Times New Roman" w:hAnsi="Times New Roman" w:eastAsia="宋体" w:cs="Times New Roman"/>
          <w:color w:val="auto"/>
          <w:highlight w:val="none"/>
          <w:lang w:val="en-US" w:eastAsia="zh-CN"/>
        </w:rPr>
        <w:t>为：“经验收各项均满足有关规范、标准和设计要求，同意单位工程竣工验收”</w:t>
      </w:r>
      <w:r>
        <w:rPr>
          <w:rFonts w:ascii="Times New Roman" w:hAnsi="Times New Roman" w:eastAsia="宋体" w:cs="Times New Roman"/>
          <w:color w:val="auto"/>
          <w:highlight w:val="none"/>
        </w:rPr>
        <w:t>。</w:t>
      </w:r>
    </w:p>
    <w:p w14:paraId="776D0878">
      <w:pPr>
        <w:spacing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该指标满分为</w:t>
      </w: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rPr>
        <w:t>.00分，根据评分标准得</w:t>
      </w: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rPr>
        <w:t>.00分。</w:t>
      </w:r>
    </w:p>
    <w:p w14:paraId="4D0392DC">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（4）</w:t>
      </w:r>
      <w:r>
        <w:rPr>
          <w:rFonts w:hint="eastAsia" w:ascii="Times New Roman" w:hAnsi="Times New Roman" w:eastAsia="宋体" w:cs="Times New Roman"/>
          <w:b/>
          <w:bCs/>
          <w:color w:val="auto"/>
          <w:highlight w:val="none"/>
        </w:rPr>
        <w:t>C31项目开工及时率指标：</w:t>
      </w:r>
    </w:p>
    <w:p w14:paraId="6A9700EB">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按照《关于伊宁县全民健身场地建设项目可行性研究报告的批复》（伊县发改字〔2024〕87号）文件</w:t>
      </w:r>
      <w:r>
        <w:rPr>
          <w:rFonts w:hint="eastAsia" w:ascii="Times New Roman" w:hAnsi="Times New Roman" w:eastAsia="宋体" w:cs="Times New Roman"/>
          <w:color w:val="auto"/>
          <w:highlight w:val="none"/>
          <w:lang w:val="en-US" w:eastAsia="zh-CN"/>
        </w:rPr>
        <w:t>显示</w:t>
      </w:r>
      <w:r>
        <w:rPr>
          <w:rFonts w:ascii="Times New Roman" w:hAnsi="Times New Roman" w:eastAsia="宋体" w:cs="Times New Roman"/>
          <w:color w:val="auto"/>
          <w:highlight w:val="none"/>
        </w:rPr>
        <w:t>，项目计划实施时间为2024年5月—2024年10月，</w:t>
      </w:r>
      <w:r>
        <w:rPr>
          <w:rFonts w:hint="eastAsia" w:ascii="Times New Roman" w:hAnsi="Times New Roman" w:eastAsia="宋体" w:cs="Times New Roman"/>
          <w:color w:val="auto"/>
          <w:highlight w:val="none"/>
          <w:lang w:val="en-US" w:eastAsia="zh-CN"/>
        </w:rPr>
        <w:t>项目实际开工为2024年5月20日</w:t>
      </w:r>
      <w:r>
        <w:rPr>
          <w:rFonts w:ascii="Times New Roman" w:hAnsi="Times New Roman" w:eastAsia="宋体" w:cs="Times New Roman"/>
          <w:color w:val="auto"/>
          <w:highlight w:val="none"/>
        </w:rPr>
        <w:t>，按照评分标准，</w:t>
      </w:r>
      <w:r>
        <w:rPr>
          <w:rFonts w:hint="default" w:ascii="Times New Roman" w:hAnsi="Times New Roman" w:eastAsia="宋体" w:cs="Times New Roman"/>
          <w:color w:val="auto"/>
          <w:highlight w:val="none"/>
        </w:rPr>
        <w:t>达到预期目标。</w:t>
      </w:r>
    </w:p>
    <w:p w14:paraId="386F2286">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3</w:t>
      </w:r>
      <w:r>
        <w:rPr>
          <w:rFonts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3</w:t>
      </w:r>
      <w:r>
        <w:rPr>
          <w:rFonts w:ascii="Times New Roman" w:hAnsi="Times New Roman" w:eastAsia="宋体" w:cs="Times New Roman"/>
          <w:color w:val="auto"/>
          <w:highlight w:val="none"/>
        </w:rPr>
        <w:t>.00分。</w:t>
      </w:r>
    </w:p>
    <w:p w14:paraId="49E07AE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（5）</w:t>
      </w:r>
      <w:r>
        <w:rPr>
          <w:rFonts w:hint="eastAsia" w:ascii="Times New Roman" w:hAnsi="Times New Roman" w:eastAsia="宋体" w:cs="Times New Roman"/>
          <w:b/>
          <w:bCs/>
          <w:color w:val="auto"/>
          <w:highlight w:val="none"/>
        </w:rPr>
        <w:t>C32项目完工及时率指标：</w:t>
      </w:r>
    </w:p>
    <w:p w14:paraId="08EDF9D3">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根据项目实施单位提供</w:t>
      </w:r>
      <w:r>
        <w:rPr>
          <w:rFonts w:ascii="Times New Roman" w:hAnsi="Times New Roman" w:eastAsia="宋体" w:cs="Times New Roman"/>
          <w:color w:val="auto"/>
          <w:highlight w:val="none"/>
        </w:rPr>
        <w:t>《关于伊宁县全民健身场地建设项目可行性研究报告的批复》（伊县发改字〔2024〕87号）</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工程质量竣工验收记录</w:t>
      </w:r>
      <w:r>
        <w:rPr>
          <w:rFonts w:hint="default" w:ascii="Times New Roman" w:hAnsi="Times New Roman" w:eastAsia="宋体" w:cs="Times New Roman"/>
          <w:color w:val="auto"/>
          <w:highlight w:val="none"/>
        </w:rPr>
        <w:t>》</w:t>
      </w:r>
      <w:r>
        <w:rPr>
          <w:rFonts w:ascii="Times New Roman" w:hAnsi="Times New Roman" w:eastAsia="宋体" w:cs="Times New Roman"/>
          <w:color w:val="auto"/>
          <w:highlight w:val="none"/>
        </w:rPr>
        <w:t>文件</w:t>
      </w:r>
      <w:r>
        <w:rPr>
          <w:rFonts w:hint="default" w:ascii="Times New Roman" w:hAnsi="Times New Roman" w:eastAsia="宋体" w:cs="Times New Roman"/>
          <w:color w:val="auto"/>
          <w:highlight w:val="none"/>
        </w:rPr>
        <w:t>显示，</w:t>
      </w:r>
      <w:r>
        <w:rPr>
          <w:rFonts w:ascii="Times New Roman" w:hAnsi="Times New Roman" w:eastAsia="宋体" w:cs="Times New Roman"/>
          <w:color w:val="auto"/>
          <w:highlight w:val="none"/>
        </w:rPr>
        <w:t>项目计划实施时间为2024年5月—2024年10月，</w:t>
      </w:r>
      <w:r>
        <w:rPr>
          <w:rFonts w:hint="default" w:ascii="Times New Roman" w:hAnsi="Times New Roman" w:eastAsia="宋体" w:cs="Times New Roman"/>
          <w:color w:val="auto"/>
          <w:highlight w:val="none"/>
        </w:rPr>
        <w:t>该项目建设工程实际于2024年</w:t>
      </w:r>
      <w:r>
        <w:rPr>
          <w:rFonts w:hint="eastAsia" w:ascii="Times New Roman" w:hAnsi="Times New Roman" w:eastAsia="宋体" w:cs="Times New Roman"/>
          <w:color w:val="auto"/>
          <w:highlight w:val="none"/>
          <w:lang w:val="en-US" w:eastAsia="zh-CN"/>
        </w:rPr>
        <w:t>9</w:t>
      </w:r>
      <w:r>
        <w:rPr>
          <w:rFonts w:hint="default" w:ascii="Times New Roman" w:hAnsi="Times New Roman" w:eastAsia="宋体" w:cs="Times New Roman"/>
          <w:color w:val="auto"/>
          <w:highlight w:val="none"/>
        </w:rPr>
        <w:t>月</w:t>
      </w:r>
      <w:r>
        <w:rPr>
          <w:rFonts w:hint="eastAsia" w:ascii="Times New Roman" w:hAnsi="Times New Roman" w:eastAsia="宋体" w:cs="Times New Roman"/>
          <w:color w:val="auto"/>
          <w:highlight w:val="none"/>
          <w:lang w:val="en-US" w:eastAsia="zh-CN"/>
        </w:rPr>
        <w:t>15</w:t>
      </w:r>
      <w:r>
        <w:rPr>
          <w:rFonts w:hint="default" w:ascii="Times New Roman" w:hAnsi="Times New Roman" w:eastAsia="宋体" w:cs="Times New Roman"/>
          <w:color w:val="auto"/>
          <w:highlight w:val="none"/>
        </w:rPr>
        <w:t>日完工，达到预期目标。</w:t>
      </w:r>
    </w:p>
    <w:p w14:paraId="3D571CB1">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该指标满分为3.00分，根据评分标准得3.00分。</w:t>
      </w:r>
    </w:p>
    <w:p w14:paraId="1382655A">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（6）</w:t>
      </w:r>
      <w:r>
        <w:rPr>
          <w:rFonts w:hint="eastAsia" w:ascii="Times New Roman" w:hAnsi="Times New Roman" w:eastAsia="宋体" w:cs="Times New Roman"/>
          <w:b/>
          <w:bCs/>
          <w:color w:val="auto"/>
          <w:highlight w:val="none"/>
        </w:rPr>
        <w:t>C41</w:t>
      </w:r>
      <w:r>
        <w:rPr>
          <w:rFonts w:hint="eastAsia" w:eastAsia="宋体" w:cs="Times New Roman"/>
          <w:b/>
          <w:bCs/>
          <w:color w:val="auto"/>
          <w:highlight w:val="none"/>
          <w:lang w:eastAsia="zh-CN"/>
        </w:rPr>
        <w:t>项目工程建设成本</w:t>
      </w:r>
      <w:r>
        <w:rPr>
          <w:rFonts w:hint="eastAsia" w:ascii="Times New Roman" w:hAnsi="Times New Roman" w:eastAsia="宋体" w:cs="Times New Roman"/>
          <w:b/>
          <w:bCs/>
          <w:color w:val="auto"/>
          <w:highlight w:val="none"/>
        </w:rPr>
        <w:t>指标：</w:t>
      </w:r>
    </w:p>
    <w:p w14:paraId="6E6886AE">
      <w:pPr>
        <w:pageBreakBefore w:val="0"/>
        <w:kinsoku/>
        <w:wordWrap/>
        <w:overflowPunct/>
        <w:topLinePunct w:val="0"/>
        <w:autoSpaceDE/>
        <w:autoSpaceDN/>
        <w:bidi w:val="0"/>
        <w:snapToGrid w:val="0"/>
        <w:spacing w:before="0" w:after="0" w:line="360" w:lineRule="auto"/>
        <w:ind w:firstLine="42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经查阅《关于伊宁全民健身场地建设项目可行性研究报告的批复》（伊县发改字〔2024〕87号）</w:t>
      </w:r>
      <w:r>
        <w:rPr>
          <w:rFonts w:hint="eastAsia" w:ascii="Times New Roman" w:hAnsi="Times New Roman" w:eastAsia="宋体" w:cs="Times New Roman"/>
          <w:color w:val="auto"/>
          <w:highlight w:val="none"/>
          <w:lang w:val="en-US" w:eastAsia="zh-CN"/>
        </w:rPr>
        <w:t>显示，项目投资总额为100.00</w:t>
      </w:r>
      <w:r>
        <w:rPr>
          <w:rFonts w:hint="eastAsia" w:ascii="Times New Roman" w:hAnsi="Times New Roman" w:eastAsia="宋体" w:cs="Times New Roman"/>
          <w:color w:val="auto"/>
          <w:highlight w:val="none"/>
        </w:rPr>
        <w:t>万元</w:t>
      </w:r>
      <w:r>
        <w:rPr>
          <w:rFonts w:hint="eastAsia" w:ascii="Times New Roman" w:hAnsi="Times New Roman" w:eastAsia="宋体" w:cs="Times New Roman"/>
          <w:color w:val="auto"/>
          <w:highlight w:val="none"/>
          <w:lang w:val="en-US" w:eastAsia="zh-CN"/>
        </w:rPr>
        <w:t>；根据项目实施单位提供的《伊宁县全民健身场地建设项目工程结算审核报告》《工程结算审核确认单》，项目</w:t>
      </w:r>
      <w:r>
        <w:rPr>
          <w:rFonts w:hint="default" w:ascii="Times New Roman" w:hAnsi="Times New Roman" w:eastAsia="宋体" w:cs="Times New Roman"/>
          <w:color w:val="auto"/>
          <w:highlight w:val="none"/>
          <w:lang w:val="en-US" w:eastAsia="zh-CN"/>
        </w:rPr>
        <w:t>实际工程成本</w:t>
      </w:r>
      <w:r>
        <w:rPr>
          <w:rFonts w:hint="eastAsia" w:ascii="Times New Roman" w:hAnsi="Times New Roman" w:eastAsia="宋体" w:cs="Times New Roman"/>
          <w:color w:val="auto"/>
          <w:highlight w:val="none"/>
          <w:lang w:val="en-US" w:eastAsia="zh-CN"/>
        </w:rPr>
        <w:t>99.15万元</w:t>
      </w:r>
      <w:r>
        <w:rPr>
          <w:rFonts w:hint="default"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val="en-US" w:eastAsia="zh-CN"/>
        </w:rPr>
        <w:t>根据评分标准，得满分。</w:t>
      </w:r>
    </w:p>
    <w:p w14:paraId="12FA7C9A">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该指标满分为5.00分，根据评分标准得5.00分。</w:t>
      </w:r>
    </w:p>
    <w:p w14:paraId="64A8D045">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100" w:name="_Toc26713"/>
      <w:bookmarkStart w:id="101" w:name="_Toc14861"/>
      <w:r>
        <w:rPr>
          <w:rFonts w:ascii="Times New Roman" w:hAnsi="Times New Roman" w:eastAsia="宋体" w:cs="Times New Roman"/>
          <w:color w:val="auto"/>
          <w:highlight w:val="none"/>
        </w:rPr>
        <w:t>（四）项目效益情况</w:t>
      </w:r>
      <w:bookmarkEnd w:id="100"/>
      <w:bookmarkEnd w:id="101"/>
    </w:p>
    <w:p w14:paraId="046E3A31">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项目效益指标由</w:t>
      </w:r>
      <w:r>
        <w:rPr>
          <w:rFonts w:hint="eastAsia" w:ascii="Times New Roman" w:hAnsi="Times New Roman" w:eastAsia="宋体" w:cs="Times New Roman"/>
          <w:color w:val="auto"/>
          <w:highlight w:val="none"/>
        </w:rPr>
        <w:t>2</w:t>
      </w:r>
      <w:r>
        <w:rPr>
          <w:rFonts w:ascii="Times New Roman" w:hAnsi="Times New Roman" w:eastAsia="宋体" w:cs="Times New Roman"/>
          <w:color w:val="auto"/>
          <w:highlight w:val="none"/>
        </w:rPr>
        <w:t>个二级和</w:t>
      </w:r>
      <w:r>
        <w:rPr>
          <w:rFonts w:hint="eastAsia" w:ascii="Times New Roman" w:hAnsi="Times New Roman" w:eastAsia="宋体" w:cs="Times New Roman"/>
          <w:color w:val="auto"/>
          <w:highlight w:val="none"/>
        </w:rPr>
        <w:t>3</w:t>
      </w:r>
      <w:r>
        <w:rPr>
          <w:rFonts w:ascii="Times New Roman" w:hAnsi="Times New Roman" w:eastAsia="宋体" w:cs="Times New Roman"/>
          <w:color w:val="auto"/>
          <w:highlight w:val="none"/>
        </w:rPr>
        <w:t>个三级指标构成，权重分</w:t>
      </w:r>
      <w:r>
        <w:rPr>
          <w:rFonts w:hint="eastAsia" w:ascii="Times New Roman" w:hAnsi="Times New Roman" w:eastAsia="宋体" w:cs="Times New Roman"/>
          <w:color w:val="auto"/>
          <w:highlight w:val="none"/>
        </w:rPr>
        <w:t>30.00</w:t>
      </w:r>
      <w:r>
        <w:rPr>
          <w:rFonts w:ascii="Times New Roman" w:hAnsi="Times New Roman" w:eastAsia="宋体" w:cs="Times New Roman"/>
          <w:color w:val="auto"/>
          <w:highlight w:val="none"/>
        </w:rPr>
        <w:t>分，实际得分</w:t>
      </w:r>
      <w:r>
        <w:rPr>
          <w:rFonts w:hint="eastAsia" w:ascii="Times New Roman" w:hAnsi="Times New Roman" w:eastAsia="宋体" w:cs="Times New Roman"/>
          <w:color w:val="auto"/>
          <w:highlight w:val="none"/>
        </w:rPr>
        <w:t>30.00</w:t>
      </w:r>
      <w:r>
        <w:rPr>
          <w:rFonts w:ascii="Times New Roman" w:hAnsi="Times New Roman" w:eastAsia="宋体" w:cs="Times New Roman"/>
          <w:color w:val="auto"/>
          <w:highlight w:val="none"/>
        </w:rPr>
        <w:t>分</w:t>
      </w:r>
      <w:r>
        <w:rPr>
          <w:rFonts w:hint="eastAsia" w:ascii="Times New Roman" w:hAnsi="Times New Roman" w:eastAsia="宋体" w:cs="Times New Roman"/>
          <w:color w:val="auto"/>
          <w:highlight w:val="none"/>
        </w:rPr>
        <w:t>，得分率为</w:t>
      </w:r>
      <w:r>
        <w:rPr>
          <w:rFonts w:hint="eastAsia" w:ascii="Times New Roman" w:hAnsi="Times New Roman" w:eastAsia="宋体" w:cs="Times New Roman"/>
          <w:color w:val="auto"/>
          <w:kern w:val="0"/>
          <w:sz w:val="21"/>
          <w:szCs w:val="21"/>
          <w:highlight w:val="none"/>
          <w:lang w:bidi="ar"/>
        </w:rPr>
        <w:t>100.00%</w:t>
      </w:r>
      <w:r>
        <w:rPr>
          <w:rFonts w:ascii="Times New Roman" w:hAnsi="Times New Roman" w:eastAsia="宋体" w:cs="Times New Roman"/>
          <w:color w:val="auto"/>
          <w:highlight w:val="none"/>
        </w:rPr>
        <w:t>。各指标业绩值和绩效分值如下表所示：</w:t>
      </w:r>
    </w:p>
    <w:p w14:paraId="1C5AC2D9">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表</w:t>
      </w:r>
      <w:r>
        <w:rPr>
          <w:rFonts w:hint="eastAsia" w:ascii="Times New Roman" w:hAnsi="Times New Roman" w:eastAsia="宋体" w:cs="Times New Roman"/>
          <w:b/>
          <w:bCs/>
          <w:color w:val="auto"/>
          <w:highlight w:val="none"/>
          <w:lang w:val="en-US" w:eastAsia="zh-CN"/>
        </w:rPr>
        <w:t>5</w:t>
      </w:r>
      <w:r>
        <w:rPr>
          <w:rFonts w:ascii="Times New Roman" w:hAnsi="Times New Roman" w:eastAsia="宋体" w:cs="Times New Roman"/>
          <w:b/>
          <w:bCs/>
          <w:color w:val="auto"/>
          <w:highlight w:val="none"/>
        </w:rPr>
        <w:t>-4：项目效益指标及分值</w:t>
      </w:r>
    </w:p>
    <w:tbl>
      <w:tblPr>
        <w:tblStyle w:val="18"/>
        <w:tblpPr w:leftFromText="180" w:rightFromText="180" w:vertAnchor="text" w:horzAnchor="page" w:tblpX="1813" w:tblpY="259"/>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27"/>
        <w:gridCol w:w="1415"/>
        <w:gridCol w:w="1526"/>
        <w:gridCol w:w="1033"/>
        <w:gridCol w:w="1107"/>
        <w:gridCol w:w="757"/>
        <w:gridCol w:w="688"/>
        <w:gridCol w:w="855"/>
      </w:tblGrid>
      <w:tr w14:paraId="3346F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11" w:type="pct"/>
            <w:vAlign w:val="center"/>
          </w:tcPr>
          <w:p w14:paraId="0F30D8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一级指标</w:t>
            </w:r>
          </w:p>
        </w:tc>
        <w:tc>
          <w:tcPr>
            <w:tcW w:w="841" w:type="pct"/>
            <w:vAlign w:val="center"/>
          </w:tcPr>
          <w:p w14:paraId="0B3A004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二级指标</w:t>
            </w:r>
          </w:p>
        </w:tc>
        <w:tc>
          <w:tcPr>
            <w:tcW w:w="906" w:type="pct"/>
            <w:vAlign w:val="center"/>
          </w:tcPr>
          <w:p w14:paraId="06D7A86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三级指标</w:t>
            </w:r>
          </w:p>
        </w:tc>
        <w:tc>
          <w:tcPr>
            <w:tcW w:w="614" w:type="pct"/>
            <w:vAlign w:val="center"/>
          </w:tcPr>
          <w:p w14:paraId="46DEA664">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目标值</w:t>
            </w:r>
          </w:p>
        </w:tc>
        <w:tc>
          <w:tcPr>
            <w:tcW w:w="658" w:type="pct"/>
            <w:vAlign w:val="center"/>
          </w:tcPr>
          <w:p w14:paraId="7AA3FB9A">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实际完成值</w:t>
            </w:r>
          </w:p>
        </w:tc>
        <w:tc>
          <w:tcPr>
            <w:tcW w:w="450" w:type="pct"/>
            <w:vAlign w:val="center"/>
          </w:tcPr>
          <w:p w14:paraId="63BC945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权重</w:t>
            </w:r>
          </w:p>
        </w:tc>
        <w:tc>
          <w:tcPr>
            <w:tcW w:w="409" w:type="pct"/>
            <w:vAlign w:val="center"/>
          </w:tcPr>
          <w:p w14:paraId="378FFB4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kern w:val="0"/>
                <w:sz w:val="21"/>
                <w:szCs w:val="21"/>
                <w:highlight w:val="none"/>
                <w:lang w:bidi="ar"/>
              </w:rPr>
              <w:t>得分</w:t>
            </w:r>
          </w:p>
        </w:tc>
        <w:tc>
          <w:tcPr>
            <w:tcW w:w="508" w:type="pct"/>
            <w:vAlign w:val="center"/>
          </w:tcPr>
          <w:p w14:paraId="30BC801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highlight w:val="none"/>
                <w:lang w:bidi="ar"/>
              </w:rPr>
            </w:pPr>
            <w:r>
              <w:rPr>
                <w:rFonts w:hint="eastAsia" w:ascii="Times New Roman" w:hAnsi="Times New Roman" w:eastAsia="宋体" w:cs="Times New Roman"/>
                <w:b/>
                <w:color w:val="auto"/>
                <w:kern w:val="0"/>
                <w:sz w:val="21"/>
                <w:szCs w:val="21"/>
                <w:highlight w:val="none"/>
                <w:lang w:bidi="ar"/>
              </w:rPr>
              <w:t>得分率</w:t>
            </w:r>
          </w:p>
        </w:tc>
      </w:tr>
      <w:tr w14:paraId="4AFA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11" w:type="pct"/>
            <w:vMerge w:val="restart"/>
            <w:vAlign w:val="center"/>
          </w:tcPr>
          <w:p w14:paraId="02E3F0D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D效益（30.00分）</w:t>
            </w:r>
          </w:p>
        </w:tc>
        <w:tc>
          <w:tcPr>
            <w:tcW w:w="841" w:type="pct"/>
            <w:vMerge w:val="restart"/>
            <w:vAlign w:val="center"/>
          </w:tcPr>
          <w:p w14:paraId="290FD4B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D1社会效益指标（</w:t>
            </w:r>
            <w:r>
              <w:rPr>
                <w:rFonts w:hint="eastAsia" w:ascii="Times New Roman" w:hAnsi="Times New Roman" w:eastAsia="宋体" w:cs="Times New Roman"/>
                <w:color w:val="auto"/>
                <w:kern w:val="0"/>
                <w:sz w:val="21"/>
                <w:szCs w:val="21"/>
                <w:highlight w:val="none"/>
                <w:lang w:val="en-US" w:eastAsia="zh-CN" w:bidi="ar"/>
              </w:rPr>
              <w:t>18</w:t>
            </w:r>
            <w:r>
              <w:rPr>
                <w:rFonts w:hint="eastAsia" w:ascii="Times New Roman" w:hAnsi="Times New Roman" w:eastAsia="宋体" w:cs="Times New Roman"/>
                <w:color w:val="auto"/>
                <w:kern w:val="0"/>
                <w:sz w:val="21"/>
                <w:szCs w:val="21"/>
                <w:highlight w:val="none"/>
                <w:lang w:bidi="ar"/>
              </w:rPr>
              <w:t>.00分）</w:t>
            </w:r>
          </w:p>
        </w:tc>
        <w:tc>
          <w:tcPr>
            <w:tcW w:w="906" w:type="pct"/>
            <w:vAlign w:val="center"/>
          </w:tcPr>
          <w:p w14:paraId="03EA4C0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D11提升公众健康水平</w:t>
            </w:r>
          </w:p>
        </w:tc>
        <w:tc>
          <w:tcPr>
            <w:tcW w:w="614" w:type="pct"/>
            <w:vAlign w:val="center"/>
          </w:tcPr>
          <w:p w14:paraId="0D346514">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有效提升</w:t>
            </w:r>
          </w:p>
        </w:tc>
        <w:tc>
          <w:tcPr>
            <w:tcW w:w="658" w:type="pct"/>
            <w:vAlign w:val="center"/>
          </w:tcPr>
          <w:p w14:paraId="4B4CEF7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基本达成目标</w:t>
            </w:r>
          </w:p>
        </w:tc>
        <w:tc>
          <w:tcPr>
            <w:tcW w:w="450" w:type="pct"/>
            <w:vAlign w:val="center"/>
          </w:tcPr>
          <w:p w14:paraId="476A52C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w:t>
            </w:r>
          </w:p>
        </w:tc>
        <w:tc>
          <w:tcPr>
            <w:tcW w:w="409" w:type="pct"/>
            <w:vAlign w:val="center"/>
          </w:tcPr>
          <w:p w14:paraId="1F2B1E5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10</w:t>
            </w:r>
            <w:r>
              <w:rPr>
                <w:rFonts w:hint="eastAsia" w:ascii="Times New Roman" w:hAnsi="Times New Roman" w:eastAsia="宋体" w:cs="Times New Roman"/>
                <w:color w:val="auto"/>
                <w:kern w:val="0"/>
                <w:sz w:val="21"/>
                <w:szCs w:val="21"/>
                <w:highlight w:val="none"/>
                <w:lang w:bidi="ar"/>
              </w:rPr>
              <w:t>.00</w:t>
            </w:r>
          </w:p>
        </w:tc>
        <w:tc>
          <w:tcPr>
            <w:tcW w:w="508" w:type="pct"/>
            <w:vAlign w:val="center"/>
          </w:tcPr>
          <w:p w14:paraId="3BF3349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5CF16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11" w:type="pct"/>
            <w:vMerge w:val="continue"/>
            <w:vAlign w:val="center"/>
          </w:tcPr>
          <w:p w14:paraId="55715BC3">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sz w:val="21"/>
                <w:szCs w:val="21"/>
                <w:highlight w:val="none"/>
              </w:rPr>
            </w:pPr>
          </w:p>
        </w:tc>
        <w:tc>
          <w:tcPr>
            <w:tcW w:w="841" w:type="pct"/>
            <w:vMerge w:val="continue"/>
            <w:vAlign w:val="center"/>
          </w:tcPr>
          <w:p w14:paraId="489995FC">
            <w:pPr>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kern w:val="0"/>
                <w:sz w:val="21"/>
                <w:szCs w:val="21"/>
                <w:highlight w:val="none"/>
                <w:lang w:bidi="ar"/>
              </w:rPr>
            </w:pPr>
          </w:p>
        </w:tc>
        <w:tc>
          <w:tcPr>
            <w:tcW w:w="906" w:type="pct"/>
            <w:vAlign w:val="center"/>
          </w:tcPr>
          <w:p w14:paraId="28A15BDC">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b w:val="0"/>
                <w:bCs w:val="0"/>
                <w:color w:val="auto"/>
                <w:sz w:val="21"/>
                <w:szCs w:val="21"/>
                <w:highlight w:val="none"/>
              </w:rPr>
              <w:t>D</w:t>
            </w:r>
            <w:r>
              <w:rPr>
                <w:rFonts w:hint="eastAsia" w:ascii="Times New Roman" w:hAnsi="Times New Roman" w:eastAsia="宋体" w:cs="Times New Roman"/>
                <w:b w:val="0"/>
                <w:bCs w:val="0"/>
                <w:color w:val="auto"/>
                <w:kern w:val="0"/>
                <w:sz w:val="21"/>
                <w:szCs w:val="21"/>
                <w:highlight w:val="none"/>
                <w:lang w:bidi="ar"/>
              </w:rPr>
              <w:t>12提升群众参与足球</w:t>
            </w:r>
            <w:r>
              <w:rPr>
                <w:rFonts w:hint="eastAsia" w:ascii="Times New Roman" w:hAnsi="Times New Roman" w:eastAsia="宋体" w:cs="Times New Roman"/>
                <w:b w:val="0"/>
                <w:bCs w:val="0"/>
                <w:color w:val="auto"/>
                <w:kern w:val="0"/>
                <w:sz w:val="21"/>
                <w:szCs w:val="21"/>
                <w:highlight w:val="none"/>
                <w:lang w:eastAsia="zh-CN" w:bidi="ar"/>
              </w:rPr>
              <w:t>、</w:t>
            </w:r>
            <w:r>
              <w:rPr>
                <w:rFonts w:hint="eastAsia" w:ascii="Times New Roman" w:hAnsi="Times New Roman" w:eastAsia="宋体" w:cs="Times New Roman"/>
                <w:b w:val="0"/>
                <w:bCs w:val="0"/>
                <w:color w:val="auto"/>
                <w:kern w:val="0"/>
                <w:sz w:val="21"/>
                <w:szCs w:val="21"/>
                <w:highlight w:val="none"/>
                <w:lang w:val="en-US" w:eastAsia="zh-CN" w:bidi="ar"/>
              </w:rPr>
              <w:t>篮球</w:t>
            </w:r>
            <w:r>
              <w:rPr>
                <w:rFonts w:hint="eastAsia" w:ascii="Times New Roman" w:hAnsi="Times New Roman" w:eastAsia="宋体" w:cs="Times New Roman"/>
                <w:b w:val="0"/>
                <w:bCs w:val="0"/>
                <w:color w:val="auto"/>
                <w:kern w:val="0"/>
                <w:sz w:val="21"/>
                <w:szCs w:val="21"/>
                <w:highlight w:val="none"/>
                <w:lang w:bidi="ar"/>
              </w:rPr>
              <w:t>锻炼积极性</w:t>
            </w:r>
          </w:p>
        </w:tc>
        <w:tc>
          <w:tcPr>
            <w:tcW w:w="614" w:type="pct"/>
            <w:vAlign w:val="center"/>
          </w:tcPr>
          <w:p w14:paraId="683F3455">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bidi="ar"/>
              </w:rPr>
              <w:t>有效提升</w:t>
            </w:r>
          </w:p>
        </w:tc>
        <w:tc>
          <w:tcPr>
            <w:tcW w:w="658" w:type="pct"/>
            <w:vAlign w:val="center"/>
          </w:tcPr>
          <w:p w14:paraId="1205E51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基本达成目标</w:t>
            </w:r>
          </w:p>
        </w:tc>
        <w:tc>
          <w:tcPr>
            <w:tcW w:w="450" w:type="pct"/>
            <w:vAlign w:val="center"/>
          </w:tcPr>
          <w:p w14:paraId="54C1B2BB">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8.00</w:t>
            </w:r>
          </w:p>
        </w:tc>
        <w:tc>
          <w:tcPr>
            <w:tcW w:w="409" w:type="pct"/>
            <w:vAlign w:val="center"/>
          </w:tcPr>
          <w:p w14:paraId="01F6DDC2">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8.00</w:t>
            </w:r>
          </w:p>
        </w:tc>
        <w:tc>
          <w:tcPr>
            <w:tcW w:w="508" w:type="pct"/>
            <w:vAlign w:val="center"/>
          </w:tcPr>
          <w:p w14:paraId="54312D3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kern w:val="0"/>
                <w:sz w:val="21"/>
                <w:szCs w:val="21"/>
                <w:highlight w:val="none"/>
                <w:lang w:bidi="ar"/>
              </w:rPr>
            </w:pPr>
            <w:r>
              <w:rPr>
                <w:rFonts w:hint="eastAsia" w:ascii="Times New Roman" w:hAnsi="Times New Roman" w:eastAsia="宋体" w:cs="Times New Roman"/>
                <w:color w:val="auto"/>
                <w:kern w:val="0"/>
                <w:sz w:val="21"/>
                <w:szCs w:val="21"/>
                <w:highlight w:val="none"/>
                <w:lang w:bidi="ar"/>
              </w:rPr>
              <w:t>100.00%</w:t>
            </w:r>
          </w:p>
        </w:tc>
      </w:tr>
      <w:tr w14:paraId="768CC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611" w:type="pct"/>
            <w:vMerge w:val="continue"/>
            <w:vAlign w:val="center"/>
          </w:tcPr>
          <w:p w14:paraId="78054FC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p>
        </w:tc>
        <w:tc>
          <w:tcPr>
            <w:tcW w:w="841" w:type="pct"/>
            <w:vAlign w:val="center"/>
          </w:tcPr>
          <w:p w14:paraId="218ECD18">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D2服务对象满意度指标（</w:t>
            </w:r>
            <w:r>
              <w:rPr>
                <w:rFonts w:hint="eastAsia" w:ascii="Times New Roman" w:hAnsi="Times New Roman" w:eastAsia="宋体" w:cs="Times New Roman"/>
                <w:color w:val="auto"/>
                <w:kern w:val="0"/>
                <w:sz w:val="21"/>
                <w:szCs w:val="21"/>
                <w:highlight w:val="none"/>
                <w:lang w:val="en-US" w:eastAsia="zh-CN" w:bidi="ar"/>
              </w:rPr>
              <w:t>12</w:t>
            </w:r>
            <w:r>
              <w:rPr>
                <w:rFonts w:hint="eastAsia" w:ascii="Times New Roman" w:hAnsi="Times New Roman" w:eastAsia="宋体" w:cs="Times New Roman"/>
                <w:color w:val="auto"/>
                <w:kern w:val="0"/>
                <w:sz w:val="21"/>
                <w:szCs w:val="21"/>
                <w:highlight w:val="none"/>
                <w:lang w:bidi="ar"/>
              </w:rPr>
              <w:t>.00分）</w:t>
            </w:r>
          </w:p>
        </w:tc>
        <w:tc>
          <w:tcPr>
            <w:tcW w:w="906" w:type="pct"/>
            <w:vAlign w:val="center"/>
          </w:tcPr>
          <w:p w14:paraId="428A6473">
            <w:pPr>
              <w:pageBreakBefore w:val="0"/>
              <w:widowControl/>
              <w:kinsoku/>
              <w:wordWrap/>
              <w:overflowPunct/>
              <w:topLinePunct w:val="0"/>
              <w:autoSpaceDE/>
              <w:autoSpaceDN/>
              <w:bidi w:val="0"/>
              <w:snapToGrid w:val="0"/>
              <w:spacing w:before="0" w:after="0" w:line="240" w:lineRule="auto"/>
              <w:ind w:firstLine="0" w:firstLineChars="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kern w:val="0"/>
                <w:sz w:val="21"/>
                <w:szCs w:val="21"/>
                <w:highlight w:val="none"/>
                <w:lang w:bidi="ar"/>
              </w:rPr>
              <w:t>D21</w:t>
            </w:r>
            <w:r>
              <w:rPr>
                <w:rFonts w:hint="eastAsia" w:ascii="Times New Roman" w:hAnsi="Times New Roman" w:eastAsia="宋体" w:cs="Times New Roman"/>
                <w:color w:val="auto"/>
                <w:kern w:val="0"/>
                <w:sz w:val="21"/>
                <w:szCs w:val="21"/>
                <w:highlight w:val="none"/>
                <w:lang w:eastAsia="zh-CN" w:bidi="ar"/>
              </w:rPr>
              <w:t>项目所在村受益村民满意度</w:t>
            </w:r>
          </w:p>
        </w:tc>
        <w:tc>
          <w:tcPr>
            <w:tcW w:w="614" w:type="pct"/>
            <w:vAlign w:val="center"/>
          </w:tcPr>
          <w:p w14:paraId="7ABF0D0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≥90</w:t>
            </w:r>
            <w:r>
              <w:rPr>
                <w:rFonts w:hint="eastAsia" w:ascii="Times New Roman" w:hAnsi="Times New Roman" w:eastAsia="宋体" w:cs="Times New Roman"/>
                <w:color w:val="auto"/>
                <w:kern w:val="0"/>
                <w:sz w:val="21"/>
                <w:szCs w:val="21"/>
                <w:highlight w:val="none"/>
                <w:lang w:val="en-US" w:eastAsia="zh-CN" w:bidi="ar"/>
              </w:rPr>
              <w:t>.00</w:t>
            </w:r>
            <w:r>
              <w:rPr>
                <w:rFonts w:hint="eastAsia" w:ascii="Times New Roman" w:hAnsi="Times New Roman" w:eastAsia="宋体" w:cs="Times New Roman"/>
                <w:color w:val="auto"/>
                <w:kern w:val="0"/>
                <w:sz w:val="21"/>
                <w:szCs w:val="21"/>
                <w:highlight w:val="none"/>
                <w:lang w:bidi="ar"/>
              </w:rPr>
              <w:t>%</w:t>
            </w:r>
          </w:p>
        </w:tc>
        <w:tc>
          <w:tcPr>
            <w:tcW w:w="658" w:type="pct"/>
            <w:vAlign w:val="center"/>
          </w:tcPr>
          <w:p w14:paraId="2BE8435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90.80%</w:t>
            </w:r>
          </w:p>
        </w:tc>
        <w:tc>
          <w:tcPr>
            <w:tcW w:w="450" w:type="pct"/>
            <w:vAlign w:val="center"/>
          </w:tcPr>
          <w:p w14:paraId="7023B232">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12</w:t>
            </w:r>
            <w:r>
              <w:rPr>
                <w:rFonts w:hint="eastAsia" w:ascii="Times New Roman" w:hAnsi="Times New Roman" w:eastAsia="宋体" w:cs="Times New Roman"/>
                <w:color w:val="auto"/>
                <w:kern w:val="0"/>
                <w:sz w:val="21"/>
                <w:szCs w:val="21"/>
                <w:highlight w:val="none"/>
                <w:lang w:bidi="ar"/>
              </w:rPr>
              <w:t>.00</w:t>
            </w:r>
          </w:p>
        </w:tc>
        <w:tc>
          <w:tcPr>
            <w:tcW w:w="409" w:type="pct"/>
            <w:vAlign w:val="center"/>
          </w:tcPr>
          <w:p w14:paraId="0AF0FB8C">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val="en-US" w:eastAsia="zh-CN" w:bidi="ar"/>
              </w:rPr>
              <w:t>12</w:t>
            </w:r>
            <w:r>
              <w:rPr>
                <w:rFonts w:hint="eastAsia" w:ascii="Times New Roman" w:hAnsi="Times New Roman" w:eastAsia="宋体" w:cs="Times New Roman"/>
                <w:color w:val="auto"/>
                <w:kern w:val="0"/>
                <w:sz w:val="21"/>
                <w:szCs w:val="21"/>
                <w:highlight w:val="none"/>
                <w:lang w:bidi="ar"/>
              </w:rPr>
              <w:t>.00</w:t>
            </w:r>
          </w:p>
        </w:tc>
        <w:tc>
          <w:tcPr>
            <w:tcW w:w="508" w:type="pct"/>
            <w:vAlign w:val="center"/>
          </w:tcPr>
          <w:p w14:paraId="26846061">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r w14:paraId="7DAA0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2359" w:type="pct"/>
            <w:gridSpan w:val="3"/>
            <w:vAlign w:val="center"/>
          </w:tcPr>
          <w:p w14:paraId="4953FEAA">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合计</w:t>
            </w:r>
          </w:p>
        </w:tc>
        <w:tc>
          <w:tcPr>
            <w:tcW w:w="614" w:type="pct"/>
            <w:vAlign w:val="center"/>
          </w:tcPr>
          <w:p w14:paraId="141D3485">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p>
        </w:tc>
        <w:tc>
          <w:tcPr>
            <w:tcW w:w="658" w:type="pct"/>
            <w:vAlign w:val="center"/>
          </w:tcPr>
          <w:p w14:paraId="2FD07D0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eastAsia="宋体" w:cs="Times New Roman"/>
                <w:color w:val="auto"/>
                <w:sz w:val="21"/>
                <w:szCs w:val="21"/>
                <w:highlight w:val="none"/>
                <w:lang w:val="en-US" w:eastAsia="zh-CN"/>
              </w:rPr>
            </w:pPr>
          </w:p>
        </w:tc>
        <w:tc>
          <w:tcPr>
            <w:tcW w:w="450" w:type="pct"/>
            <w:vAlign w:val="center"/>
          </w:tcPr>
          <w:p w14:paraId="0161D648">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30.00</w:t>
            </w:r>
          </w:p>
        </w:tc>
        <w:tc>
          <w:tcPr>
            <w:tcW w:w="409" w:type="pct"/>
            <w:vAlign w:val="center"/>
          </w:tcPr>
          <w:p w14:paraId="08DFF13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30.00</w:t>
            </w:r>
          </w:p>
        </w:tc>
        <w:tc>
          <w:tcPr>
            <w:tcW w:w="508" w:type="pct"/>
            <w:vAlign w:val="center"/>
          </w:tcPr>
          <w:p w14:paraId="4FF94EBF">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kern w:val="0"/>
                <w:sz w:val="21"/>
                <w:szCs w:val="21"/>
                <w:highlight w:val="none"/>
                <w:lang w:bidi="ar"/>
              </w:rPr>
              <w:t>100.00%</w:t>
            </w:r>
          </w:p>
        </w:tc>
      </w:tr>
    </w:tbl>
    <w:p w14:paraId="22C3F4E4">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p>
    <w:p w14:paraId="065E506F">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color w:val="auto"/>
          <w:highlight w:val="none"/>
        </w:rPr>
      </w:pPr>
      <w:r>
        <w:rPr>
          <w:rFonts w:ascii="Times New Roman" w:hAnsi="Times New Roman" w:eastAsia="宋体" w:cs="Times New Roman"/>
          <w:b/>
          <w:bCs/>
          <w:color w:val="auto"/>
          <w:highlight w:val="none"/>
        </w:rPr>
        <w:t>指标得分分析：</w:t>
      </w:r>
    </w:p>
    <w:p w14:paraId="47DEEB8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（1）</w:t>
      </w:r>
      <w:r>
        <w:rPr>
          <w:rFonts w:hint="eastAsia" w:ascii="Times New Roman" w:hAnsi="Times New Roman" w:eastAsia="宋体" w:cs="Times New Roman"/>
          <w:b/>
          <w:bCs/>
          <w:color w:val="auto"/>
          <w:highlight w:val="none"/>
        </w:rPr>
        <w:t>D11提升公众健康水平指标：</w:t>
      </w:r>
    </w:p>
    <w:p w14:paraId="7F414229">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该效益指标主要采用公众评判法，通过问卷调查等方式评价提升公众健康水</w:t>
      </w:r>
      <w:r>
        <w:rPr>
          <w:rFonts w:hint="eastAsia" w:ascii="Times New Roman" w:hAnsi="Times New Roman" w:eastAsia="宋体" w:cs="Times New Roman"/>
          <w:color w:val="auto"/>
          <w:highlight w:val="none"/>
          <w:lang w:eastAsia="zh-CN"/>
        </w:rPr>
        <w:t>平的</w:t>
      </w:r>
      <w:r>
        <w:rPr>
          <w:rFonts w:ascii="Times New Roman" w:hAnsi="Times New Roman" w:eastAsia="宋体" w:cs="Times New Roman"/>
          <w:color w:val="auto"/>
          <w:highlight w:val="none"/>
        </w:rPr>
        <w:t>实现程度。绩效评价问卷调查对象为</w:t>
      </w:r>
      <w:r>
        <w:rPr>
          <w:rFonts w:hint="eastAsia" w:ascii="Times New Roman" w:hAnsi="Times New Roman" w:eastAsia="宋体" w:cs="Times New Roman"/>
          <w:color w:val="auto"/>
          <w:highlight w:val="none"/>
        </w:rPr>
        <w:t>全民健身场地设施项目</w:t>
      </w:r>
      <w:r>
        <w:rPr>
          <w:rFonts w:ascii="Times New Roman" w:hAnsi="Times New Roman" w:eastAsia="宋体" w:cs="Times New Roman"/>
          <w:color w:val="auto"/>
          <w:highlight w:val="none"/>
        </w:rPr>
        <w:t>受益社会公众，共计发放和收回</w:t>
      </w:r>
      <w:r>
        <w:rPr>
          <w:rFonts w:hint="eastAsia" w:ascii="Times New Roman" w:hAnsi="Times New Roman" w:eastAsia="宋体" w:cs="Times New Roman"/>
          <w:color w:val="auto"/>
          <w:highlight w:val="none"/>
          <w:lang w:eastAsia="zh-CN"/>
        </w:rPr>
        <w:t>117份</w:t>
      </w:r>
      <w:r>
        <w:rPr>
          <w:rFonts w:ascii="Times New Roman" w:hAnsi="Times New Roman" w:eastAsia="宋体" w:cs="Times New Roman"/>
          <w:color w:val="auto"/>
          <w:highlight w:val="none"/>
        </w:rPr>
        <w:t>问卷调查，针对本指标问卷问题为“您认为全民健身场地对您健康水平方面的提升效果如何？”，根据统计结果：选择选项“显著”</w:t>
      </w:r>
      <w:r>
        <w:rPr>
          <w:rFonts w:hint="eastAsia" w:ascii="Times New Roman" w:hAnsi="Times New Roman" w:eastAsia="宋体" w:cs="Times New Roman"/>
          <w:color w:val="auto"/>
          <w:highlight w:val="none"/>
          <w:lang w:val="en-US" w:eastAsia="zh-CN"/>
        </w:rPr>
        <w:t>75</w:t>
      </w:r>
      <w:r>
        <w:rPr>
          <w:rFonts w:ascii="Times New Roman" w:hAnsi="Times New Roman" w:eastAsia="宋体" w:cs="Times New Roman"/>
          <w:color w:val="auto"/>
          <w:highlight w:val="none"/>
        </w:rPr>
        <w:t>人，选择选项“较好”33人，选择选项“一般”9人，选择选项“较差”0人，“无”0人，本指标实现程度=∑样本数（“显著”×1.00+“较好”×0.80+“一般”×0.60+“较差”×0.30+“无”×0.00）/总样本数×100.00%=（</w:t>
      </w:r>
      <w:r>
        <w:rPr>
          <w:rFonts w:hint="eastAsia" w:ascii="Times New Roman" w:hAnsi="Times New Roman" w:eastAsia="宋体" w:cs="Times New Roman"/>
          <w:color w:val="auto"/>
          <w:highlight w:val="none"/>
          <w:lang w:val="en-US" w:eastAsia="zh-CN"/>
        </w:rPr>
        <w:t>75</w:t>
      </w:r>
      <w:r>
        <w:rPr>
          <w:rFonts w:ascii="Times New Roman" w:hAnsi="Times New Roman" w:eastAsia="宋体" w:cs="Times New Roman"/>
          <w:color w:val="auto"/>
          <w:highlight w:val="none"/>
        </w:rPr>
        <w:t>×1.00+33×0.80+9×0.60）/</w:t>
      </w:r>
      <w:r>
        <w:rPr>
          <w:rFonts w:hint="eastAsia" w:ascii="Times New Roman" w:hAnsi="Times New Roman" w:eastAsia="宋体" w:cs="Times New Roman"/>
          <w:color w:val="auto"/>
          <w:highlight w:val="none"/>
          <w:lang w:eastAsia="zh-CN"/>
        </w:rPr>
        <w:t>11</w:t>
      </w:r>
      <w:r>
        <w:rPr>
          <w:rFonts w:hint="eastAsia" w:ascii="Times New Roman" w:hAnsi="Times New Roman" w:eastAsia="宋体" w:cs="Times New Roman"/>
          <w:color w:val="auto"/>
          <w:highlight w:val="none"/>
          <w:lang w:val="en-US" w:eastAsia="zh-CN"/>
        </w:rPr>
        <w:t>7</w:t>
      </w:r>
      <w:r>
        <w:rPr>
          <w:rFonts w:ascii="Times New Roman" w:hAnsi="Times New Roman" w:eastAsia="宋体" w:cs="Times New Roman"/>
          <w:color w:val="auto"/>
          <w:highlight w:val="none"/>
        </w:rPr>
        <w:t>×100.00%=</w:t>
      </w:r>
      <w:r>
        <w:rPr>
          <w:rFonts w:hint="eastAsia" w:ascii="Times New Roman" w:hAnsi="Times New Roman" w:eastAsia="宋体" w:cs="Times New Roman"/>
          <w:color w:val="auto"/>
          <w:highlight w:val="none"/>
          <w:lang w:val="en-US" w:eastAsia="zh-CN"/>
        </w:rPr>
        <w:t>91.28</w:t>
      </w:r>
      <w:r>
        <w:rPr>
          <w:rFonts w:ascii="Times New Roman" w:hAnsi="Times New Roman" w:eastAsia="宋体" w:cs="Times New Roman"/>
          <w:color w:val="auto"/>
          <w:highlight w:val="none"/>
        </w:rPr>
        <w:t>%，指标完成率大于等于90.00%，基本达成目标。</w:t>
      </w:r>
    </w:p>
    <w:p w14:paraId="7B290475">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该指标满分为1</w:t>
      </w:r>
      <w:r>
        <w:rPr>
          <w:rFonts w:hint="eastAsia" w:ascii="Times New Roman" w:hAnsi="Times New Roman" w:eastAsia="宋体" w:cs="Times New Roman"/>
          <w:color w:val="auto"/>
          <w:highlight w:val="none"/>
          <w:lang w:val="en-US" w:eastAsia="zh-CN"/>
        </w:rPr>
        <w:t>0</w:t>
      </w:r>
      <w:r>
        <w:rPr>
          <w:rFonts w:ascii="Times New Roman" w:hAnsi="Times New Roman" w:eastAsia="宋体" w:cs="Times New Roman"/>
          <w:color w:val="auto"/>
          <w:highlight w:val="none"/>
        </w:rPr>
        <w:t>.00分，根据评分标准得1</w:t>
      </w:r>
      <w:r>
        <w:rPr>
          <w:rFonts w:hint="eastAsia" w:ascii="Times New Roman" w:hAnsi="Times New Roman" w:eastAsia="宋体" w:cs="Times New Roman"/>
          <w:color w:val="auto"/>
          <w:highlight w:val="none"/>
          <w:lang w:val="en-US" w:eastAsia="zh-CN"/>
        </w:rPr>
        <w:t>0</w:t>
      </w:r>
      <w:r>
        <w:rPr>
          <w:rFonts w:ascii="Times New Roman" w:hAnsi="Times New Roman" w:eastAsia="宋体" w:cs="Times New Roman"/>
          <w:color w:val="auto"/>
          <w:highlight w:val="none"/>
        </w:rPr>
        <w:t>.00分。</w:t>
      </w:r>
    </w:p>
    <w:p w14:paraId="500E3CE2">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（2）</w:t>
      </w:r>
      <w:r>
        <w:rPr>
          <w:rFonts w:hint="eastAsia" w:ascii="Times New Roman" w:hAnsi="Times New Roman" w:eastAsia="宋体" w:cs="Times New Roman"/>
          <w:b/>
          <w:bCs/>
          <w:color w:val="auto"/>
          <w:highlight w:val="none"/>
        </w:rPr>
        <w:t>D12提升群众参与足球</w:t>
      </w:r>
      <w:r>
        <w:rPr>
          <w:rFonts w:hint="eastAsia" w:ascii="Times New Roman" w:hAnsi="Times New Roman" w:eastAsia="宋体" w:cs="Times New Roman"/>
          <w:b/>
          <w:bCs/>
          <w:color w:val="auto"/>
          <w:highlight w:val="none"/>
          <w:lang w:eastAsia="zh-CN"/>
        </w:rPr>
        <w:t>、</w:t>
      </w:r>
      <w:r>
        <w:rPr>
          <w:rFonts w:hint="eastAsia" w:ascii="Times New Roman" w:hAnsi="Times New Roman" w:eastAsia="宋体" w:cs="Times New Roman"/>
          <w:b/>
          <w:bCs/>
          <w:color w:val="auto"/>
          <w:highlight w:val="none"/>
          <w:lang w:val="en-US" w:eastAsia="zh-CN"/>
        </w:rPr>
        <w:t>篮球</w:t>
      </w:r>
      <w:r>
        <w:rPr>
          <w:rFonts w:hint="eastAsia" w:ascii="Times New Roman" w:hAnsi="Times New Roman" w:eastAsia="宋体" w:cs="Times New Roman"/>
          <w:b/>
          <w:bCs/>
          <w:color w:val="auto"/>
          <w:highlight w:val="none"/>
        </w:rPr>
        <w:t>锻炼积极性指标：</w:t>
      </w:r>
    </w:p>
    <w:p w14:paraId="0E752EDE">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该效益指标主要采用公众评判法，通过问卷调查等方式评价</w:t>
      </w:r>
      <w:r>
        <w:rPr>
          <w:rFonts w:hint="eastAsia" w:ascii="Times New Roman" w:hAnsi="Times New Roman" w:eastAsia="宋体" w:cs="Times New Roman"/>
          <w:color w:val="auto"/>
          <w:highlight w:val="none"/>
        </w:rPr>
        <w:t>提升群众参与足球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篮球</w:t>
      </w:r>
      <w:r>
        <w:rPr>
          <w:rFonts w:hint="eastAsia" w:ascii="Times New Roman" w:hAnsi="Times New Roman" w:eastAsia="宋体" w:cs="Times New Roman"/>
          <w:color w:val="auto"/>
          <w:highlight w:val="none"/>
        </w:rPr>
        <w:t>锻炼积极</w:t>
      </w:r>
      <w:r>
        <w:rPr>
          <w:rFonts w:hint="eastAsia" w:ascii="Times New Roman" w:hAnsi="Times New Roman" w:eastAsia="宋体" w:cs="Times New Roman"/>
          <w:color w:val="auto"/>
          <w:highlight w:val="none"/>
          <w:lang w:eastAsia="zh-CN"/>
        </w:rPr>
        <w:t>性的</w:t>
      </w:r>
      <w:r>
        <w:rPr>
          <w:rFonts w:ascii="Times New Roman" w:hAnsi="Times New Roman" w:eastAsia="宋体" w:cs="Times New Roman"/>
          <w:color w:val="auto"/>
          <w:highlight w:val="none"/>
        </w:rPr>
        <w:t>实现程度。绩效评价问卷调查对象为</w:t>
      </w:r>
      <w:r>
        <w:rPr>
          <w:rFonts w:hint="eastAsia" w:ascii="Times New Roman" w:hAnsi="Times New Roman" w:eastAsia="宋体" w:cs="Times New Roman"/>
          <w:color w:val="auto"/>
          <w:highlight w:val="none"/>
        </w:rPr>
        <w:t>全民健身场地设施项目</w:t>
      </w:r>
      <w:r>
        <w:rPr>
          <w:rFonts w:ascii="Times New Roman" w:hAnsi="Times New Roman" w:eastAsia="宋体" w:cs="Times New Roman"/>
          <w:color w:val="auto"/>
          <w:highlight w:val="none"/>
        </w:rPr>
        <w:t>受益社会公众，共计发放和收回1</w:t>
      </w:r>
      <w:r>
        <w:rPr>
          <w:rFonts w:hint="eastAsia" w:ascii="Times New Roman" w:hAnsi="Times New Roman" w:eastAsia="宋体" w:cs="Times New Roman"/>
          <w:color w:val="auto"/>
          <w:highlight w:val="none"/>
          <w:lang w:val="en-US" w:eastAsia="zh-CN"/>
        </w:rPr>
        <w:t>17</w:t>
      </w:r>
      <w:r>
        <w:rPr>
          <w:rFonts w:ascii="Times New Roman" w:hAnsi="Times New Roman" w:eastAsia="宋体" w:cs="Times New Roman"/>
          <w:color w:val="auto"/>
          <w:highlight w:val="none"/>
        </w:rPr>
        <w:t>份问卷调查，针对本指标问卷问题为“</w:t>
      </w:r>
      <w:r>
        <w:rPr>
          <w:rFonts w:hint="eastAsia" w:ascii="Times New Roman" w:hAnsi="Times New Roman" w:eastAsia="宋体" w:cs="Times New Roman"/>
          <w:color w:val="auto"/>
          <w:highlight w:val="none"/>
          <w:lang w:val="en-US" w:eastAsia="zh-CN"/>
        </w:rPr>
        <w:t>您认为全民健身场地设施建设项目是否有助于提升群众参与足球、篮球锻炼积极性？</w:t>
      </w:r>
      <w:r>
        <w:rPr>
          <w:rFonts w:ascii="Times New Roman" w:hAnsi="Times New Roman" w:eastAsia="宋体" w:cs="Times New Roman"/>
          <w:color w:val="auto"/>
          <w:highlight w:val="none"/>
        </w:rPr>
        <w:t>”，根据统计结果：选择选项“显著”</w:t>
      </w:r>
      <w:r>
        <w:rPr>
          <w:rFonts w:hint="eastAsia" w:ascii="Times New Roman" w:hAnsi="Times New Roman" w:eastAsia="宋体" w:cs="Times New Roman"/>
          <w:color w:val="auto"/>
          <w:highlight w:val="none"/>
          <w:lang w:val="en-US" w:eastAsia="zh-CN"/>
        </w:rPr>
        <w:t>72</w:t>
      </w:r>
      <w:r>
        <w:rPr>
          <w:rFonts w:ascii="Times New Roman" w:hAnsi="Times New Roman" w:eastAsia="宋体" w:cs="Times New Roman"/>
          <w:color w:val="auto"/>
          <w:highlight w:val="none"/>
        </w:rPr>
        <w:t>人，选择选项“较好”40人，选择选项“一般”3人，选择选项“较差”1人，“无”1人，本指标实现程度=∑样本数（“显著”×1.00+“较好”×0.80+“一般”×0.60+“较差”×0.30+“无”×0.00）/总样本数×100.00%=（</w:t>
      </w:r>
      <w:r>
        <w:rPr>
          <w:rFonts w:hint="eastAsia" w:ascii="Times New Roman" w:hAnsi="Times New Roman" w:eastAsia="宋体" w:cs="Times New Roman"/>
          <w:color w:val="auto"/>
          <w:highlight w:val="none"/>
          <w:lang w:val="en-US" w:eastAsia="zh-CN"/>
        </w:rPr>
        <w:t>72</w:t>
      </w:r>
      <w:r>
        <w:rPr>
          <w:rFonts w:ascii="Times New Roman" w:hAnsi="Times New Roman" w:eastAsia="宋体" w:cs="Times New Roman"/>
          <w:color w:val="auto"/>
          <w:highlight w:val="none"/>
        </w:rPr>
        <w:t>×1.00+40×0.80+3×0.60+1×0.30+1×0.00）/</w:t>
      </w:r>
      <w:r>
        <w:rPr>
          <w:rFonts w:hint="eastAsia" w:ascii="Times New Roman" w:hAnsi="Times New Roman" w:eastAsia="宋体" w:cs="Times New Roman"/>
          <w:color w:val="auto"/>
          <w:highlight w:val="none"/>
          <w:lang w:val="en-US" w:eastAsia="zh-CN"/>
        </w:rPr>
        <w:t>117</w:t>
      </w:r>
      <w:r>
        <w:rPr>
          <w:rFonts w:ascii="Times New Roman" w:hAnsi="Times New Roman" w:eastAsia="宋体" w:cs="Times New Roman"/>
          <w:color w:val="auto"/>
          <w:highlight w:val="none"/>
        </w:rPr>
        <w:t>×100.00%=</w:t>
      </w:r>
      <w:r>
        <w:rPr>
          <w:rFonts w:hint="eastAsia" w:ascii="Times New Roman" w:hAnsi="Times New Roman" w:eastAsia="宋体" w:cs="Times New Roman"/>
          <w:color w:val="auto"/>
          <w:highlight w:val="none"/>
          <w:lang w:val="en-US" w:eastAsia="zh-CN"/>
        </w:rPr>
        <w:t>90.68</w:t>
      </w:r>
      <w:r>
        <w:rPr>
          <w:rFonts w:ascii="Times New Roman" w:hAnsi="Times New Roman" w:eastAsia="宋体" w:cs="Times New Roman"/>
          <w:color w:val="auto"/>
          <w:highlight w:val="none"/>
        </w:rPr>
        <w:t>%，指标完成率大于等于90.00%，基本达成目标。</w:t>
      </w:r>
    </w:p>
    <w:p w14:paraId="610060F2">
      <w:pPr>
        <w:spacing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8</w:t>
      </w:r>
      <w:r>
        <w:rPr>
          <w:rFonts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8</w:t>
      </w:r>
      <w:r>
        <w:rPr>
          <w:rFonts w:ascii="Times New Roman" w:hAnsi="Times New Roman" w:eastAsia="宋体" w:cs="Times New Roman"/>
          <w:color w:val="auto"/>
          <w:highlight w:val="none"/>
        </w:rPr>
        <w:t>.00分。</w:t>
      </w:r>
    </w:p>
    <w:p w14:paraId="12BE49D6">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lang w:val="en-US" w:eastAsia="zh-CN"/>
        </w:rPr>
        <w:t>2</w:t>
      </w:r>
      <w:r>
        <w:rPr>
          <w:rFonts w:ascii="Times New Roman" w:hAnsi="Times New Roman" w:eastAsia="宋体" w:cs="Times New Roman"/>
          <w:b/>
          <w:bCs/>
          <w:color w:val="auto"/>
          <w:highlight w:val="none"/>
        </w:rPr>
        <w:t>）</w:t>
      </w:r>
      <w:r>
        <w:rPr>
          <w:rFonts w:hint="eastAsia" w:ascii="Times New Roman" w:hAnsi="Times New Roman" w:eastAsia="宋体" w:cs="Times New Roman"/>
          <w:b/>
          <w:bCs/>
          <w:color w:val="auto"/>
          <w:highlight w:val="none"/>
        </w:rPr>
        <w:t>D21</w:t>
      </w:r>
      <w:r>
        <w:rPr>
          <w:rFonts w:hint="eastAsia" w:ascii="Times New Roman" w:hAnsi="Times New Roman" w:eastAsia="宋体" w:cs="Times New Roman"/>
          <w:b/>
          <w:bCs/>
          <w:color w:val="auto"/>
          <w:highlight w:val="none"/>
          <w:lang w:eastAsia="zh-CN"/>
        </w:rPr>
        <w:t>项目所在村受益村民满意度</w:t>
      </w:r>
      <w:r>
        <w:rPr>
          <w:rFonts w:hint="eastAsia" w:ascii="Times New Roman" w:hAnsi="Times New Roman" w:eastAsia="宋体" w:cs="Times New Roman"/>
          <w:b/>
          <w:bCs/>
          <w:color w:val="auto"/>
          <w:highlight w:val="none"/>
        </w:rPr>
        <w:t>指标：</w:t>
      </w:r>
    </w:p>
    <w:p w14:paraId="06204DAE">
      <w:pPr>
        <w:keepNext w:val="0"/>
        <w:keepLines w:val="0"/>
        <w:pageBreakBefore w:val="0"/>
        <w:widowControl w:val="0"/>
        <w:kinsoku/>
        <w:wordWrap w:val="0"/>
        <w:overflowPunct/>
        <w:topLinePunct w:val="0"/>
        <w:autoSpaceDE/>
        <w:autoSpaceDN/>
        <w:bidi w:val="0"/>
        <w:adjustRightInd w:val="0"/>
        <w:snapToGrid w:val="0"/>
        <w:spacing w:before="0" w:after="0" w:line="360" w:lineRule="auto"/>
        <w:ind w:firstLine="420"/>
        <w:textAlignment w:val="auto"/>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该效益指标主要采用公众评判法，通过问卷及抽样调查等方式评价</w:t>
      </w:r>
      <w:r>
        <w:rPr>
          <w:rFonts w:hint="eastAsia" w:ascii="Times New Roman" w:hAnsi="Times New Roman" w:eastAsia="宋体" w:cs="Times New Roman"/>
          <w:color w:val="auto"/>
          <w:highlight w:val="none"/>
          <w:lang w:eastAsia="zh-CN"/>
        </w:rPr>
        <w:t>项目所在村受益村民满意度</w:t>
      </w:r>
      <w:r>
        <w:rPr>
          <w:rFonts w:ascii="Times New Roman" w:hAnsi="Times New Roman" w:eastAsia="宋体" w:cs="Times New Roman"/>
          <w:color w:val="auto"/>
          <w:highlight w:val="none"/>
        </w:rPr>
        <w:t>。本次共发放并收回满意度问卷</w:t>
      </w:r>
      <w:r>
        <w:rPr>
          <w:rFonts w:hint="eastAsia" w:ascii="Times New Roman" w:hAnsi="Times New Roman" w:eastAsia="宋体" w:cs="Times New Roman"/>
          <w:color w:val="auto"/>
          <w:highlight w:val="none"/>
          <w:lang w:eastAsia="zh-CN"/>
        </w:rPr>
        <w:t>117份</w:t>
      </w:r>
      <w:r>
        <w:rPr>
          <w:rFonts w:ascii="Times New Roman" w:hAnsi="Times New Roman" w:eastAsia="宋体" w:cs="Times New Roman"/>
          <w:color w:val="auto"/>
          <w:highlight w:val="none"/>
        </w:rPr>
        <w:t>，根据问卷调查分析报告中</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1</w:t>
      </w:r>
      <w:r>
        <w:rPr>
          <w:rFonts w:ascii="Times New Roman" w:hAnsi="Times New Roman" w:eastAsia="宋体" w:cs="Times New Roman"/>
          <w:color w:val="auto"/>
          <w:highlight w:val="none"/>
        </w:rPr>
        <w:t>“您对村里足球场/篮球场的场地质量是否满意？</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90.26</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2</w:t>
      </w:r>
      <w:r>
        <w:rPr>
          <w:rFonts w:hint="eastAsia" w:ascii="Times New Roman" w:hAnsi="Times New Roman" w:eastAsia="宋体" w:cs="Times New Roman"/>
          <w:color w:val="auto"/>
          <w:highlight w:val="none"/>
          <w:lang w:val="en-US" w:eastAsia="zh-CN"/>
        </w:rPr>
        <w:t>“</w:t>
      </w:r>
      <w:r>
        <w:rPr>
          <w:rFonts w:ascii="Times New Roman" w:hAnsi="Times New Roman" w:eastAsia="宋体" w:cs="Times New Roman"/>
          <w:color w:val="auto"/>
          <w:highlight w:val="none"/>
        </w:rPr>
        <w:t>您认为足球场/篮球场的安全性如何？</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91.28</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3</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您觉得场地的开放时间是否合理，能否满足村民全面健身的需求？</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91.62</w:t>
      </w:r>
      <w:r>
        <w:rPr>
          <w:rFonts w:ascii="Times New Roman" w:hAnsi="Times New Roman" w:eastAsia="宋体" w:cs="Times New Roman"/>
          <w:color w:val="auto"/>
          <w:highlight w:val="none"/>
        </w:rPr>
        <w:t>%；</w:t>
      </w:r>
      <w:r>
        <w:rPr>
          <w:rFonts w:ascii="Times New Roman" w:hAnsi="Times New Roman" w:eastAsia="宋体" w:cs="Times New Roman"/>
          <w:color w:val="auto"/>
          <w:sz w:val="21"/>
          <w:szCs w:val="21"/>
          <w:highlight w:val="none"/>
        </w:rPr>
        <w:t>问题4</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您对所在村的足球场/篮球场维护是否满意？</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91.94</w:t>
      </w:r>
      <w:r>
        <w:rPr>
          <w:rFonts w:ascii="Times New Roman" w:hAnsi="Times New Roman" w:eastAsia="宋体" w:cs="Times New Roman"/>
          <w:color w:val="auto"/>
          <w:highlight w:val="none"/>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5</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您认为目前足球场/篮球场数量是否能满足村民需求？</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89.49</w:t>
      </w:r>
      <w:r>
        <w:rPr>
          <w:rFonts w:ascii="Times New Roman" w:hAnsi="Times New Roman" w:eastAsia="宋体" w:cs="Times New Roman"/>
          <w:color w:val="auto"/>
          <w:highlight w:val="none"/>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6</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您认为全民健身场地对您健康水平方面的提升效果如何？</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91.28</w:t>
      </w:r>
      <w:r>
        <w:rPr>
          <w:rFonts w:ascii="Times New Roman" w:hAnsi="Times New Roman" w:eastAsia="宋体" w:cs="Times New Roman"/>
          <w:color w:val="auto"/>
          <w:highlight w:val="none"/>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7</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您认为全民健身场地设施建设项目是否有助于提升群众参与足球、篮球锻炼积极性？</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90.68%</w:t>
      </w:r>
      <w:r>
        <w:rPr>
          <w:rFonts w:ascii="Times New Roman" w:hAnsi="Times New Roman" w:eastAsia="宋体" w:cs="Times New Roman"/>
          <w:color w:val="auto"/>
          <w:highlight w:val="none"/>
        </w:rPr>
        <w:t>；</w:t>
      </w:r>
      <w:r>
        <w:rPr>
          <w:rFonts w:ascii="Times New Roman" w:hAnsi="Times New Roman" w:eastAsia="宋体" w:cs="Times New Roman"/>
          <w:color w:val="auto"/>
          <w:sz w:val="21"/>
          <w:szCs w:val="21"/>
          <w:highlight w:val="none"/>
        </w:rPr>
        <w:t>问题</w:t>
      </w:r>
      <w:r>
        <w:rPr>
          <w:rFonts w:hint="eastAsia" w:ascii="Times New Roman" w:hAnsi="Times New Roman" w:eastAsia="宋体" w:cs="Times New Roman"/>
          <w:color w:val="auto"/>
          <w:sz w:val="21"/>
          <w:szCs w:val="21"/>
          <w:highlight w:val="none"/>
          <w:lang w:val="en-US" w:eastAsia="zh-CN"/>
        </w:rPr>
        <w:t>8</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highlight w:val="none"/>
        </w:rPr>
        <w:t>您对村里足球场/篮球场建设项目的整体满意度是？”</w:t>
      </w:r>
      <w:r>
        <w:rPr>
          <w:rFonts w:ascii="Times New Roman" w:hAnsi="Times New Roman" w:eastAsia="宋体" w:cs="Times New Roman"/>
          <w:color w:val="auto"/>
          <w:sz w:val="21"/>
          <w:szCs w:val="21"/>
          <w:highlight w:val="none"/>
        </w:rPr>
        <w:t>满意度为</w:t>
      </w:r>
      <w:r>
        <w:rPr>
          <w:rFonts w:hint="eastAsia" w:ascii="Times New Roman" w:hAnsi="Times New Roman" w:eastAsia="宋体" w:cs="Times New Roman"/>
          <w:color w:val="auto"/>
          <w:highlight w:val="none"/>
          <w:lang w:val="en-US" w:eastAsia="zh-CN"/>
        </w:rPr>
        <w:t>89.83</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ascii="Times New Roman" w:hAnsi="Times New Roman" w:eastAsia="宋体" w:cs="Times New Roman"/>
          <w:color w:val="auto"/>
          <w:sz w:val="21"/>
          <w:szCs w:val="21"/>
          <w:highlight w:val="none"/>
        </w:rPr>
        <w:t>综上结果通过加权平均计算得出，</w:t>
      </w:r>
      <w:r>
        <w:rPr>
          <w:rFonts w:ascii="Times New Roman" w:hAnsi="Times New Roman" w:eastAsia="宋体" w:cs="Times New Roman"/>
          <w:color w:val="auto"/>
          <w:highlight w:val="none"/>
        </w:rPr>
        <w:t>综合满意度=（</w:t>
      </w:r>
      <w:r>
        <w:rPr>
          <w:rFonts w:hint="eastAsia" w:ascii="Times New Roman" w:hAnsi="Times New Roman" w:eastAsia="宋体" w:cs="Times New Roman"/>
          <w:color w:val="auto"/>
          <w:highlight w:val="none"/>
          <w:lang w:val="en-US" w:eastAsia="zh-CN"/>
        </w:rPr>
        <w:t>90.26</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+91.28</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+91.62</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+91.94</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+89.49</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+91.28</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+90.68</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+89.83</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/8</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90.80</w:t>
      </w:r>
      <w:r>
        <w:rPr>
          <w:rFonts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val="en-US" w:eastAsia="zh-CN"/>
        </w:rPr>
        <w:t>按照评分标准，得满分</w:t>
      </w:r>
      <w:r>
        <w:rPr>
          <w:rFonts w:ascii="Times New Roman" w:hAnsi="Times New Roman" w:eastAsia="宋体" w:cs="Times New Roman"/>
          <w:color w:val="auto"/>
          <w:highlight w:val="none"/>
        </w:rPr>
        <w:t>。</w:t>
      </w:r>
    </w:p>
    <w:p w14:paraId="5A52F1AB">
      <w:pPr>
        <w:keepNext w:val="0"/>
        <w:keepLines w:val="0"/>
        <w:pageBreakBefore w:val="0"/>
        <w:widowControl w:val="0"/>
        <w:kinsoku/>
        <w:wordWrap w:val="0"/>
        <w:overflowPunct/>
        <w:topLinePunct w:val="0"/>
        <w:autoSpaceDE/>
        <w:autoSpaceDN/>
        <w:bidi w:val="0"/>
        <w:adjustRightInd w:val="0"/>
        <w:snapToGrid w:val="0"/>
        <w:spacing w:before="0" w:after="0" w:line="360" w:lineRule="auto"/>
        <w:ind w:firstLine="420"/>
        <w:textAlignment w:val="auto"/>
        <w:rPr>
          <w:rFonts w:ascii="Times New Roman" w:hAnsi="Times New Roman" w:eastAsia="宋体" w:cs="Times New Roman"/>
          <w:color w:val="auto"/>
          <w:highlight w:val="none"/>
        </w:rPr>
      </w:pPr>
      <w:r>
        <w:rPr>
          <w:rFonts w:ascii="Times New Roman" w:hAnsi="Times New Roman" w:eastAsia="宋体" w:cs="Times New Roman"/>
          <w:color w:val="auto"/>
          <w:highlight w:val="none"/>
        </w:rPr>
        <w:t>该指标满分为</w:t>
      </w:r>
      <w:r>
        <w:rPr>
          <w:rFonts w:hint="eastAsia" w:ascii="Times New Roman" w:hAnsi="Times New Roman" w:eastAsia="宋体" w:cs="Times New Roman"/>
          <w:color w:val="auto"/>
          <w:highlight w:val="none"/>
          <w:lang w:val="en-US" w:eastAsia="zh-CN"/>
        </w:rPr>
        <w:t>12</w:t>
      </w:r>
      <w:r>
        <w:rPr>
          <w:rFonts w:ascii="Times New Roman" w:hAnsi="Times New Roman" w:eastAsia="宋体" w:cs="Times New Roman"/>
          <w:color w:val="auto"/>
          <w:highlight w:val="none"/>
        </w:rPr>
        <w:t>.00分，根据评分标准得</w:t>
      </w:r>
      <w:r>
        <w:rPr>
          <w:rFonts w:hint="eastAsia" w:ascii="Times New Roman" w:hAnsi="Times New Roman" w:eastAsia="宋体" w:cs="Times New Roman"/>
          <w:color w:val="auto"/>
          <w:highlight w:val="none"/>
          <w:lang w:val="en-US" w:eastAsia="zh-CN"/>
        </w:rPr>
        <w:t>12</w:t>
      </w:r>
      <w:r>
        <w:rPr>
          <w:rFonts w:ascii="Times New Roman" w:hAnsi="Times New Roman" w:eastAsia="宋体" w:cs="Times New Roman"/>
          <w:color w:val="auto"/>
          <w:highlight w:val="none"/>
        </w:rPr>
        <w:t>.00分。</w:t>
      </w:r>
    </w:p>
    <w:p w14:paraId="1018A7D5">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102" w:name="_Toc30593"/>
      <w:bookmarkStart w:id="103" w:name="_Toc30458"/>
      <w:bookmarkStart w:id="104" w:name="_Toc9155"/>
      <w:r>
        <w:rPr>
          <w:rFonts w:hint="eastAsia" w:ascii="Times New Roman" w:hAnsi="Times New Roman" w:eastAsia="宋体" w:cs="Times New Roman"/>
          <w:color w:val="auto"/>
          <w:highlight w:val="none"/>
        </w:rPr>
        <w:t>六</w:t>
      </w:r>
      <w:r>
        <w:rPr>
          <w:rFonts w:ascii="Times New Roman" w:hAnsi="Times New Roman" w:eastAsia="宋体" w:cs="Times New Roman"/>
          <w:color w:val="auto"/>
          <w:highlight w:val="none"/>
        </w:rPr>
        <w:t>、主要经验及做法、存在的问题及原因分析</w:t>
      </w:r>
      <w:bookmarkEnd w:id="102"/>
      <w:bookmarkEnd w:id="103"/>
      <w:bookmarkEnd w:id="104"/>
    </w:p>
    <w:p w14:paraId="1C35CF84">
      <w:pPr>
        <w:pStyle w:val="5"/>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105" w:name="_Toc13969"/>
      <w:bookmarkStart w:id="106" w:name="_Toc6782"/>
      <w:bookmarkStart w:id="107" w:name="_Toc15518"/>
      <w:bookmarkStart w:id="108" w:name="_Toc16974"/>
      <w:bookmarkStart w:id="109" w:name="_Toc14662"/>
      <w:r>
        <w:rPr>
          <w:rFonts w:ascii="Times New Roman" w:hAnsi="Times New Roman" w:eastAsia="宋体" w:cs="Times New Roman"/>
          <w:color w:val="auto"/>
          <w:highlight w:val="none"/>
        </w:rPr>
        <w:t>（一）主要经验及做法</w:t>
      </w:r>
      <w:bookmarkEnd w:id="105"/>
      <w:bookmarkEnd w:id="106"/>
      <w:bookmarkEnd w:id="107"/>
      <w:bookmarkEnd w:id="108"/>
      <w:bookmarkEnd w:id="109"/>
    </w:p>
    <w:p w14:paraId="63EACD7A">
      <w:pPr>
        <w:pageBreakBefore w:val="0"/>
        <w:kinsoku/>
        <w:wordWrap/>
        <w:overflowPunct/>
        <w:topLinePunct w:val="0"/>
        <w:autoSpaceDE/>
        <w:autoSpaceDN/>
        <w:bidi w:val="0"/>
        <w:snapToGrid w:val="0"/>
        <w:spacing w:before="0" w:after="0" w:line="360" w:lineRule="auto"/>
        <w:outlineLvl w:val="9"/>
        <w:rPr>
          <w:rFonts w:hint="eastAsia" w:ascii="Times New Roman" w:hAnsi="Times New Roman" w:eastAsia="宋体" w:cs="Times New Roman"/>
          <w:b w:val="0"/>
          <w:bCs w:val="0"/>
          <w:color w:val="auto"/>
          <w:kern w:val="2"/>
          <w:sz w:val="21"/>
          <w:szCs w:val="21"/>
          <w:highlight w:val="none"/>
          <w:lang w:val="en-US" w:eastAsia="zh-CN" w:bidi="ar-SA"/>
        </w:rPr>
      </w:pPr>
      <w:bookmarkStart w:id="110" w:name="_Toc22084"/>
      <w:bookmarkStart w:id="111" w:name="_Toc23517"/>
      <w:bookmarkStart w:id="112" w:name="_Toc370"/>
      <w:bookmarkStart w:id="113" w:name="_Toc4015"/>
      <w:bookmarkStart w:id="114" w:name="_Toc13318"/>
      <w:r>
        <w:rPr>
          <w:rFonts w:hint="eastAsia" w:ascii="Times New Roman" w:hAnsi="Times New Roman" w:eastAsia="宋体" w:cs="Times New Roman"/>
          <w:b w:val="0"/>
          <w:bCs w:val="0"/>
          <w:color w:val="auto"/>
          <w:kern w:val="2"/>
          <w:sz w:val="21"/>
          <w:szCs w:val="21"/>
          <w:highlight w:val="none"/>
          <w:lang w:val="en-US" w:eastAsia="zh-CN" w:bidi="ar-SA"/>
        </w:rPr>
        <w:t>在该项目实施过程中，项目主管单位积极落实《关于提前下达2024年中央集中彩票公益金支持体育事业专项资金预算的通知》（伊州财教〔2023〕52号）文件要求，组织实施伊宁县吉里于孜镇上肉孜买提于孜村、阿热吾斯塘镇托万克村全民健身场地设施的建设，确保中央集中彩票公益金支持体育事业专项资金用到体育公益事业，满足人民群众日益增长的健身需求，改善人民生活品质，推进体育强国建设。</w:t>
      </w:r>
      <w:bookmarkEnd w:id="110"/>
      <w:bookmarkEnd w:id="111"/>
    </w:p>
    <w:p w14:paraId="12FB75D5">
      <w:pPr>
        <w:pStyle w:val="9"/>
        <w:numPr>
          <w:ilvl w:val="0"/>
          <w:numId w:val="0"/>
        </w:numPr>
        <w:spacing w:line="360" w:lineRule="auto"/>
        <w:ind w:firstLine="482" w:firstLineChars="200"/>
        <w:rPr>
          <w:rFonts w:hint="eastAsia" w:ascii="Times New Roman" w:hAnsi="Times New Roman" w:eastAsia="宋体" w:cs="Times New Roman"/>
          <w:b/>
          <w:bCs/>
          <w:color w:val="auto"/>
          <w:kern w:val="2"/>
          <w:sz w:val="21"/>
          <w:szCs w:val="21"/>
          <w:highlight w:val="none"/>
          <w:lang w:val="en-US" w:eastAsia="zh-CN" w:bidi="ar-SA"/>
        </w:rPr>
      </w:pPr>
      <w:bookmarkStart w:id="115" w:name="_Toc1453"/>
      <w:bookmarkStart w:id="116" w:name="_Toc22279"/>
      <w:r>
        <w:rPr>
          <w:rFonts w:ascii="Times New Roman" w:hAnsi="Times New Roman" w:eastAsia="宋体" w:cs="Times New Roman"/>
          <w:b/>
          <w:bCs/>
          <w:color w:val="auto"/>
          <w:highlight w:val="none"/>
        </w:rPr>
        <w:t>（二）存在的问题</w:t>
      </w:r>
      <w:bookmarkEnd w:id="112"/>
      <w:bookmarkEnd w:id="113"/>
      <w:bookmarkEnd w:id="114"/>
      <w:bookmarkEnd w:id="115"/>
      <w:bookmarkEnd w:id="116"/>
      <w:bookmarkStart w:id="117" w:name="_Toc13947"/>
      <w:bookmarkStart w:id="118" w:name="_Toc15177"/>
      <w:bookmarkStart w:id="119" w:name="_Toc8112"/>
    </w:p>
    <w:p w14:paraId="58C99367">
      <w:pPr>
        <w:pStyle w:val="9"/>
        <w:numPr>
          <w:ilvl w:val="0"/>
          <w:numId w:val="0"/>
        </w:numPr>
        <w:spacing w:line="360" w:lineRule="auto"/>
        <w:ind w:firstLine="422" w:firstLineChars="200"/>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1.财务会计核算不够规范</w:t>
      </w:r>
    </w:p>
    <w:p w14:paraId="54EE4B80">
      <w:pPr>
        <w:pStyle w:val="9"/>
        <w:numPr>
          <w:ilvl w:val="0"/>
          <w:numId w:val="0"/>
        </w:numPr>
        <w:spacing w:line="360" w:lineRule="auto"/>
        <w:ind w:firstLine="420" w:firstLineChars="200"/>
        <w:rPr>
          <w:rFonts w:hint="default" w:ascii="Times New Roman" w:hAnsi="Times New Roman" w:eastAsia="宋体"/>
          <w:color w:val="auto"/>
          <w:sz w:val="21"/>
          <w:szCs w:val="21"/>
          <w:highlight w:val="none"/>
          <w:lang w:val="en-US" w:eastAsia="zh-CN"/>
        </w:rPr>
      </w:pPr>
      <w:r>
        <w:rPr>
          <w:rFonts w:hint="eastAsia" w:ascii="Times New Roman" w:hAnsi="Times New Roman" w:eastAsia="宋体" w:cs="Times New Roman"/>
          <w:color w:val="auto"/>
          <w:sz w:val="21"/>
          <w:szCs w:val="21"/>
          <w:highlight w:val="none"/>
        </w:rPr>
        <w:t>经查阅项目记账凭证，该项目将发生的工程款费用计入商品和服务费用支出，未按照《政府会计制度》规定通过“在建工程”科目归集项目建设支出并于资产完工后转入“固定资产”科目。</w:t>
      </w:r>
    </w:p>
    <w:p w14:paraId="3CCA4B08">
      <w:pPr>
        <w:pStyle w:val="9"/>
        <w:numPr>
          <w:ilvl w:val="0"/>
          <w:numId w:val="0"/>
        </w:numPr>
        <w:spacing w:line="360" w:lineRule="auto"/>
        <w:ind w:firstLine="422" w:firstLineChars="200"/>
        <w:rPr>
          <w:rFonts w:hint="eastAsia"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2.</w:t>
      </w:r>
      <w:r>
        <w:rPr>
          <w:rFonts w:hint="eastAsia" w:ascii="Times New Roman" w:hAnsi="Times New Roman" w:eastAsia="宋体"/>
          <w:b/>
          <w:bCs/>
          <w:color w:val="auto"/>
          <w:sz w:val="21"/>
          <w:szCs w:val="21"/>
          <w:highlight w:val="none"/>
          <w:lang w:val="en-US" w:eastAsia="zh-CN"/>
        </w:rPr>
        <w:t>项目合同管理不规范</w:t>
      </w:r>
    </w:p>
    <w:p w14:paraId="6AAB028A">
      <w:pPr>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default" w:eastAsia="宋体" w:cs="Times New Roman"/>
          <w:color w:val="auto"/>
          <w:sz w:val="21"/>
          <w:szCs w:val="21"/>
          <w:highlight w:val="none"/>
          <w:lang w:val="en-US" w:eastAsia="zh-CN"/>
        </w:rPr>
        <w:t>一是，</w:t>
      </w:r>
      <w:r>
        <w:rPr>
          <w:rFonts w:hint="default" w:ascii="Times New Roman" w:hAnsi="Times New Roman" w:eastAsia="宋体" w:cs="Times New Roman"/>
          <w:b w:val="0"/>
          <w:bCs w:val="0"/>
          <w:color w:val="auto"/>
          <w:kern w:val="2"/>
          <w:sz w:val="21"/>
          <w:szCs w:val="21"/>
          <w:highlight w:val="none"/>
          <w:lang w:val="en-US" w:eastAsia="zh-CN" w:bidi="ar-SA"/>
        </w:rPr>
        <w:t>项目未按合同约定支付款项</w:t>
      </w:r>
      <w:r>
        <w:rPr>
          <w:rFonts w:hint="default"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color w:val="auto"/>
          <w:sz w:val="21"/>
          <w:szCs w:val="21"/>
          <w:highlight w:val="none"/>
          <w:lang w:val="en-US" w:eastAsia="zh-CN"/>
        </w:rPr>
        <w:t>该项目于</w:t>
      </w:r>
      <w:r>
        <w:rPr>
          <w:rFonts w:hint="eastAsia" w:ascii="Times New Roman" w:hAnsi="Times New Roman" w:eastAsia="宋体" w:cs="Times New Roman"/>
          <w:color w:val="auto"/>
          <w:sz w:val="21"/>
          <w:szCs w:val="21"/>
          <w:highlight w:val="none"/>
          <w:lang w:val="en-US" w:eastAsia="zh-CN"/>
        </w:rPr>
        <w:t>2024年9月21日通过</w:t>
      </w:r>
      <w:r>
        <w:rPr>
          <w:rFonts w:hint="default" w:ascii="Times New Roman" w:hAnsi="Times New Roman" w:eastAsia="宋体" w:cs="Times New Roman"/>
          <w:color w:val="auto"/>
          <w:sz w:val="21"/>
          <w:szCs w:val="21"/>
          <w:highlight w:val="none"/>
        </w:rPr>
        <w:t>竣工</w:t>
      </w:r>
      <w:r>
        <w:rPr>
          <w:rFonts w:hint="eastAsia" w:ascii="Times New Roman" w:hAnsi="Times New Roman" w:eastAsia="宋体" w:cs="Times New Roman"/>
          <w:color w:val="auto"/>
          <w:sz w:val="21"/>
          <w:szCs w:val="21"/>
          <w:highlight w:val="none"/>
          <w:lang w:val="en-US" w:eastAsia="zh-CN"/>
        </w:rPr>
        <w:t>结算审核，结算审核金额为99.15万元，</w:t>
      </w:r>
      <w:r>
        <w:rPr>
          <w:rFonts w:hint="default" w:ascii="Times New Roman" w:hAnsi="Times New Roman" w:eastAsia="宋体" w:cs="Times New Roman"/>
          <w:color w:val="auto"/>
          <w:sz w:val="21"/>
          <w:szCs w:val="21"/>
          <w:highlight w:val="none"/>
          <w:lang w:val="en-US" w:eastAsia="zh-CN"/>
        </w:rPr>
        <w:t>截至2024年1</w:t>
      </w: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月30日，项目实施单位已完成支付施工费用</w:t>
      </w:r>
      <w:r>
        <w:rPr>
          <w:rFonts w:hint="eastAsia" w:ascii="Times New Roman" w:hAnsi="Times New Roman" w:eastAsia="宋体" w:cs="Times New Roman"/>
          <w:color w:val="auto"/>
          <w:sz w:val="21"/>
          <w:szCs w:val="21"/>
          <w:highlight w:val="none"/>
          <w:lang w:val="en-US" w:eastAsia="zh-CN"/>
        </w:rPr>
        <w:t>99.15</w:t>
      </w:r>
      <w:r>
        <w:rPr>
          <w:rFonts w:hint="default" w:ascii="Times New Roman" w:hAnsi="Times New Roman" w:eastAsia="宋体" w:cs="Times New Roman"/>
          <w:color w:val="auto"/>
          <w:sz w:val="21"/>
          <w:szCs w:val="21"/>
          <w:highlight w:val="none"/>
          <w:lang w:val="en-US" w:eastAsia="zh-CN"/>
        </w:rPr>
        <w:t>万元，</w:t>
      </w:r>
      <w:r>
        <w:rPr>
          <w:rFonts w:hint="eastAsia" w:eastAsia="宋体" w:cs="Times New Roman"/>
          <w:color w:val="auto"/>
          <w:sz w:val="21"/>
          <w:szCs w:val="21"/>
          <w:highlight w:val="none"/>
          <w:lang w:val="en-US" w:eastAsia="zh-CN"/>
        </w:rPr>
        <w:t>合同实际执行进度为100.00%，与</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施工合同</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关于付款周期的约定：“合同签订之日起</w:t>
      </w:r>
      <w:r>
        <w:rPr>
          <w:rFonts w:hint="eastAsia" w:ascii="Times New Roman" w:hAnsi="Times New Roman" w:eastAsia="宋体" w:cs="Times New Roman"/>
          <w:color w:val="auto"/>
          <w:sz w:val="21"/>
          <w:szCs w:val="21"/>
          <w:highlight w:val="none"/>
          <w:lang w:val="en-US" w:eastAsia="zh-CN"/>
        </w:rPr>
        <w:t>7</w:t>
      </w:r>
      <w:r>
        <w:rPr>
          <w:rFonts w:hint="default" w:ascii="Times New Roman" w:hAnsi="Times New Roman" w:eastAsia="宋体" w:cs="Times New Roman"/>
          <w:color w:val="auto"/>
          <w:sz w:val="21"/>
          <w:szCs w:val="21"/>
          <w:highlight w:val="none"/>
          <w:lang w:val="en-US" w:eastAsia="zh-CN"/>
        </w:rPr>
        <w:t>日内，甲方向乙方支付合同总款的30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工程施工进度完成至50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%时，甲方向乙方支付合同总款的20</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工程竣工并经甲方验收合格后，甲方向乙方支付合同总款的47</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剩余3</w:t>
      </w:r>
      <w:r>
        <w:rPr>
          <w:rFonts w:hint="eastAsia" w:ascii="Times New Roman" w:hAnsi="Times New Roman" w:eastAsia="宋体" w:cs="Times New Roman"/>
          <w:color w:val="auto"/>
          <w:sz w:val="21"/>
          <w:szCs w:val="21"/>
          <w:highlight w:val="none"/>
          <w:lang w:val="en-US" w:eastAsia="zh-CN"/>
        </w:rPr>
        <w:t>.00</w:t>
      </w:r>
      <w:r>
        <w:rPr>
          <w:rFonts w:hint="default" w:ascii="Times New Roman" w:hAnsi="Times New Roman" w:eastAsia="宋体" w:cs="Times New Roman"/>
          <w:color w:val="auto"/>
          <w:sz w:val="21"/>
          <w:szCs w:val="21"/>
          <w:highlight w:val="none"/>
          <w:lang w:val="en-US" w:eastAsia="zh-CN"/>
        </w:rPr>
        <w:t>%为工程质量保证金，自工程验收合格之日起2年的工程质量保质期限届满，无任何质量问题时，由甲方一次性向乙方付清。”</w:t>
      </w:r>
      <w:r>
        <w:rPr>
          <w:rFonts w:hint="eastAsia" w:eastAsia="宋体" w:cs="Times New Roman"/>
          <w:color w:val="auto"/>
          <w:sz w:val="21"/>
          <w:szCs w:val="21"/>
          <w:highlight w:val="none"/>
          <w:lang w:val="en-US" w:eastAsia="zh-CN"/>
        </w:rPr>
        <w:t>不符</w:t>
      </w:r>
      <w:r>
        <w:rPr>
          <w:rFonts w:hint="eastAsia" w:ascii="Times New Roman" w:hAnsi="Times New Roman" w:eastAsia="宋体" w:cs="Times New Roman"/>
          <w:color w:val="auto"/>
          <w:sz w:val="21"/>
          <w:szCs w:val="21"/>
          <w:highlight w:val="none"/>
          <w:lang w:val="en-US" w:eastAsia="zh-CN"/>
        </w:rPr>
        <w:t>。</w:t>
      </w:r>
    </w:p>
    <w:p w14:paraId="6C08CFBD">
      <w:pPr>
        <w:numPr>
          <w:ilvl w:val="0"/>
          <w:numId w:val="0"/>
        </w:numPr>
        <w:spacing w:line="360" w:lineRule="auto"/>
        <w:ind w:firstLine="420" w:firstLineChars="20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二是</w:t>
      </w:r>
      <w:r>
        <w:rPr>
          <w:rFonts w:hint="eastAsia" w:eastAsia="宋体" w:cs="Times New Roman"/>
          <w:color w:val="auto"/>
          <w:sz w:val="21"/>
          <w:szCs w:val="21"/>
          <w:highlight w:val="none"/>
          <w:lang w:val="en-US" w:eastAsia="zh-CN"/>
        </w:rPr>
        <w:t>，</w:t>
      </w:r>
      <w:r>
        <w:rPr>
          <w:rFonts w:hint="eastAsia" w:ascii="Times New Roman" w:hAnsi="Times New Roman" w:eastAsia="宋体" w:cs="Times New Roman"/>
          <w:b w:val="0"/>
          <w:bCs w:val="0"/>
          <w:color w:val="auto"/>
          <w:kern w:val="2"/>
          <w:sz w:val="21"/>
          <w:szCs w:val="21"/>
          <w:highlight w:val="none"/>
          <w:lang w:val="en-US" w:eastAsia="zh-CN" w:bidi="ar-SA"/>
        </w:rPr>
        <w:t>根据</w:t>
      </w:r>
      <w:r>
        <w:rPr>
          <w:rFonts w:hint="eastAsia" w:ascii="Times New Roman" w:hAnsi="Times New Roman" w:eastAsia="宋体" w:cs="Times New Roman"/>
          <w:color w:val="auto"/>
          <w:kern w:val="2"/>
          <w:sz w:val="21"/>
          <w:szCs w:val="21"/>
          <w:highlight w:val="none"/>
          <w:lang w:val="en-US" w:eastAsia="zh-CN" w:bidi="ar-SA"/>
        </w:rPr>
        <w:t>伊宁县文化体育广播电视和旅游局提供的</w:t>
      </w:r>
      <w:r>
        <w:rPr>
          <w:rFonts w:hint="eastAsia" w:ascii="Times New Roman" w:hAnsi="Times New Roman" w:eastAsia="宋体" w:cs="Times New Roman"/>
          <w:b w:val="0"/>
          <w:bCs w:val="0"/>
          <w:color w:val="auto"/>
          <w:kern w:val="2"/>
          <w:sz w:val="21"/>
          <w:szCs w:val="21"/>
          <w:highlight w:val="none"/>
          <w:lang w:val="en-US" w:eastAsia="zh-CN" w:bidi="ar-SA"/>
        </w:rPr>
        <w:t>《情况说明》</w:t>
      </w:r>
      <w:r>
        <w:rPr>
          <w:rFonts w:hint="eastAsia" w:eastAsia="宋体" w:cs="Times New Roman"/>
          <w:b w:val="0"/>
          <w:bCs w:val="0"/>
          <w:color w:val="auto"/>
          <w:kern w:val="2"/>
          <w:sz w:val="21"/>
          <w:szCs w:val="21"/>
          <w:highlight w:val="none"/>
          <w:lang w:val="en-US" w:eastAsia="zh-CN" w:bidi="ar-SA"/>
        </w:rPr>
        <w:t>可知，</w:t>
      </w:r>
      <w:r>
        <w:rPr>
          <w:rFonts w:hint="eastAsia" w:ascii="Times New Roman" w:hAnsi="Times New Roman" w:eastAsia="宋体" w:cs="Times New Roman"/>
          <w:color w:val="auto"/>
          <w:sz w:val="21"/>
          <w:szCs w:val="21"/>
          <w:highlight w:val="none"/>
          <w:lang w:val="en-US" w:eastAsia="zh-CN"/>
        </w:rPr>
        <w:t>设计、监理、审计结算单位</w:t>
      </w:r>
      <w:r>
        <w:rPr>
          <w:rFonts w:hint="eastAsia" w:eastAsia="宋体" w:cs="Times New Roman"/>
          <w:color w:val="auto"/>
          <w:sz w:val="21"/>
          <w:szCs w:val="21"/>
          <w:highlight w:val="none"/>
          <w:lang w:val="en-US" w:eastAsia="zh-CN"/>
        </w:rPr>
        <w:t>实际为</w:t>
      </w:r>
      <w:r>
        <w:rPr>
          <w:rFonts w:ascii="Times New Roman" w:hAnsi="Times New Roman" w:eastAsia="宋体" w:cs="Times New Roman"/>
          <w:color w:val="auto"/>
          <w:sz w:val="21"/>
          <w:szCs w:val="21"/>
          <w:highlight w:val="none"/>
        </w:rPr>
        <w:t>项目实施单位</w:t>
      </w:r>
      <w:r>
        <w:rPr>
          <w:rFonts w:hint="eastAsia" w:eastAsia="宋体" w:cs="Times New Roman"/>
          <w:color w:val="auto"/>
          <w:sz w:val="21"/>
          <w:szCs w:val="21"/>
          <w:highlight w:val="none"/>
          <w:lang w:val="en-US" w:eastAsia="zh-CN"/>
        </w:rPr>
        <w:t>无偿提供服务</w:t>
      </w:r>
      <w:r>
        <w:rPr>
          <w:rFonts w:hint="eastAsia" w:ascii="Times New Roman" w:hAnsi="Times New Roman" w:eastAsia="宋体" w:cs="Times New Roman"/>
          <w:color w:val="auto"/>
          <w:sz w:val="21"/>
          <w:szCs w:val="21"/>
          <w:highlight w:val="none"/>
          <w:lang w:val="en-US" w:eastAsia="zh-CN"/>
        </w:rPr>
        <w:t>，</w:t>
      </w:r>
      <w:r>
        <w:rPr>
          <w:rFonts w:hint="eastAsia" w:eastAsia="宋体" w:cs="Times New Roman"/>
          <w:color w:val="auto"/>
          <w:sz w:val="21"/>
          <w:szCs w:val="21"/>
          <w:highlight w:val="none"/>
          <w:lang w:val="en-US" w:eastAsia="zh-CN"/>
        </w:rPr>
        <w:t>但</w:t>
      </w:r>
      <w:r>
        <w:rPr>
          <w:rFonts w:hint="eastAsia" w:ascii="Times New Roman" w:hAnsi="Times New Roman" w:eastAsia="宋体" w:cs="Times New Roman"/>
          <w:b w:val="0"/>
          <w:bCs w:val="0"/>
          <w:color w:val="auto"/>
          <w:kern w:val="2"/>
          <w:sz w:val="21"/>
          <w:szCs w:val="21"/>
          <w:highlight w:val="none"/>
          <w:lang w:val="en-US" w:eastAsia="zh-CN" w:bidi="ar-SA"/>
        </w:rPr>
        <w:t>缺失有法律效力的</w:t>
      </w:r>
      <w:r>
        <w:rPr>
          <w:rFonts w:hint="eastAsia" w:eastAsia="宋体" w:cs="Times New Roman"/>
          <w:b w:val="0"/>
          <w:bCs w:val="0"/>
          <w:color w:val="auto"/>
          <w:kern w:val="2"/>
          <w:sz w:val="21"/>
          <w:szCs w:val="21"/>
          <w:highlight w:val="none"/>
          <w:lang w:val="en-US" w:eastAsia="zh-CN" w:bidi="ar-SA"/>
        </w:rPr>
        <w:t>业务</w:t>
      </w:r>
      <w:r>
        <w:rPr>
          <w:rFonts w:hint="eastAsia" w:ascii="Times New Roman" w:hAnsi="Times New Roman" w:eastAsia="宋体" w:cs="Times New Roman"/>
          <w:color w:val="auto"/>
          <w:szCs w:val="21"/>
          <w:highlight w:val="none"/>
          <w:lang w:val="en-US" w:eastAsia="zh-CN"/>
        </w:rPr>
        <w:t>委托</w:t>
      </w:r>
      <w:r>
        <w:rPr>
          <w:rFonts w:hint="eastAsia" w:eastAsia="宋体" w:cs="Times New Roman"/>
          <w:color w:val="auto"/>
          <w:szCs w:val="21"/>
          <w:highlight w:val="none"/>
          <w:lang w:val="en-US" w:eastAsia="zh-CN"/>
        </w:rPr>
        <w:t>协议</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未</w:t>
      </w:r>
      <w:r>
        <w:rPr>
          <w:rFonts w:hint="eastAsia" w:eastAsia="宋体" w:cs="Times New Roman"/>
          <w:color w:val="auto"/>
          <w:sz w:val="21"/>
          <w:szCs w:val="21"/>
          <w:highlight w:val="none"/>
          <w:lang w:val="en-US" w:eastAsia="zh-CN"/>
        </w:rPr>
        <w:t>能</w:t>
      </w:r>
      <w:r>
        <w:rPr>
          <w:rFonts w:hint="eastAsia" w:ascii="Times New Roman" w:hAnsi="Times New Roman" w:eastAsia="宋体" w:cs="Times New Roman"/>
          <w:color w:val="auto"/>
          <w:sz w:val="21"/>
          <w:szCs w:val="21"/>
          <w:highlight w:val="none"/>
          <w:lang w:val="en-US" w:eastAsia="zh-CN"/>
        </w:rPr>
        <w:t>对项目</w:t>
      </w:r>
      <w:r>
        <w:rPr>
          <w:rFonts w:ascii="Times New Roman" w:hAnsi="Times New Roman" w:eastAsia="宋体" w:cs="Times New Roman"/>
          <w:color w:val="auto"/>
          <w:sz w:val="21"/>
          <w:szCs w:val="21"/>
          <w:highlight w:val="none"/>
        </w:rPr>
        <w:t>履约责任、服务标准、交付要求及争议解决方式等核心事项形成有效约束。</w:t>
      </w:r>
    </w:p>
    <w:p w14:paraId="480CE4E6">
      <w:pPr>
        <w:pStyle w:val="9"/>
        <w:numPr>
          <w:ilvl w:val="0"/>
          <w:numId w:val="0"/>
        </w:numPr>
        <w:spacing w:line="360" w:lineRule="auto"/>
        <w:ind w:left="0" w:leftChars="0" w:firstLine="422" w:firstLineChars="200"/>
        <w:rPr>
          <w:rFonts w:hint="eastAsia"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3.</w:t>
      </w:r>
      <w:r>
        <w:rPr>
          <w:rFonts w:hint="eastAsia" w:ascii="Times New Roman" w:hAnsi="Times New Roman" w:eastAsia="宋体"/>
          <w:b/>
          <w:bCs/>
          <w:color w:val="auto"/>
          <w:sz w:val="21"/>
          <w:szCs w:val="21"/>
          <w:highlight w:val="none"/>
          <w:lang w:val="en-US" w:eastAsia="zh-CN"/>
        </w:rPr>
        <w:t>项目实施过程管理不到位，未及时办理竣工结算</w:t>
      </w:r>
    </w:p>
    <w:p w14:paraId="2B380D82">
      <w:pPr>
        <w:numPr>
          <w:ilvl w:val="-1"/>
          <w:numId w:val="0"/>
        </w:numPr>
        <w:spacing w:line="360" w:lineRule="auto"/>
        <w:ind w:firstLine="420" w:firstLineChars="20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一是</w:t>
      </w:r>
      <w:r>
        <w:rPr>
          <w:rFonts w:hint="eastAsia" w:eastAsia="宋体" w:cs="Times New Roman"/>
          <w:color w:val="auto"/>
          <w:sz w:val="21"/>
          <w:szCs w:val="21"/>
          <w:highlight w:val="none"/>
          <w:lang w:val="en-US" w:eastAsia="zh-CN"/>
        </w:rPr>
        <w:t>，项目提供可研报告的投资预算编制内容不完整。</w:t>
      </w:r>
      <w:r>
        <w:rPr>
          <w:rFonts w:hint="eastAsia" w:ascii="Times New Roman" w:hAnsi="Times New Roman" w:eastAsia="宋体" w:cs="Times New Roman"/>
          <w:color w:val="auto"/>
          <w:highlight w:val="none"/>
          <w:lang w:val="en-US" w:eastAsia="zh-CN"/>
        </w:rPr>
        <w:t>根据</w:t>
      </w:r>
      <w:r>
        <w:rPr>
          <w:rFonts w:hint="eastAsia" w:ascii="Times New Roman" w:hAnsi="Times New Roman" w:eastAsia="宋体" w:cs="Times New Roman"/>
          <w:color w:val="auto"/>
          <w:highlight w:val="none"/>
        </w:rPr>
        <w:t>《伊宁县全民健身场地建设项目可行性研究报告》</w:t>
      </w:r>
      <w:r>
        <w:rPr>
          <w:rFonts w:hint="eastAsia" w:ascii="Times New Roman" w:hAnsi="Times New Roman" w:eastAsia="宋体" w:cs="Times New Roman"/>
          <w:color w:val="auto"/>
          <w:highlight w:val="none"/>
          <w:lang w:val="en-US" w:eastAsia="zh-CN"/>
        </w:rPr>
        <w:t>预算编制包括</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本项目投资估算包括工程费用、工程建设其他费用、工程预备费等</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缺少关于预算编制的工程量估算表以及具体费用的构成明细</w:t>
      </w:r>
      <w:r>
        <w:rPr>
          <w:rFonts w:hint="eastAsia" w:ascii="Times New Roman" w:hAnsi="Times New Roman" w:eastAsia="宋体" w:cs="Times New Roman"/>
          <w:b w:val="0"/>
          <w:bCs w:val="0"/>
          <w:color w:val="auto"/>
          <w:kern w:val="2"/>
          <w:sz w:val="21"/>
          <w:szCs w:val="21"/>
          <w:highlight w:val="none"/>
          <w:lang w:val="en-US" w:eastAsia="zh-CN" w:bidi="ar-SA"/>
        </w:rPr>
        <w:t>。</w:t>
      </w:r>
    </w:p>
    <w:p w14:paraId="636CB5E5">
      <w:pPr>
        <w:pStyle w:val="9"/>
        <w:numPr>
          <w:ilvl w:val="0"/>
          <w:numId w:val="0"/>
        </w:numPr>
        <w:spacing w:line="360" w:lineRule="auto"/>
        <w:ind w:firstLine="420" w:firstLineChars="200"/>
        <w:rPr>
          <w:rFonts w:hint="eastAsia" w:ascii="Times New Roman" w:hAnsi="Times New Roman" w:eastAsia="宋体"/>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二是，</w:t>
      </w:r>
      <w:r>
        <w:rPr>
          <w:rFonts w:hint="eastAsia" w:ascii="Times New Roman" w:hAnsi="Times New Roman" w:eastAsia="宋体" w:cs="Times New Roman"/>
          <w:color w:val="auto"/>
          <w:sz w:val="21"/>
          <w:szCs w:val="21"/>
          <w:highlight w:val="none"/>
        </w:rPr>
        <w:t>工程竣工验收程序不够严谨</w:t>
      </w:r>
      <w:r>
        <w:rPr>
          <w:rFonts w:hint="eastAsia" w:ascii="Times New Roman" w:hAnsi="Times New Roman" w:eastAsia="宋体" w:cs="Times New Roman"/>
          <w:color w:val="auto"/>
          <w:sz w:val="21"/>
          <w:szCs w:val="21"/>
          <w:highlight w:val="none"/>
          <w:lang w:eastAsia="zh-CN"/>
        </w:rPr>
        <w:t>。经查看《吉里于孜镇上肉孜买提于孜村工程竣工验收记录表》，吉里于孜镇上肉孜买提于孜村、阿热吾斯塘镇托万克村两个村的验收内容整合至同一份验收单中，经查看</w:t>
      </w:r>
      <w:r>
        <w:rPr>
          <w:rFonts w:hint="eastAsia" w:ascii="Times New Roman" w:hAnsi="Times New Roman" w:eastAsia="宋体" w:cs="Times New Roman"/>
          <w:color w:val="auto"/>
          <w:sz w:val="21"/>
          <w:szCs w:val="21"/>
          <w:highlight w:val="none"/>
        </w:rPr>
        <w:t>《阿热吾斯塘镇托万克村竣工验收记录表》未填写验收日期。</w:t>
      </w:r>
    </w:p>
    <w:p w14:paraId="361431C2">
      <w:pPr>
        <w:pStyle w:val="9"/>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olor w:val="auto"/>
          <w:sz w:val="21"/>
          <w:szCs w:val="21"/>
          <w:highlight w:val="none"/>
          <w:lang w:val="en-US" w:eastAsia="zh-CN"/>
        </w:rPr>
        <w:t>三</w:t>
      </w:r>
      <w:r>
        <w:rPr>
          <w:rFonts w:hint="eastAsia" w:ascii="Times New Roman" w:hAnsi="Times New Roman" w:eastAsia="宋体" w:cs="Times New Roman"/>
          <w:color w:val="auto"/>
          <w:sz w:val="21"/>
          <w:szCs w:val="21"/>
          <w:highlight w:val="none"/>
          <w:lang w:val="en-US" w:eastAsia="zh-CN"/>
        </w:rPr>
        <w:t>是，</w:t>
      </w:r>
      <w:r>
        <w:rPr>
          <w:rFonts w:hint="eastAsia" w:ascii="Times New Roman" w:hAnsi="Times New Roman" w:eastAsia="宋体" w:cs="Times New Roman"/>
          <w:color w:val="auto"/>
          <w:sz w:val="21"/>
          <w:szCs w:val="21"/>
          <w:highlight w:val="none"/>
        </w:rPr>
        <w:t>工程竣工财务决算审计工作</w:t>
      </w:r>
      <w:r>
        <w:rPr>
          <w:rFonts w:hint="eastAsia" w:ascii="Times New Roman" w:hAnsi="Times New Roman" w:eastAsia="宋体" w:cs="Times New Roman"/>
          <w:color w:val="auto"/>
          <w:sz w:val="21"/>
          <w:szCs w:val="21"/>
          <w:highlight w:val="none"/>
          <w:lang w:val="en-US" w:eastAsia="zh-CN"/>
        </w:rPr>
        <w:t>开展不及时。</w:t>
      </w:r>
      <w:r>
        <w:rPr>
          <w:rFonts w:hint="default" w:ascii="Times New Roman" w:hAnsi="Times New Roman" w:eastAsia="宋体" w:cs="Times New Roman"/>
          <w:color w:val="auto"/>
          <w:sz w:val="21"/>
          <w:szCs w:val="21"/>
          <w:highlight w:val="none"/>
          <w:lang w:val="en-US" w:eastAsia="zh-CN"/>
        </w:rPr>
        <w:t>该项目于</w:t>
      </w:r>
      <w:r>
        <w:rPr>
          <w:rFonts w:hint="eastAsia" w:ascii="Times New Roman" w:hAnsi="Times New Roman" w:eastAsia="宋体" w:cs="Times New Roman"/>
          <w:color w:val="auto"/>
          <w:sz w:val="21"/>
          <w:szCs w:val="21"/>
          <w:highlight w:val="none"/>
          <w:lang w:val="en-US" w:eastAsia="zh-CN"/>
        </w:rPr>
        <w:t>2024年9月15日完成竣工验收，2024年9月21日通过工程结算审核，</w:t>
      </w:r>
      <w:r>
        <w:rPr>
          <w:rFonts w:hint="eastAsia" w:ascii="Times New Roman" w:hAnsi="Times New Roman" w:eastAsia="宋体" w:cs="Times New Roman"/>
          <w:color w:val="auto"/>
          <w:sz w:val="21"/>
          <w:szCs w:val="21"/>
          <w:highlight w:val="none"/>
        </w:rPr>
        <w:t>截至</w:t>
      </w:r>
      <w:r>
        <w:rPr>
          <w:rFonts w:hint="eastAsia" w:ascii="Times New Roman" w:hAnsi="Times New Roman" w:eastAsia="宋体" w:cs="Times New Roman"/>
          <w:color w:val="auto"/>
          <w:sz w:val="21"/>
          <w:szCs w:val="21"/>
          <w:highlight w:val="none"/>
          <w:lang w:val="en-US" w:eastAsia="zh-CN"/>
        </w:rPr>
        <w:t>本次绩效评价阶段</w:t>
      </w:r>
      <w:r>
        <w:rPr>
          <w:rFonts w:hint="eastAsia" w:ascii="Times New Roman" w:hAnsi="Times New Roman" w:eastAsia="宋体" w:cs="Times New Roman"/>
          <w:color w:val="auto"/>
          <w:sz w:val="21"/>
          <w:szCs w:val="21"/>
          <w:highlight w:val="none"/>
        </w:rPr>
        <w:t>，项目尚未完成工程竣工财务决算审计工作，</w:t>
      </w:r>
      <w:r>
        <w:rPr>
          <w:rFonts w:hint="eastAsia" w:ascii="Times New Roman" w:hAnsi="Times New Roman" w:eastAsia="宋体" w:cs="Times New Roman"/>
          <w:color w:val="auto"/>
          <w:sz w:val="21"/>
          <w:szCs w:val="21"/>
          <w:highlight w:val="none"/>
          <w:lang w:val="en-US" w:eastAsia="zh-CN"/>
        </w:rPr>
        <w:t>与</w:t>
      </w:r>
      <w:r>
        <w:rPr>
          <w:rFonts w:hint="eastAsia" w:ascii="Times New Roman" w:hAnsi="Times New Roman" w:eastAsia="宋体" w:cs="Times New Roman"/>
          <w:color w:val="auto"/>
          <w:sz w:val="21"/>
          <w:szCs w:val="21"/>
          <w:highlight w:val="none"/>
        </w:rPr>
        <w:t>《关于印发〈基本建设项目竣工财务决算管理暂行办法〉的通知》（财建〔2016〕503号）规定“第二条基本建设项目，完工可投入使用或者试运行合格后，应当在3个月内编报竣工财务决算，特殊情况确需延长的，不得超过2个月，大型项目不得超过6个月”的规定</w:t>
      </w:r>
      <w:r>
        <w:rPr>
          <w:rFonts w:hint="eastAsia" w:ascii="Times New Roman" w:hAnsi="Times New Roman" w:eastAsia="宋体" w:cs="Times New Roman"/>
          <w:color w:val="auto"/>
          <w:sz w:val="21"/>
          <w:szCs w:val="21"/>
          <w:highlight w:val="none"/>
          <w:lang w:val="en-US" w:eastAsia="zh-CN"/>
        </w:rPr>
        <w:t>不相符。</w:t>
      </w:r>
    </w:p>
    <w:p w14:paraId="195B6C15">
      <w:pPr>
        <w:pStyle w:val="9"/>
        <w:numPr>
          <w:ilvl w:val="0"/>
          <w:numId w:val="0"/>
        </w:numPr>
        <w:spacing w:line="360" w:lineRule="auto"/>
        <w:ind w:left="0" w:leftChars="0" w:firstLine="422" w:firstLineChars="200"/>
        <w:rPr>
          <w:rFonts w:hint="eastAsia" w:ascii="Times New Roman" w:hAnsi="Times New Roman" w:eastAsia="宋体"/>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4.</w:t>
      </w:r>
      <w:r>
        <w:rPr>
          <w:rFonts w:hint="eastAsia" w:ascii="Times New Roman" w:hAnsi="Times New Roman" w:eastAsia="宋体"/>
          <w:b/>
          <w:bCs/>
          <w:color w:val="auto"/>
          <w:sz w:val="21"/>
          <w:szCs w:val="21"/>
          <w:highlight w:val="none"/>
          <w:lang w:val="en-US" w:eastAsia="zh-CN"/>
        </w:rPr>
        <w:t>项目资产未及时办理移交手续</w:t>
      </w:r>
    </w:p>
    <w:p w14:paraId="6B6E1AB4">
      <w:pPr>
        <w:pStyle w:val="9"/>
        <w:numPr>
          <w:ilvl w:val="0"/>
          <w:numId w:val="0"/>
        </w:num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rPr>
        <w:t>该项目完工</w:t>
      </w:r>
      <w:r>
        <w:rPr>
          <w:rFonts w:hint="eastAsia" w:ascii="Times New Roman" w:hAnsi="Times New Roman" w:eastAsia="宋体" w:cs="Times New Roman"/>
          <w:color w:val="auto"/>
          <w:sz w:val="21"/>
          <w:szCs w:val="21"/>
          <w:highlight w:val="none"/>
          <w:lang w:val="en-US" w:eastAsia="zh-CN"/>
        </w:rPr>
        <w:t>后</w:t>
      </w:r>
      <w:r>
        <w:rPr>
          <w:rFonts w:hint="eastAsia" w:ascii="Times New Roman" w:hAnsi="Times New Roman" w:eastAsia="宋体" w:cs="Times New Roman"/>
          <w:color w:val="auto"/>
          <w:sz w:val="21"/>
          <w:szCs w:val="21"/>
          <w:highlight w:val="none"/>
        </w:rPr>
        <w:t>实际交付使用的主体</w:t>
      </w:r>
      <w:r>
        <w:rPr>
          <w:rFonts w:hint="eastAsia" w:ascii="Times New Roman" w:hAnsi="Times New Roman" w:eastAsia="宋体" w:cs="Times New Roman"/>
          <w:color w:val="auto"/>
          <w:sz w:val="21"/>
          <w:szCs w:val="21"/>
          <w:highlight w:val="none"/>
          <w:lang w:val="en-US" w:eastAsia="zh-CN"/>
        </w:rPr>
        <w:t>单位</w:t>
      </w:r>
      <w:r>
        <w:rPr>
          <w:rFonts w:hint="eastAsia" w:ascii="Times New Roman" w:hAnsi="Times New Roman" w:eastAsia="宋体" w:cs="Times New Roman"/>
          <w:color w:val="auto"/>
          <w:sz w:val="21"/>
          <w:szCs w:val="21"/>
          <w:highlight w:val="none"/>
        </w:rPr>
        <w:t>是伊宁县吉里于孜镇上肉孜买提于孜村</w:t>
      </w:r>
      <w:r>
        <w:rPr>
          <w:rFonts w:hint="eastAsia" w:ascii="Times New Roman" w:hAnsi="Times New Roman" w:eastAsia="宋体" w:cs="Times New Roman"/>
          <w:color w:val="auto"/>
          <w:sz w:val="21"/>
          <w:szCs w:val="21"/>
          <w:highlight w:val="none"/>
          <w:lang w:val="en-US" w:eastAsia="zh-CN"/>
        </w:rPr>
        <w:t>和</w:t>
      </w:r>
      <w:r>
        <w:rPr>
          <w:rFonts w:hint="eastAsia" w:ascii="Times New Roman" w:hAnsi="Times New Roman" w:eastAsia="宋体" w:cs="Times New Roman"/>
          <w:color w:val="auto"/>
          <w:sz w:val="21"/>
          <w:szCs w:val="21"/>
          <w:highlight w:val="none"/>
        </w:rPr>
        <w:t>伊宁县阿热吾斯塘镇托万克村；截至</w:t>
      </w:r>
      <w:r>
        <w:rPr>
          <w:rFonts w:hint="eastAsia" w:ascii="Times New Roman" w:hAnsi="Times New Roman" w:eastAsia="宋体" w:cs="Times New Roman"/>
          <w:color w:val="auto"/>
          <w:sz w:val="21"/>
          <w:szCs w:val="21"/>
          <w:highlight w:val="none"/>
          <w:lang w:val="en-US" w:eastAsia="zh-CN"/>
        </w:rPr>
        <w:t>本次绩效评价期间</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项目实施单位尚未</w:t>
      </w:r>
      <w:r>
        <w:rPr>
          <w:rFonts w:hint="eastAsia" w:ascii="Times New Roman" w:hAnsi="Times New Roman" w:eastAsia="宋体" w:cs="Times New Roman"/>
          <w:color w:val="auto"/>
          <w:sz w:val="21"/>
          <w:szCs w:val="21"/>
          <w:highlight w:val="none"/>
        </w:rPr>
        <w:t>依据《新疆维吾尔自治区行政事业单位国有资产管理办法》</w:t>
      </w:r>
      <w:r>
        <w:rPr>
          <w:rFonts w:hint="eastAsia" w:ascii="Times New Roman" w:hAnsi="Times New Roman" w:eastAsia="宋体" w:cs="Times New Roman"/>
          <w:color w:val="auto"/>
          <w:sz w:val="21"/>
          <w:szCs w:val="21"/>
          <w:highlight w:val="none"/>
          <w:lang w:val="en-US" w:eastAsia="zh-CN"/>
        </w:rPr>
        <w:t>等有关规定及时</w:t>
      </w:r>
      <w:r>
        <w:rPr>
          <w:rFonts w:hint="eastAsia" w:ascii="Times New Roman" w:hAnsi="Times New Roman" w:eastAsia="宋体" w:cs="Times New Roman"/>
          <w:color w:val="auto"/>
          <w:sz w:val="21"/>
          <w:szCs w:val="21"/>
          <w:highlight w:val="none"/>
        </w:rPr>
        <w:t>与</w:t>
      </w:r>
      <w:r>
        <w:rPr>
          <w:rFonts w:hint="eastAsia" w:ascii="Times New Roman" w:hAnsi="Times New Roman" w:eastAsia="宋体" w:cs="Times New Roman"/>
          <w:color w:val="auto"/>
          <w:sz w:val="21"/>
          <w:szCs w:val="21"/>
          <w:highlight w:val="none"/>
          <w:lang w:val="en-US" w:eastAsia="zh-CN"/>
        </w:rPr>
        <w:t>资产</w:t>
      </w:r>
      <w:r>
        <w:rPr>
          <w:rFonts w:hint="eastAsia" w:ascii="Times New Roman" w:hAnsi="Times New Roman" w:eastAsia="宋体" w:cs="Times New Roman"/>
          <w:color w:val="auto"/>
          <w:sz w:val="21"/>
          <w:szCs w:val="21"/>
          <w:highlight w:val="none"/>
        </w:rPr>
        <w:t>接收单位办理资产移交</w:t>
      </w:r>
      <w:r>
        <w:rPr>
          <w:rFonts w:hint="eastAsia" w:ascii="Times New Roman" w:hAnsi="Times New Roman" w:eastAsia="宋体" w:cs="Times New Roman"/>
          <w:color w:val="auto"/>
          <w:sz w:val="21"/>
          <w:szCs w:val="21"/>
          <w:highlight w:val="none"/>
          <w:lang w:val="en-US" w:eastAsia="zh-CN"/>
        </w:rPr>
        <w:t>手续</w:t>
      </w:r>
      <w:r>
        <w:rPr>
          <w:rFonts w:hint="eastAsia" w:ascii="Times New Roman" w:hAnsi="Times New Roman" w:eastAsia="宋体" w:cs="Times New Roman"/>
          <w:color w:val="auto"/>
          <w:sz w:val="21"/>
          <w:szCs w:val="21"/>
          <w:highlight w:val="none"/>
          <w:lang w:eastAsia="zh-CN"/>
        </w:rPr>
        <w:t>。</w:t>
      </w:r>
    </w:p>
    <w:p w14:paraId="69309AE4">
      <w:pPr>
        <w:pStyle w:val="9"/>
        <w:numPr>
          <w:ilvl w:val="0"/>
          <w:numId w:val="0"/>
        </w:numPr>
        <w:spacing w:line="360" w:lineRule="auto"/>
        <w:ind w:firstLine="422" w:firstLineChars="200"/>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kern w:val="0"/>
          <w:sz w:val="21"/>
          <w:szCs w:val="21"/>
          <w:highlight w:val="none"/>
          <w:lang w:val="en-US" w:eastAsia="zh-CN" w:bidi="ar-SA"/>
        </w:rPr>
        <w:t>5.</w:t>
      </w:r>
      <w:r>
        <w:rPr>
          <w:rFonts w:hint="eastAsia" w:ascii="Times New Roman" w:hAnsi="Times New Roman" w:eastAsia="宋体" w:cs="Times New Roman"/>
          <w:b/>
          <w:bCs/>
          <w:color w:val="auto"/>
          <w:sz w:val="21"/>
          <w:szCs w:val="21"/>
          <w:highlight w:val="none"/>
          <w:lang w:val="en-US" w:eastAsia="zh-CN"/>
        </w:rPr>
        <w:t>单位资产管理和采购管理制度不够健全</w:t>
      </w:r>
    </w:p>
    <w:p w14:paraId="6482EA5C">
      <w:pPr>
        <w:spacing w:line="360" w:lineRule="auto"/>
        <w:ind w:firstLine="42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项目</w:t>
      </w:r>
      <w:r>
        <w:rPr>
          <w:rFonts w:hint="eastAsia" w:ascii="Times New Roman" w:hAnsi="Times New Roman" w:eastAsia="宋体" w:cs="Times New Roman"/>
          <w:color w:val="auto"/>
          <w:highlight w:val="none"/>
          <w:lang w:val="en-US" w:eastAsia="zh-CN"/>
        </w:rPr>
        <w:t>单位资产管理制度中缺少关于单位资产验收、日常管理、维修维护、盘点调拨及处置等相关管理要求</w:t>
      </w:r>
      <w:r>
        <w:rPr>
          <w:rFonts w:hint="eastAsia" w:eastAsia="宋体" w:cs="Times New Roman"/>
          <w:color w:val="auto"/>
          <w:highlight w:val="none"/>
          <w:lang w:val="en-US" w:eastAsia="zh-CN"/>
        </w:rPr>
        <w:t>；单位</w:t>
      </w:r>
      <w:r>
        <w:rPr>
          <w:rFonts w:hint="eastAsia" w:ascii="Times New Roman" w:hAnsi="Times New Roman" w:eastAsia="宋体" w:cs="Times New Roman"/>
          <w:color w:val="auto"/>
          <w:highlight w:val="none"/>
          <w:lang w:val="en-US" w:eastAsia="zh-CN"/>
        </w:rPr>
        <w:t>采购</w:t>
      </w:r>
      <w:r>
        <w:rPr>
          <w:rFonts w:hint="eastAsia" w:eastAsia="宋体" w:cs="Times New Roman"/>
          <w:color w:val="auto"/>
          <w:highlight w:val="none"/>
          <w:lang w:val="en-US" w:eastAsia="zh-CN"/>
        </w:rPr>
        <w:t>管理制度</w:t>
      </w:r>
      <w:r>
        <w:rPr>
          <w:rFonts w:hint="eastAsia" w:ascii="Times New Roman" w:hAnsi="Times New Roman" w:eastAsia="宋体" w:cs="Times New Roman"/>
          <w:color w:val="auto"/>
          <w:highlight w:val="none"/>
          <w:lang w:val="en-US" w:eastAsia="zh-CN"/>
        </w:rPr>
        <w:t>仅原则性规定“采购应履行审批程序”，未</w:t>
      </w:r>
      <w:r>
        <w:rPr>
          <w:rFonts w:hint="eastAsia" w:eastAsia="宋体" w:cs="Times New Roman"/>
          <w:color w:val="auto"/>
          <w:highlight w:val="none"/>
          <w:lang w:val="en-US" w:eastAsia="zh-CN"/>
        </w:rPr>
        <w:t>按照政府集采目录及《中华人民共和国政府采购法》等要求，</w:t>
      </w:r>
      <w:r>
        <w:rPr>
          <w:rFonts w:hint="eastAsia" w:ascii="Times New Roman" w:hAnsi="Times New Roman" w:eastAsia="宋体" w:cs="Times New Roman"/>
          <w:color w:val="auto"/>
          <w:highlight w:val="none"/>
          <w:lang w:val="en-US" w:eastAsia="zh-CN"/>
        </w:rPr>
        <w:t>明确不同</w:t>
      </w:r>
      <w:r>
        <w:rPr>
          <w:rFonts w:hint="eastAsia" w:eastAsia="宋体" w:cs="Times New Roman"/>
          <w:color w:val="auto"/>
          <w:highlight w:val="none"/>
          <w:lang w:val="en-US" w:eastAsia="zh-CN"/>
        </w:rPr>
        <w:t>采购</w:t>
      </w:r>
      <w:r>
        <w:rPr>
          <w:rFonts w:hint="eastAsia" w:ascii="Times New Roman" w:hAnsi="Times New Roman" w:eastAsia="宋体" w:cs="Times New Roman"/>
          <w:color w:val="auto"/>
          <w:highlight w:val="none"/>
          <w:lang w:val="en-US" w:eastAsia="zh-CN"/>
        </w:rPr>
        <w:t>限额</w:t>
      </w:r>
      <w:r>
        <w:rPr>
          <w:rFonts w:hint="eastAsia" w:eastAsia="宋体" w:cs="Times New Roman"/>
          <w:color w:val="auto"/>
          <w:highlight w:val="none"/>
          <w:lang w:val="en-US" w:eastAsia="zh-CN"/>
        </w:rPr>
        <w:t>和采购内容</w:t>
      </w:r>
      <w:r>
        <w:rPr>
          <w:rFonts w:hint="eastAsia" w:ascii="Times New Roman" w:hAnsi="Times New Roman" w:eastAsia="宋体" w:cs="Times New Roman"/>
          <w:color w:val="auto"/>
          <w:highlight w:val="none"/>
          <w:lang w:val="en-US" w:eastAsia="zh-CN"/>
        </w:rPr>
        <w:t>对应的采购方式、操作流程、</w:t>
      </w:r>
      <w:r>
        <w:rPr>
          <w:rFonts w:hint="eastAsia" w:eastAsia="宋体" w:cs="Times New Roman"/>
          <w:color w:val="auto"/>
          <w:highlight w:val="none"/>
          <w:lang w:val="en-US" w:eastAsia="zh-CN"/>
        </w:rPr>
        <w:t>采购审批权限及</w:t>
      </w:r>
      <w:r>
        <w:rPr>
          <w:rFonts w:hint="eastAsia" w:ascii="Times New Roman" w:hAnsi="Times New Roman" w:eastAsia="宋体" w:cs="Times New Roman"/>
          <w:color w:val="auto"/>
          <w:highlight w:val="none"/>
          <w:lang w:val="en-US" w:eastAsia="zh-CN"/>
        </w:rPr>
        <w:t>职责分工等</w:t>
      </w:r>
      <w:r>
        <w:rPr>
          <w:rFonts w:hint="eastAsia" w:eastAsia="宋体" w:cs="Times New Roman"/>
          <w:color w:val="auto"/>
          <w:highlight w:val="none"/>
          <w:lang w:val="en-US" w:eastAsia="zh-CN"/>
        </w:rPr>
        <w:t>采购内部控制内容</w:t>
      </w:r>
      <w:r>
        <w:rPr>
          <w:rFonts w:hint="eastAsia" w:ascii="Times New Roman" w:hAnsi="Times New Roman" w:eastAsia="宋体" w:cs="Times New Roman"/>
          <w:color w:val="auto"/>
          <w:highlight w:val="none"/>
          <w:lang w:val="en-US" w:eastAsia="zh-CN"/>
        </w:rPr>
        <w:t>。</w:t>
      </w:r>
    </w:p>
    <w:p w14:paraId="361FE086">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120" w:name="_Toc15516"/>
      <w:bookmarkStart w:id="121" w:name="_Toc14245"/>
      <w:r>
        <w:rPr>
          <w:rFonts w:hint="eastAsia" w:ascii="Times New Roman" w:hAnsi="Times New Roman" w:eastAsia="宋体" w:cs="Times New Roman"/>
          <w:color w:val="auto"/>
          <w:highlight w:val="none"/>
        </w:rPr>
        <w:t>七</w:t>
      </w:r>
      <w:r>
        <w:rPr>
          <w:rFonts w:ascii="Times New Roman" w:hAnsi="Times New Roman" w:eastAsia="宋体" w:cs="Times New Roman"/>
          <w:color w:val="auto"/>
          <w:highlight w:val="none"/>
        </w:rPr>
        <w:t>、有关建议</w:t>
      </w:r>
      <w:bookmarkEnd w:id="117"/>
      <w:bookmarkEnd w:id="118"/>
      <w:bookmarkEnd w:id="119"/>
      <w:bookmarkEnd w:id="120"/>
      <w:bookmarkEnd w:id="121"/>
    </w:p>
    <w:p w14:paraId="445DC331">
      <w:pPr>
        <w:numPr>
          <w:ilvl w:val="0"/>
          <w:numId w:val="0"/>
        </w:numPr>
        <w:spacing w:line="360" w:lineRule="auto"/>
        <w:ind w:firstLine="422" w:firstLineChars="200"/>
        <w:rPr>
          <w:rFonts w:hint="eastAsia" w:ascii="Times New Roman" w:hAnsi="Times New Roman" w:eastAsia="宋体" w:cs="Times New Roman"/>
          <w:b/>
          <w:bCs/>
          <w:color w:val="auto"/>
          <w:kern w:val="2"/>
          <w:sz w:val="21"/>
          <w:szCs w:val="21"/>
          <w:highlight w:val="none"/>
          <w:lang w:val="en-US" w:eastAsia="zh-CN" w:bidi="ar-SA"/>
        </w:rPr>
      </w:pPr>
      <w:bookmarkStart w:id="122" w:name="_Toc32445"/>
      <w:r>
        <w:rPr>
          <w:rFonts w:hint="eastAsia" w:ascii="Times New Roman" w:hAnsi="Times New Roman" w:eastAsia="宋体" w:cs="Times New Roman"/>
          <w:b/>
          <w:bCs/>
          <w:color w:val="auto"/>
          <w:kern w:val="2"/>
          <w:sz w:val="21"/>
          <w:szCs w:val="21"/>
          <w:highlight w:val="none"/>
          <w:lang w:val="en-US" w:eastAsia="zh-CN" w:bidi="ar-SA"/>
        </w:rPr>
        <w:t>1.加强资金使用管理，强化</w:t>
      </w:r>
      <w:r>
        <w:rPr>
          <w:rFonts w:hint="eastAsia" w:eastAsia="宋体" w:cs="Times New Roman"/>
          <w:b/>
          <w:bCs/>
          <w:color w:val="auto"/>
          <w:kern w:val="2"/>
          <w:sz w:val="21"/>
          <w:szCs w:val="21"/>
          <w:highlight w:val="none"/>
          <w:lang w:val="en-US" w:eastAsia="zh-CN" w:bidi="ar-SA"/>
        </w:rPr>
        <w:t>会计核算规范性</w:t>
      </w:r>
    </w:p>
    <w:p w14:paraId="69AC4CB1">
      <w:pPr>
        <w:numPr>
          <w:ilvl w:val="-1"/>
          <w:numId w:val="0"/>
        </w:numPr>
        <w:spacing w:line="360" w:lineRule="auto"/>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highlight w:val="none"/>
        </w:rPr>
        <w:t>建议</w:t>
      </w:r>
      <w:r>
        <w:rPr>
          <w:rFonts w:hint="eastAsia" w:ascii="Times New Roman" w:hAnsi="Times New Roman" w:eastAsia="宋体" w:cs="Times New Roman"/>
          <w:color w:val="auto"/>
          <w:highlight w:val="none"/>
          <w:lang w:val="en-US" w:eastAsia="zh-CN"/>
        </w:rPr>
        <w:t>实施</w:t>
      </w:r>
      <w:r>
        <w:rPr>
          <w:rFonts w:hint="eastAsia" w:ascii="Times New Roman" w:hAnsi="Times New Roman" w:eastAsia="宋体" w:cs="Times New Roman"/>
          <w:color w:val="auto"/>
          <w:highlight w:val="none"/>
        </w:rPr>
        <w:t>项目实施单位严格按照国家财经法规和财务管理制度相关规定</w:t>
      </w:r>
      <w:r>
        <w:rPr>
          <w:rFonts w:hint="eastAsia" w:ascii="Times New Roman" w:hAnsi="Times New Roman" w:eastAsia="宋体" w:cs="Times New Roman"/>
          <w:color w:val="auto"/>
          <w:highlight w:val="none"/>
          <w:lang w:val="en-US" w:eastAsia="zh-CN"/>
        </w:rPr>
        <w:t>管理使用</w:t>
      </w:r>
      <w:r>
        <w:rPr>
          <w:rFonts w:hint="eastAsia" w:eastAsia="宋体" w:cs="Times New Roman"/>
          <w:color w:val="auto"/>
          <w:highlight w:val="none"/>
          <w:lang w:val="en-US" w:eastAsia="zh-CN"/>
        </w:rPr>
        <w:t>专项</w:t>
      </w:r>
      <w:r>
        <w:rPr>
          <w:rFonts w:hint="eastAsia" w:ascii="Times New Roman" w:hAnsi="Times New Roman" w:eastAsia="宋体" w:cs="Times New Roman"/>
          <w:color w:val="auto"/>
          <w:highlight w:val="none"/>
          <w:lang w:val="en-US" w:eastAsia="zh-CN"/>
        </w:rPr>
        <w:t>资金</w:t>
      </w:r>
      <w:r>
        <w:rPr>
          <w:rFonts w:hint="eastAsia" w:ascii="Times New Roman" w:hAnsi="Times New Roman" w:eastAsia="宋体" w:cs="Times New Roman"/>
          <w:color w:val="auto"/>
          <w:highlight w:val="none"/>
        </w:rPr>
        <w:t>，确保各岗位审批职责落实到位，规范开展财务支出审批程序</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严格按照合同约定申请支付项目进度款</w:t>
      </w:r>
      <w:r>
        <w:rPr>
          <w:rFonts w:hint="eastAsia" w:eastAsia="宋体" w:cs="Times New Roman"/>
          <w:color w:val="auto"/>
          <w:highlight w:val="none"/>
          <w:lang w:val="en-US" w:eastAsia="zh-CN"/>
        </w:rPr>
        <w:t>，并按照</w:t>
      </w:r>
      <w:r>
        <w:rPr>
          <w:rFonts w:hint="eastAsia" w:eastAsia="宋体" w:cs="Times New Roman"/>
          <w:color w:val="auto"/>
          <w:sz w:val="21"/>
          <w:szCs w:val="21"/>
          <w:highlight w:val="none"/>
          <w:lang w:val="en-US" w:eastAsia="zh-CN"/>
        </w:rPr>
        <w:t>《政府会计准则》《会计基础工作规范》等财务法规要求规范开展基建项目支出的财务会计核算。</w:t>
      </w:r>
      <w:r>
        <w:rPr>
          <w:rFonts w:hint="eastAsia" w:ascii="Times New Roman" w:hAnsi="Times New Roman" w:eastAsia="宋体" w:cs="Times New Roman"/>
          <w:color w:val="auto"/>
          <w:highlight w:val="none"/>
        </w:rPr>
        <w:t>加强单位内部监督检查力度，对经济业务活动进行全面检查和评估，及时发现问题并积极进行整改，严肃财经纪律</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b w:val="0"/>
          <w:bCs w:val="0"/>
          <w:color w:val="auto"/>
          <w:kern w:val="2"/>
          <w:sz w:val="21"/>
          <w:szCs w:val="21"/>
          <w:highlight w:val="none"/>
          <w:lang w:val="en-US" w:eastAsia="zh-CN" w:bidi="ar-SA"/>
        </w:rPr>
        <w:t>确保专项资金使用合规、安全</w:t>
      </w:r>
      <w:r>
        <w:rPr>
          <w:rFonts w:hint="eastAsia" w:ascii="Times New Roman" w:hAnsi="Times New Roman" w:eastAsia="宋体" w:cs="Times New Roman"/>
          <w:color w:val="auto"/>
          <w:highlight w:val="none"/>
        </w:rPr>
        <w:t>。</w:t>
      </w:r>
    </w:p>
    <w:p w14:paraId="289FEB5D">
      <w:pPr>
        <w:spacing w:line="360" w:lineRule="auto"/>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2.加强项目</w:t>
      </w:r>
      <w:r>
        <w:rPr>
          <w:rFonts w:hint="eastAsia" w:eastAsia="宋体" w:cs="Times New Roman"/>
          <w:b/>
          <w:bCs/>
          <w:color w:val="auto"/>
          <w:sz w:val="21"/>
          <w:szCs w:val="21"/>
          <w:highlight w:val="none"/>
          <w:lang w:val="en-US" w:eastAsia="zh-CN"/>
        </w:rPr>
        <w:t>采购管理及</w:t>
      </w:r>
      <w:r>
        <w:rPr>
          <w:rFonts w:hint="eastAsia" w:ascii="Times New Roman" w:hAnsi="Times New Roman" w:eastAsia="宋体" w:cs="Times New Roman"/>
          <w:b/>
          <w:bCs/>
          <w:color w:val="auto"/>
          <w:sz w:val="21"/>
          <w:szCs w:val="21"/>
          <w:highlight w:val="none"/>
          <w:lang w:val="en-US" w:eastAsia="zh-CN"/>
        </w:rPr>
        <w:t>合同管理规范性，规避合同风险，强化合同履约质量</w:t>
      </w:r>
    </w:p>
    <w:p w14:paraId="49915929">
      <w:pPr>
        <w:spacing w:line="360" w:lineRule="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建议项目实施单位</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一是</w:t>
      </w:r>
      <w:r>
        <w:rPr>
          <w:rFonts w:hint="eastAsia" w:ascii="Times New Roman" w:hAnsi="Times New Roman" w:cs="Times New Roman"/>
          <w:color w:val="auto"/>
          <w:highlight w:val="none"/>
          <w:lang w:eastAsia="zh-Hans"/>
        </w:rPr>
        <w:t>加强采购管理，按照政府采购</w:t>
      </w:r>
      <w:r>
        <w:rPr>
          <w:rFonts w:hint="eastAsia" w:ascii="Times New Roman" w:hAnsi="Times New Roman" w:cs="Times New Roman"/>
          <w:color w:val="auto"/>
          <w:highlight w:val="none"/>
          <w:lang w:val="en-US" w:eastAsia="zh-CN"/>
        </w:rPr>
        <w:t>管理</w:t>
      </w:r>
      <w:r>
        <w:rPr>
          <w:rFonts w:hint="eastAsia" w:ascii="Times New Roman" w:hAnsi="Times New Roman" w:cs="Times New Roman"/>
          <w:color w:val="auto"/>
          <w:highlight w:val="none"/>
          <w:lang w:eastAsia="zh-Hans"/>
        </w:rPr>
        <w:t>相关规定选定合适的采购方式，按规定履行采购流程，确保政府采购活动完整规范。</w:t>
      </w:r>
      <w:r>
        <w:rPr>
          <w:rFonts w:hint="eastAsia" w:cs="Times New Roman"/>
          <w:color w:val="auto"/>
          <w:highlight w:val="none"/>
          <w:lang w:val="en-US" w:eastAsia="zh-CN"/>
        </w:rPr>
        <w:t>二是</w:t>
      </w:r>
      <w:r>
        <w:rPr>
          <w:rFonts w:hint="eastAsia" w:ascii="Times New Roman" w:hAnsi="Times New Roman" w:eastAsia="宋体" w:cs="Times New Roman"/>
          <w:color w:val="auto"/>
          <w:sz w:val="21"/>
          <w:szCs w:val="21"/>
          <w:highlight w:val="none"/>
          <w:lang w:val="en-US" w:eastAsia="zh-CN"/>
        </w:rPr>
        <w:t>加强对单位对外签订合同的</w:t>
      </w:r>
      <w:r>
        <w:rPr>
          <w:rFonts w:hint="eastAsia" w:ascii="Times New Roman" w:hAnsi="Times New Roman" w:eastAsia="宋体" w:cs="Times New Roman"/>
          <w:color w:val="auto"/>
          <w:sz w:val="21"/>
          <w:szCs w:val="21"/>
          <w:highlight w:val="none"/>
        </w:rPr>
        <w:t>法律、财务、技术条款的审核，</w:t>
      </w:r>
      <w:r>
        <w:rPr>
          <w:rFonts w:hint="eastAsia" w:ascii="Times New Roman" w:hAnsi="Times New Roman" w:eastAsia="宋体" w:cs="Times New Roman"/>
          <w:color w:val="auto"/>
          <w:sz w:val="21"/>
          <w:szCs w:val="21"/>
          <w:highlight w:val="none"/>
          <w:lang w:val="en-US" w:eastAsia="zh-CN"/>
        </w:rPr>
        <w:t>必要时可</w:t>
      </w:r>
      <w:r>
        <w:rPr>
          <w:rFonts w:hint="eastAsia" w:ascii="Times New Roman" w:hAnsi="Times New Roman" w:eastAsia="宋体" w:cs="Times New Roman"/>
          <w:color w:val="auto"/>
          <w:sz w:val="21"/>
          <w:szCs w:val="21"/>
          <w:highlight w:val="none"/>
        </w:rPr>
        <w:t>引入审计、财政、司法部门</w:t>
      </w:r>
      <w:r>
        <w:rPr>
          <w:rFonts w:hint="eastAsia" w:ascii="Times New Roman" w:hAnsi="Times New Roman" w:eastAsia="宋体" w:cs="Times New Roman"/>
          <w:color w:val="auto"/>
          <w:sz w:val="21"/>
          <w:szCs w:val="21"/>
          <w:highlight w:val="none"/>
          <w:lang w:val="en-US" w:eastAsia="zh-CN"/>
        </w:rPr>
        <w:t>强化审核专业性</w:t>
      </w:r>
      <w:r>
        <w:rPr>
          <w:rFonts w:hint="eastAsia" w:ascii="Times New Roman" w:hAnsi="Times New Roman" w:eastAsia="宋体" w:cs="Times New Roman"/>
          <w:color w:val="auto"/>
          <w:sz w:val="21"/>
          <w:szCs w:val="21"/>
          <w:highlight w:val="none"/>
        </w:rPr>
        <w:t>，</w:t>
      </w:r>
      <w:r>
        <w:rPr>
          <w:rFonts w:hint="eastAsia" w:ascii="Times New Roman" w:hAnsi="Times New Roman" w:eastAsia="宋体" w:cs="Times New Roman"/>
          <w:color w:val="auto"/>
          <w:sz w:val="21"/>
          <w:szCs w:val="21"/>
          <w:highlight w:val="none"/>
          <w:lang w:val="en-US" w:eastAsia="zh-CN"/>
        </w:rPr>
        <w:t>确保项目</w:t>
      </w:r>
      <w:r>
        <w:rPr>
          <w:rFonts w:hint="eastAsia" w:eastAsia="宋体" w:cs="Times New Roman"/>
          <w:color w:val="auto"/>
          <w:sz w:val="21"/>
          <w:szCs w:val="21"/>
          <w:highlight w:val="none"/>
          <w:lang w:val="en-US" w:eastAsia="zh-CN"/>
        </w:rPr>
        <w:t>委托服务事项的</w:t>
      </w:r>
      <w:r>
        <w:rPr>
          <w:rFonts w:hint="eastAsia" w:ascii="Times New Roman" w:hAnsi="Times New Roman" w:eastAsia="宋体" w:cs="Times New Roman"/>
          <w:color w:val="auto"/>
          <w:sz w:val="21"/>
          <w:szCs w:val="21"/>
          <w:highlight w:val="none"/>
        </w:rPr>
        <w:t>服务内容、履约责任、服务标准、交付要求及争议解决方式等核心条款</w:t>
      </w:r>
      <w:r>
        <w:rPr>
          <w:rFonts w:hint="eastAsia" w:ascii="Times New Roman" w:hAnsi="Times New Roman" w:eastAsia="宋体" w:cs="Times New Roman"/>
          <w:color w:val="auto"/>
          <w:sz w:val="21"/>
          <w:szCs w:val="21"/>
          <w:highlight w:val="none"/>
          <w:lang w:val="en-US" w:eastAsia="zh-CN"/>
        </w:rPr>
        <w:t>清晰完整，</w:t>
      </w:r>
      <w:r>
        <w:rPr>
          <w:rFonts w:hint="eastAsia" w:ascii="Times New Roman" w:hAnsi="Times New Roman" w:eastAsia="宋体" w:cs="Times New Roman"/>
          <w:color w:val="auto"/>
          <w:sz w:val="21"/>
          <w:szCs w:val="21"/>
          <w:highlight w:val="none"/>
        </w:rPr>
        <w:t>确保合同</w:t>
      </w:r>
      <w:r>
        <w:rPr>
          <w:rFonts w:hint="eastAsia" w:ascii="Times New Roman" w:hAnsi="Times New Roman" w:eastAsia="宋体" w:cs="Times New Roman"/>
          <w:color w:val="auto"/>
          <w:sz w:val="21"/>
          <w:szCs w:val="21"/>
          <w:highlight w:val="none"/>
          <w:lang w:val="en-US" w:eastAsia="zh-CN"/>
        </w:rPr>
        <w:t>签订</w:t>
      </w:r>
      <w:r>
        <w:rPr>
          <w:rFonts w:hint="eastAsia" w:ascii="Times New Roman" w:hAnsi="Times New Roman" w:eastAsia="宋体" w:cs="Times New Roman"/>
          <w:color w:val="auto"/>
          <w:sz w:val="21"/>
          <w:szCs w:val="21"/>
          <w:highlight w:val="none"/>
        </w:rPr>
        <w:t>符合法律法规，提前识别法律风险，维护</w:t>
      </w:r>
      <w:r>
        <w:rPr>
          <w:rFonts w:hint="eastAsia" w:ascii="Times New Roman" w:hAnsi="Times New Roman" w:eastAsia="宋体" w:cs="Times New Roman"/>
          <w:color w:val="auto"/>
          <w:sz w:val="21"/>
          <w:szCs w:val="21"/>
          <w:highlight w:val="none"/>
          <w:lang w:val="en-US" w:eastAsia="zh-CN"/>
        </w:rPr>
        <w:t>合同双方的</w:t>
      </w:r>
      <w:r>
        <w:rPr>
          <w:rFonts w:hint="eastAsia" w:ascii="Times New Roman" w:hAnsi="Times New Roman" w:eastAsia="宋体" w:cs="Times New Roman"/>
          <w:color w:val="auto"/>
          <w:sz w:val="21"/>
          <w:szCs w:val="21"/>
          <w:highlight w:val="none"/>
        </w:rPr>
        <w:t>合法权益</w:t>
      </w:r>
      <w:r>
        <w:rPr>
          <w:rFonts w:hint="eastAsia"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建立健全合同履约风险评估机制，对合同履约过程进行实时监控和动态管理，及时发现并纠正合同执行偏差，规避合同风险，强化合同</w:t>
      </w:r>
      <w:r>
        <w:rPr>
          <w:rFonts w:hint="eastAsia" w:eastAsia="宋体" w:cs="Times New Roman"/>
          <w:color w:val="auto"/>
          <w:sz w:val="21"/>
          <w:szCs w:val="21"/>
          <w:highlight w:val="none"/>
          <w:lang w:val="en-US" w:eastAsia="zh-CN"/>
        </w:rPr>
        <w:t>履约质量</w:t>
      </w:r>
      <w:r>
        <w:rPr>
          <w:rFonts w:hint="eastAsia" w:ascii="Times New Roman" w:hAnsi="Times New Roman" w:eastAsia="宋体" w:cs="Times New Roman"/>
          <w:color w:val="auto"/>
          <w:sz w:val="21"/>
          <w:szCs w:val="21"/>
          <w:highlight w:val="none"/>
        </w:rPr>
        <w:t>‌。</w:t>
      </w:r>
    </w:p>
    <w:p w14:paraId="5BB323B7">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eastAsia"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3</w:t>
      </w:r>
      <w:r>
        <w:rPr>
          <w:rFonts w:hint="default" w:ascii="Times New Roman" w:hAnsi="Times New Roman" w:eastAsia="宋体" w:cs="Times New Roman"/>
          <w:b/>
          <w:bCs/>
          <w:color w:val="auto"/>
          <w:sz w:val="21"/>
          <w:szCs w:val="21"/>
          <w:highlight w:val="none"/>
          <w:lang w:val="en-US" w:eastAsia="zh-CN"/>
        </w:rPr>
        <w:t>.加强项目建设管理规范性，提高项目管理水平</w:t>
      </w:r>
    </w:p>
    <w:p w14:paraId="0FE4EE87">
      <w:pPr>
        <w:pageBreakBefore w:val="0"/>
        <w:widowControl/>
        <w:numPr>
          <w:ilvl w:val="0"/>
          <w:numId w:val="0"/>
        </w:numPr>
        <w:kinsoku/>
        <w:wordWrap/>
        <w:overflowPunct/>
        <w:topLinePunct w:val="0"/>
        <w:autoSpaceDE/>
        <w:autoSpaceDN/>
        <w:bidi w:val="0"/>
        <w:adjustRightInd w:val="0"/>
        <w:snapToGrid w:val="0"/>
        <w:spacing w:line="360" w:lineRule="auto"/>
        <w:ind w:firstLine="420"/>
        <w:textAlignment w:val="auto"/>
        <w:rPr>
          <w:color w:val="auto"/>
          <w:highlight w:val="none"/>
        </w:rPr>
      </w:pPr>
      <w:r>
        <w:rPr>
          <w:rFonts w:hint="eastAsia" w:eastAsia="宋体" w:cs="Times New Roman"/>
          <w:color w:val="auto"/>
          <w:sz w:val="21"/>
          <w:szCs w:val="21"/>
          <w:highlight w:val="none"/>
          <w:lang w:val="en-US" w:eastAsia="zh-CN"/>
        </w:rPr>
        <w:t>一是</w:t>
      </w:r>
      <w:r>
        <w:rPr>
          <w:rFonts w:hint="default" w:ascii="Times New Roman" w:hAnsi="Times New Roman" w:eastAsia="宋体" w:cs="Times New Roman"/>
          <w:color w:val="auto"/>
          <w:sz w:val="21"/>
          <w:szCs w:val="21"/>
          <w:highlight w:val="none"/>
          <w:lang w:val="en-US" w:eastAsia="zh-CN"/>
        </w:rPr>
        <w:t>建议项目实施</w:t>
      </w:r>
      <w:r>
        <w:rPr>
          <w:rFonts w:hint="default" w:ascii="Times New Roman" w:hAnsi="Times New Roman" w:eastAsia="宋体" w:cs="Times New Roman"/>
          <w:b w:val="0"/>
          <w:bCs w:val="0"/>
          <w:color w:val="auto"/>
          <w:sz w:val="21"/>
          <w:szCs w:val="21"/>
          <w:highlight w:val="none"/>
          <w:lang w:val="en-US" w:eastAsia="zh-CN"/>
        </w:rPr>
        <w:t>单位</w:t>
      </w:r>
      <w:r>
        <w:rPr>
          <w:rFonts w:hint="default" w:ascii="Times New Roman" w:hAnsi="Times New Roman" w:eastAsia="宋体" w:cs="Times New Roman"/>
          <w:color w:val="auto"/>
          <w:sz w:val="21"/>
          <w:szCs w:val="21"/>
          <w:highlight w:val="none"/>
          <w:lang w:val="en-US" w:eastAsia="zh-CN"/>
        </w:rPr>
        <w:t>进一步强化项目前期准备工作，</w:t>
      </w:r>
      <w:r>
        <w:rPr>
          <w:rFonts w:hint="eastAsia" w:eastAsia="宋体" w:cs="Times New Roman"/>
          <w:color w:val="auto"/>
          <w:sz w:val="21"/>
          <w:szCs w:val="21"/>
          <w:highlight w:val="none"/>
          <w:lang w:val="en-US" w:eastAsia="zh-CN"/>
        </w:rPr>
        <w:t>提高项目前期决策工作的充分性。</w:t>
      </w:r>
      <w:r>
        <w:rPr>
          <w:rFonts w:hint="default" w:ascii="Times New Roman" w:hAnsi="Times New Roman" w:eastAsia="宋体" w:cs="Times New Roman"/>
          <w:color w:val="auto"/>
          <w:sz w:val="21"/>
          <w:szCs w:val="21"/>
          <w:highlight w:val="none"/>
          <w:lang w:val="en-US" w:eastAsia="zh-CN"/>
        </w:rPr>
        <w:t>在项目筹备阶段，充分结合项目实际需求与潜在变动因素，对投资估算涉及的</w:t>
      </w:r>
      <w:r>
        <w:rPr>
          <w:rFonts w:hint="eastAsia" w:eastAsia="宋体" w:cs="Times New Roman"/>
          <w:color w:val="auto"/>
          <w:sz w:val="21"/>
          <w:szCs w:val="21"/>
          <w:highlight w:val="none"/>
          <w:lang w:val="en-US" w:eastAsia="zh-CN"/>
        </w:rPr>
        <w:t>工程量及费用明细</w:t>
      </w:r>
      <w:r>
        <w:rPr>
          <w:rFonts w:hint="default" w:ascii="Times New Roman" w:hAnsi="Times New Roman" w:eastAsia="宋体" w:cs="Times New Roman"/>
          <w:color w:val="auto"/>
          <w:sz w:val="21"/>
          <w:szCs w:val="21"/>
          <w:highlight w:val="none"/>
          <w:lang w:val="en-US" w:eastAsia="zh-CN"/>
        </w:rPr>
        <w:t>进行全面调研与</w:t>
      </w:r>
      <w:r>
        <w:rPr>
          <w:rFonts w:hint="eastAsia" w:eastAsia="宋体" w:cs="Times New Roman"/>
          <w:color w:val="auto"/>
          <w:sz w:val="21"/>
          <w:szCs w:val="21"/>
          <w:highlight w:val="none"/>
          <w:lang w:val="en-US" w:eastAsia="zh-CN"/>
        </w:rPr>
        <w:t>评估</w:t>
      </w:r>
      <w:r>
        <w:rPr>
          <w:rFonts w:hint="default" w:ascii="Times New Roman" w:hAnsi="Times New Roman" w:eastAsia="宋体" w:cs="Times New Roman"/>
          <w:color w:val="auto"/>
          <w:sz w:val="21"/>
          <w:szCs w:val="21"/>
          <w:highlight w:val="none"/>
          <w:lang w:val="en-US" w:eastAsia="zh-CN"/>
        </w:rPr>
        <w:t>，确保预算编制紧密贴合项目实施实际</w:t>
      </w:r>
      <w:r>
        <w:rPr>
          <w:rFonts w:hint="eastAsia" w:eastAsia="宋体" w:cs="Times New Roman"/>
          <w:color w:val="auto"/>
          <w:sz w:val="21"/>
          <w:szCs w:val="21"/>
          <w:highlight w:val="none"/>
          <w:lang w:val="en-US" w:eastAsia="zh-CN"/>
        </w:rPr>
        <w:t>，并</w:t>
      </w:r>
      <w:r>
        <w:rPr>
          <w:rFonts w:hint="default" w:ascii="Times New Roman" w:hAnsi="Times New Roman" w:eastAsia="宋体" w:cs="Times New Roman"/>
          <w:color w:val="auto"/>
          <w:sz w:val="21"/>
          <w:szCs w:val="21"/>
          <w:highlight w:val="none"/>
          <w:lang w:val="en-US" w:eastAsia="zh-CN"/>
        </w:rPr>
        <w:t>对可行性研究报告</w:t>
      </w:r>
      <w:r>
        <w:rPr>
          <w:rFonts w:hint="eastAsia" w:eastAsia="宋体" w:cs="Times New Roman"/>
          <w:color w:val="auto"/>
          <w:sz w:val="21"/>
          <w:szCs w:val="21"/>
          <w:highlight w:val="none"/>
          <w:lang w:val="en-US" w:eastAsia="zh-CN"/>
        </w:rPr>
        <w:t>投资估算</w:t>
      </w:r>
      <w:r>
        <w:rPr>
          <w:rFonts w:hint="default" w:ascii="Times New Roman" w:hAnsi="Times New Roman" w:eastAsia="宋体" w:cs="Times New Roman"/>
          <w:color w:val="auto"/>
          <w:sz w:val="21"/>
          <w:szCs w:val="21"/>
          <w:highlight w:val="none"/>
          <w:lang w:val="en-US" w:eastAsia="zh-CN"/>
        </w:rPr>
        <w:t>的完整性、测算依据充分性</w:t>
      </w:r>
      <w:r>
        <w:rPr>
          <w:rFonts w:hint="eastAsia" w:eastAsia="宋体" w:cs="Times New Roman"/>
          <w:color w:val="auto"/>
          <w:sz w:val="21"/>
          <w:szCs w:val="21"/>
          <w:highlight w:val="none"/>
          <w:lang w:val="en-US" w:eastAsia="zh-CN"/>
        </w:rPr>
        <w:t>可经济可行性</w:t>
      </w:r>
      <w:r>
        <w:rPr>
          <w:rFonts w:hint="default" w:ascii="Times New Roman" w:hAnsi="Times New Roman" w:eastAsia="宋体" w:cs="Times New Roman"/>
          <w:color w:val="auto"/>
          <w:sz w:val="21"/>
          <w:szCs w:val="21"/>
          <w:highlight w:val="none"/>
          <w:lang w:val="en-US" w:eastAsia="zh-CN"/>
        </w:rPr>
        <w:t>进行</w:t>
      </w:r>
      <w:r>
        <w:rPr>
          <w:rFonts w:hint="eastAsia" w:eastAsia="宋体" w:cs="Times New Roman"/>
          <w:color w:val="auto"/>
          <w:sz w:val="21"/>
          <w:szCs w:val="21"/>
          <w:highlight w:val="none"/>
          <w:lang w:val="en-US" w:eastAsia="zh-CN"/>
        </w:rPr>
        <w:t>必要的评审</w:t>
      </w:r>
      <w:r>
        <w:rPr>
          <w:rFonts w:hint="default" w:ascii="Times New Roman" w:hAnsi="Times New Roman" w:eastAsia="宋体" w:cs="Times New Roman"/>
          <w:color w:val="auto"/>
          <w:sz w:val="21"/>
          <w:szCs w:val="21"/>
          <w:highlight w:val="none"/>
          <w:lang w:val="en-US" w:eastAsia="zh-CN"/>
        </w:rPr>
        <w:t>，确保</w:t>
      </w:r>
      <w:r>
        <w:rPr>
          <w:rFonts w:hint="eastAsia" w:eastAsia="宋体" w:cs="Times New Roman"/>
          <w:color w:val="auto"/>
          <w:sz w:val="21"/>
          <w:szCs w:val="21"/>
          <w:highlight w:val="none"/>
          <w:lang w:val="en-US" w:eastAsia="zh-CN"/>
        </w:rPr>
        <w:t>可行性研究报告内容和决策分析结果的可靠性</w:t>
      </w:r>
      <w:r>
        <w:rPr>
          <w:rFonts w:hint="default" w:ascii="Times New Roman" w:hAnsi="Times New Roman" w:eastAsia="宋体" w:cs="Times New Roman"/>
          <w:color w:val="auto"/>
          <w:sz w:val="21"/>
          <w:szCs w:val="21"/>
          <w:highlight w:val="none"/>
          <w:lang w:val="en-US" w:eastAsia="zh-CN"/>
        </w:rPr>
        <w:t>。</w:t>
      </w:r>
    </w:p>
    <w:p w14:paraId="722804C8">
      <w:pPr>
        <w:pageBreakBefore w:val="0"/>
        <w:widowControl/>
        <w:numPr>
          <w:ilvl w:val="0"/>
          <w:numId w:val="0"/>
        </w:numPr>
        <w:kinsoku/>
        <w:wordWrap/>
        <w:overflowPunct/>
        <w:topLinePunct w:val="0"/>
        <w:autoSpaceDE/>
        <w:autoSpaceDN/>
        <w:bidi w:val="0"/>
        <w:adjustRightInd w:val="0"/>
        <w:snapToGrid w:val="0"/>
        <w:spacing w:line="360" w:lineRule="auto"/>
        <w:ind w:firstLine="420"/>
        <w:textAlignment w:val="auto"/>
        <w:rPr>
          <w:rFonts w:hint="eastAsia" w:eastAsiaTheme="minorEastAsia"/>
          <w:color w:val="auto"/>
          <w:highlight w:val="none"/>
          <w:lang w:val="en-US" w:eastAsia="zh-CN"/>
        </w:rPr>
      </w:pPr>
      <w:r>
        <w:rPr>
          <w:rFonts w:hint="eastAsia"/>
          <w:color w:val="auto"/>
          <w:highlight w:val="none"/>
          <w:lang w:val="en-US" w:eastAsia="zh-CN"/>
        </w:rPr>
        <w:t>二是建议项目实施单位进一步健全工程竣工验收管理制度，明确项目验收流程、责任分工及时间节点要求，严格执行“一项目一验收”原则，确保每个项目独立建档、独立验收、独立记录，做到验收内容完整、数据准确、签字手续齐全、日期明确，切实提升项目验收工作的规范性、严谨性和可追溯性。</w:t>
      </w:r>
    </w:p>
    <w:p w14:paraId="621CBC4D">
      <w:pPr>
        <w:spacing w:line="360" w:lineRule="auto"/>
        <w:rPr>
          <w:rFonts w:hint="default" w:ascii="Times New Roman" w:hAnsi="Times New Roman" w:eastAsia="宋体" w:cs="Times New Roman"/>
          <w:color w:val="auto"/>
          <w:sz w:val="21"/>
          <w:szCs w:val="21"/>
          <w:highlight w:val="none"/>
        </w:rPr>
      </w:pPr>
      <w:r>
        <w:rPr>
          <w:rFonts w:hint="eastAsia" w:eastAsia="宋体" w:cs="Times New Roman"/>
          <w:color w:val="auto"/>
          <w:sz w:val="21"/>
          <w:szCs w:val="21"/>
          <w:highlight w:val="none"/>
          <w:lang w:val="en-US" w:eastAsia="zh-CN"/>
        </w:rPr>
        <w:t>三</w:t>
      </w:r>
      <w:r>
        <w:rPr>
          <w:rFonts w:hint="eastAsia" w:ascii="Times New Roman" w:hAnsi="Times New Roman" w:eastAsia="宋体" w:cs="Times New Roman"/>
          <w:color w:val="auto"/>
          <w:sz w:val="21"/>
          <w:szCs w:val="21"/>
          <w:highlight w:val="none"/>
          <w:lang w:val="en-US" w:eastAsia="zh-CN"/>
        </w:rPr>
        <w:t>是</w:t>
      </w:r>
      <w:r>
        <w:rPr>
          <w:rFonts w:hint="default" w:ascii="Times New Roman" w:hAnsi="Times New Roman" w:eastAsia="宋体" w:cs="Times New Roman"/>
          <w:color w:val="auto"/>
          <w:sz w:val="21"/>
          <w:szCs w:val="21"/>
          <w:highlight w:val="none"/>
        </w:rPr>
        <w:t>建议项目实施单位按照《关于印发〈基本建设项目竣工财务决算管理暂行办法〉的通知》（财建〔2016〕503号）等政策规定，尽快开展项目竣工财务决算，</w:t>
      </w:r>
      <w:r>
        <w:rPr>
          <w:rFonts w:ascii="Times New Roman" w:hAnsi="Times New Roman" w:eastAsia="宋体" w:cs="Times New Roman"/>
          <w:i w:val="0"/>
          <w:iCs w:val="0"/>
          <w:caps w:val="0"/>
          <w:color w:val="auto"/>
          <w:spacing w:val="0"/>
          <w:sz w:val="21"/>
          <w:szCs w:val="21"/>
          <w:highlight w:val="none"/>
          <w:shd w:val="clear" w:fill="auto"/>
        </w:rPr>
        <w:t>为固定资产确权入账提供权威价值依据，明确资产归属与账面价值，避免资产流失，保障企业或国有资产安全</w:t>
      </w:r>
      <w:r>
        <w:rPr>
          <w:rFonts w:hint="default" w:ascii="Times New Roman" w:hAnsi="Times New Roman" w:eastAsia="宋体" w:cs="Times New Roman"/>
          <w:i w:val="0"/>
          <w:iCs w:val="0"/>
          <w:caps w:val="0"/>
          <w:color w:val="auto"/>
          <w:spacing w:val="0"/>
          <w:sz w:val="21"/>
          <w:szCs w:val="21"/>
          <w:highlight w:val="none"/>
          <w:shd w:val="clear" w:fill="auto"/>
          <w:lang w:eastAsia="zh-CN"/>
        </w:rPr>
        <w:t>。</w:t>
      </w:r>
      <w:r>
        <w:rPr>
          <w:rFonts w:hint="default" w:ascii="Times New Roman" w:hAnsi="Times New Roman" w:eastAsia="宋体" w:cs="Times New Roman"/>
          <w:color w:val="auto"/>
          <w:sz w:val="21"/>
          <w:szCs w:val="21"/>
          <w:highlight w:val="none"/>
        </w:rPr>
        <w:t>提高工程造价管理水平及积累技术经济资料，有效控制项目成本，提高经济效益。</w:t>
      </w:r>
    </w:p>
    <w:p w14:paraId="223CF7D9">
      <w:pPr>
        <w:spacing w:line="360" w:lineRule="auto"/>
        <w:rPr>
          <w:rFonts w:hint="default" w:ascii="Times New Roman" w:hAnsi="Times New Roman" w:eastAsia="宋体" w:cs="Times New Roman"/>
          <w:b/>
          <w:bCs/>
          <w:color w:val="auto"/>
          <w:sz w:val="21"/>
          <w:szCs w:val="21"/>
          <w:highlight w:val="none"/>
          <w:lang w:val="en-US" w:eastAsia="zh-CN"/>
        </w:rPr>
      </w:pPr>
      <w:r>
        <w:rPr>
          <w:rFonts w:hint="eastAsia" w:ascii="Times New Roman" w:hAnsi="Times New Roman" w:eastAsia="宋体" w:cs="Times New Roman"/>
          <w:b/>
          <w:bCs/>
          <w:color w:val="auto"/>
          <w:sz w:val="21"/>
          <w:szCs w:val="21"/>
          <w:highlight w:val="none"/>
          <w:lang w:val="en-US" w:eastAsia="zh-CN"/>
        </w:rPr>
        <w:t>4.</w:t>
      </w:r>
      <w:r>
        <w:rPr>
          <w:rFonts w:hint="eastAsia" w:eastAsia="宋体" w:cs="Times New Roman"/>
          <w:b/>
          <w:bCs/>
          <w:color w:val="auto"/>
          <w:sz w:val="21"/>
          <w:szCs w:val="21"/>
          <w:highlight w:val="none"/>
          <w:lang w:val="en-US" w:eastAsia="zh-CN"/>
        </w:rPr>
        <w:t>加强项目</w:t>
      </w:r>
      <w:r>
        <w:rPr>
          <w:rFonts w:hint="eastAsia" w:ascii="Times New Roman" w:hAnsi="Times New Roman" w:eastAsia="宋体" w:cs="Times New Roman"/>
          <w:b/>
          <w:bCs/>
          <w:color w:val="auto"/>
          <w:sz w:val="21"/>
          <w:szCs w:val="21"/>
          <w:highlight w:val="none"/>
          <w:lang w:val="en-US" w:eastAsia="zh-CN"/>
        </w:rPr>
        <w:t>资产</w:t>
      </w:r>
      <w:r>
        <w:rPr>
          <w:rFonts w:hint="eastAsia" w:eastAsia="宋体" w:cs="Times New Roman"/>
          <w:b/>
          <w:bCs/>
          <w:color w:val="auto"/>
          <w:sz w:val="21"/>
          <w:szCs w:val="21"/>
          <w:highlight w:val="none"/>
          <w:lang w:val="en-US" w:eastAsia="zh-CN"/>
        </w:rPr>
        <w:t>管理规范性</w:t>
      </w:r>
    </w:p>
    <w:p w14:paraId="72EE526D">
      <w:pPr>
        <w:spacing w:line="360" w:lineRule="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建议</w:t>
      </w:r>
      <w:r>
        <w:rPr>
          <w:rFonts w:hint="eastAsia" w:ascii="Times New Roman" w:hAnsi="Times New Roman" w:eastAsia="宋体" w:cs="Times New Roman"/>
          <w:color w:val="auto"/>
          <w:sz w:val="21"/>
          <w:szCs w:val="21"/>
          <w:highlight w:val="none"/>
        </w:rPr>
        <w:t>项目实施单位依据《政府会计准则第3号——固定资产》《行政事业性国有资产管理条例》《新疆维吾尔自治区行政事业单位国有资产管理办法</w:t>
      </w:r>
      <w:r>
        <w:rPr>
          <w:rFonts w:hint="eastAsia" w:eastAsia="宋体" w:cs="Times New Roman"/>
          <w:color w:val="auto"/>
          <w:sz w:val="21"/>
          <w:szCs w:val="21"/>
          <w:highlight w:val="none"/>
          <w:lang w:eastAsia="zh-CN"/>
        </w:rPr>
        <w:t>》等</w:t>
      </w:r>
      <w:r>
        <w:rPr>
          <w:rFonts w:hint="eastAsia" w:ascii="Times New Roman" w:hAnsi="Times New Roman" w:eastAsia="宋体" w:cs="Times New Roman"/>
          <w:color w:val="auto"/>
          <w:sz w:val="21"/>
          <w:szCs w:val="21"/>
          <w:highlight w:val="none"/>
        </w:rPr>
        <w:t>相关规定，尽快完成项目会计核算并将其计入固定资产。同时，主动与资产接收单位对接，按规范办理资产移交手续，确保资产权属清晰</w:t>
      </w:r>
      <w:r>
        <w:rPr>
          <w:rFonts w:hint="eastAsia"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管理</w:t>
      </w:r>
      <w:r>
        <w:rPr>
          <w:rFonts w:hint="eastAsia" w:eastAsia="宋体" w:cs="Times New Roman"/>
          <w:color w:val="auto"/>
          <w:sz w:val="21"/>
          <w:szCs w:val="21"/>
          <w:highlight w:val="none"/>
          <w:lang w:val="en-US" w:eastAsia="zh-CN"/>
        </w:rPr>
        <w:t>使用规范</w:t>
      </w:r>
      <w:r>
        <w:rPr>
          <w:rFonts w:hint="eastAsia" w:ascii="Times New Roman" w:hAnsi="Times New Roman" w:eastAsia="宋体" w:cs="Times New Roman"/>
          <w:color w:val="auto"/>
          <w:sz w:val="21"/>
          <w:szCs w:val="21"/>
          <w:highlight w:val="none"/>
        </w:rPr>
        <w:t>。</w:t>
      </w:r>
    </w:p>
    <w:p w14:paraId="64215B9F">
      <w:pPr>
        <w:spacing w:line="360" w:lineRule="auto"/>
        <w:rPr>
          <w:rFonts w:hint="default" w:ascii="Times New Roman" w:hAnsi="Times New Roman" w:eastAsia="宋体" w:cs="Times New Roman"/>
          <w:b/>
          <w:bCs/>
          <w:color w:val="auto"/>
          <w:sz w:val="21"/>
          <w:szCs w:val="21"/>
          <w:highlight w:val="none"/>
          <w:lang w:val="en-US" w:eastAsia="zh-CN"/>
        </w:rPr>
      </w:pPr>
      <w:r>
        <w:rPr>
          <w:rFonts w:hint="eastAsia" w:eastAsia="宋体" w:cs="Times New Roman"/>
          <w:b/>
          <w:bCs/>
          <w:color w:val="auto"/>
          <w:sz w:val="21"/>
          <w:szCs w:val="21"/>
          <w:highlight w:val="none"/>
          <w:lang w:val="en-US" w:eastAsia="zh-CN"/>
        </w:rPr>
        <w:t>5.规范资产管理与采购管理，完善内部管理制度体系</w:t>
      </w:r>
    </w:p>
    <w:p w14:paraId="398AF3BE">
      <w:pPr>
        <w:spacing w:line="360" w:lineRule="auto"/>
        <w:ind w:firstLine="420" w:firstLineChars="200"/>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建议项目实施单位以规范资产管理与采购管理、防范管理风险为目标，加快建立健全单位内部管理制度体系。一是，结合资产全生命周期管理需求，尽快补充制定资产验收、日常维护、定期盘点、调拨处置等关键环节的具体管理要求，明确操作标准、责任主体与流程节点，确保资产从入库到处置的各环节有规可依、责任到人。二是，对照政府集中采购目录及《中华人民共和国政府采购法》等法律法规，修订完善采购管理制度，细化不同采购限额、采购内容对应的采购方式选择标准、全流程操作规范，以及各层级采购审批权限与部门职责分工，健全采购内部控制机制，推动采购工作合法合规、高效有序开展，切实提升单位整体管理规范化水平。</w:t>
      </w:r>
    </w:p>
    <w:p w14:paraId="34DCFB11">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color w:val="auto"/>
          <w:highlight w:val="none"/>
        </w:rPr>
      </w:pPr>
      <w:bookmarkStart w:id="123" w:name="_Toc26606"/>
      <w:bookmarkStart w:id="124" w:name="_Toc32241"/>
      <w:r>
        <w:rPr>
          <w:rFonts w:hint="eastAsia" w:ascii="Times New Roman" w:hAnsi="Times New Roman" w:eastAsia="宋体" w:cs="Times New Roman"/>
          <w:color w:val="auto"/>
          <w:highlight w:val="none"/>
        </w:rPr>
        <w:t>八、绩效评价结果应用建议</w:t>
      </w:r>
      <w:bookmarkEnd w:id="123"/>
    </w:p>
    <w:p w14:paraId="5B4C85F7">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color w:val="auto"/>
          <w:highlight w:val="none"/>
        </w:rPr>
      </w:pPr>
      <w:bookmarkStart w:id="125" w:name="_Toc18226"/>
      <w:r>
        <w:rPr>
          <w:rFonts w:hint="eastAsia" w:ascii="Times New Roman" w:hAnsi="Times New Roman" w:eastAsia="宋体" w:cs="Times New Roman"/>
          <w:color w:val="auto"/>
          <w:highlight w:val="none"/>
        </w:rPr>
        <w:t>（一）绩效结果挂钩次年预算资金安排</w:t>
      </w:r>
      <w:bookmarkEnd w:id="125"/>
    </w:p>
    <w:p w14:paraId="68DC6D63">
      <w:pPr>
        <w:pStyle w:val="4"/>
        <w:pageBreakBefore w:val="0"/>
        <w:kinsoku/>
        <w:wordWrap/>
        <w:overflowPunct/>
        <w:topLinePunct w:val="0"/>
        <w:autoSpaceDE/>
        <w:autoSpaceDN/>
        <w:bidi w:val="0"/>
        <w:snapToGrid w:val="0"/>
        <w:spacing w:before="0" w:after="0" w:line="360" w:lineRule="auto"/>
        <w:ind w:firstLine="482"/>
        <w:rPr>
          <w:rFonts w:hint="default" w:ascii="Times New Roman" w:hAnsi="Times New Roman" w:eastAsia="宋体" w:cs="Times New Roman"/>
          <w:b w:val="0"/>
          <w:bCs w:val="0"/>
          <w:color w:val="auto"/>
          <w:kern w:val="2"/>
          <w:sz w:val="21"/>
          <w:szCs w:val="21"/>
          <w:highlight w:val="none"/>
        </w:rPr>
      </w:pPr>
      <w:bookmarkStart w:id="126" w:name="_Toc20735"/>
      <w:r>
        <w:rPr>
          <w:rFonts w:hint="default" w:ascii="Times New Roman" w:hAnsi="Times New Roman" w:eastAsia="宋体" w:cs="Times New Roman"/>
          <w:b w:val="0"/>
          <w:bCs w:val="0"/>
          <w:color w:val="auto"/>
          <w:kern w:val="2"/>
          <w:sz w:val="21"/>
          <w:szCs w:val="21"/>
          <w:highlight w:val="none"/>
        </w:rPr>
        <w:t>为有效提高财政预算资金的经济性、效率性、效益性和公平性，建议将本次绩效评价结果作为预算单位次年预算编制的重要依据，并优化支出结构、完善相关办法、改进预算管理。</w:t>
      </w:r>
      <w:bookmarkEnd w:id="126"/>
    </w:p>
    <w:p w14:paraId="7F624DCD">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color w:val="auto"/>
          <w:highlight w:val="none"/>
        </w:rPr>
      </w:pPr>
      <w:bookmarkStart w:id="127" w:name="_Toc5374"/>
      <w:r>
        <w:rPr>
          <w:rFonts w:hint="eastAsia" w:ascii="Times New Roman" w:hAnsi="Times New Roman" w:eastAsia="宋体" w:cs="Times New Roman"/>
          <w:color w:val="auto"/>
          <w:highlight w:val="none"/>
        </w:rPr>
        <w:t>（二）绩效结果挂钩整改措施</w:t>
      </w:r>
      <w:bookmarkEnd w:id="127"/>
    </w:p>
    <w:p w14:paraId="53971D24">
      <w:pPr>
        <w:pStyle w:val="4"/>
        <w:pageBreakBefore w:val="0"/>
        <w:kinsoku/>
        <w:wordWrap/>
        <w:overflowPunct/>
        <w:topLinePunct w:val="0"/>
        <w:autoSpaceDE/>
        <w:autoSpaceDN/>
        <w:bidi w:val="0"/>
        <w:snapToGrid w:val="0"/>
        <w:spacing w:before="0" w:after="0" w:line="360" w:lineRule="auto"/>
        <w:ind w:firstLine="482"/>
        <w:rPr>
          <w:rFonts w:hint="default" w:ascii="Times New Roman" w:hAnsi="Times New Roman" w:eastAsia="宋体" w:cs="Times New Roman"/>
          <w:b w:val="0"/>
          <w:bCs w:val="0"/>
          <w:color w:val="auto"/>
          <w:kern w:val="2"/>
          <w:sz w:val="21"/>
          <w:szCs w:val="21"/>
          <w:highlight w:val="none"/>
        </w:rPr>
      </w:pPr>
      <w:bookmarkStart w:id="128" w:name="_Toc23613"/>
      <w:r>
        <w:rPr>
          <w:rFonts w:hint="default" w:ascii="Times New Roman" w:hAnsi="Times New Roman" w:eastAsia="宋体" w:cs="Times New Roman"/>
          <w:b w:val="0"/>
          <w:bCs w:val="0"/>
          <w:color w:val="auto"/>
          <w:kern w:val="2"/>
          <w:sz w:val="21"/>
          <w:szCs w:val="21"/>
          <w:highlight w:val="none"/>
        </w:rPr>
        <w:t>根据本次绩效评价报告中所反馈的问题和建议，由项目实</w:t>
      </w:r>
      <w:bookmarkStart w:id="158" w:name="_GoBack"/>
      <w:bookmarkEnd w:id="158"/>
      <w:r>
        <w:rPr>
          <w:rFonts w:hint="default" w:ascii="Times New Roman" w:hAnsi="Times New Roman" w:eastAsia="宋体" w:cs="Times New Roman"/>
          <w:b w:val="0"/>
          <w:bCs w:val="0"/>
          <w:color w:val="auto"/>
          <w:kern w:val="2"/>
          <w:sz w:val="21"/>
          <w:szCs w:val="21"/>
          <w:highlight w:val="none"/>
        </w:rPr>
        <w:t>施单位及时研究制定整改措施，积极落实整改要求，切实改进资金管理和项目管理，并在规定的时间内，将整改情况向</w:t>
      </w:r>
      <w:r>
        <w:rPr>
          <w:rFonts w:hint="eastAsia" w:ascii="Times New Roman" w:hAnsi="Times New Roman" w:eastAsia="宋体" w:cs="Times New Roman"/>
          <w:b w:val="0"/>
          <w:bCs w:val="0"/>
          <w:color w:val="auto"/>
          <w:kern w:val="2"/>
          <w:sz w:val="21"/>
          <w:szCs w:val="21"/>
          <w:highlight w:val="none"/>
          <w:lang w:eastAsia="zh-CN"/>
        </w:rPr>
        <w:t>伊宁县</w:t>
      </w:r>
      <w:r>
        <w:rPr>
          <w:rFonts w:hint="default" w:ascii="Times New Roman" w:hAnsi="Times New Roman" w:eastAsia="宋体" w:cs="Times New Roman"/>
          <w:b w:val="0"/>
          <w:bCs w:val="0"/>
          <w:color w:val="auto"/>
          <w:kern w:val="2"/>
          <w:sz w:val="21"/>
          <w:szCs w:val="21"/>
          <w:highlight w:val="none"/>
        </w:rPr>
        <w:t>财政局行文报告，并附《绩效评价结果整改报告》。</w:t>
      </w:r>
      <w:bookmarkEnd w:id="128"/>
    </w:p>
    <w:p w14:paraId="1EF926C8">
      <w:pPr>
        <w:pStyle w:val="4"/>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宋体" w:cs="Times New Roman"/>
          <w:color w:val="auto"/>
          <w:highlight w:val="none"/>
        </w:rPr>
      </w:pPr>
      <w:bookmarkStart w:id="129" w:name="_Toc26238"/>
      <w:r>
        <w:rPr>
          <w:rFonts w:hint="eastAsia" w:ascii="Times New Roman" w:hAnsi="Times New Roman" w:eastAsia="宋体" w:cs="Times New Roman"/>
          <w:color w:val="auto"/>
          <w:highlight w:val="none"/>
        </w:rPr>
        <w:t>（三）绩效结果挂钩报告公开</w:t>
      </w:r>
      <w:bookmarkEnd w:id="129"/>
    </w:p>
    <w:p w14:paraId="62BE0262">
      <w:pPr>
        <w:pStyle w:val="4"/>
        <w:pageBreakBefore w:val="0"/>
        <w:kinsoku/>
        <w:wordWrap/>
        <w:overflowPunct/>
        <w:topLinePunct w:val="0"/>
        <w:autoSpaceDE/>
        <w:autoSpaceDN/>
        <w:bidi w:val="0"/>
        <w:snapToGrid w:val="0"/>
        <w:spacing w:before="0" w:after="0" w:line="360" w:lineRule="auto"/>
        <w:ind w:firstLine="482"/>
        <w:rPr>
          <w:rFonts w:hint="default" w:ascii="Times New Roman" w:hAnsi="Times New Roman" w:eastAsia="宋体" w:cs="Times New Roman"/>
          <w:b w:val="0"/>
          <w:bCs w:val="0"/>
          <w:color w:val="auto"/>
          <w:kern w:val="2"/>
          <w:sz w:val="21"/>
          <w:szCs w:val="21"/>
          <w:highlight w:val="none"/>
        </w:rPr>
      </w:pPr>
      <w:r>
        <w:rPr>
          <w:rFonts w:hint="default" w:ascii="Times New Roman" w:hAnsi="Times New Roman" w:eastAsia="宋体" w:cs="Times New Roman"/>
          <w:b w:val="0"/>
          <w:bCs w:val="0"/>
          <w:color w:val="auto"/>
          <w:kern w:val="2"/>
          <w:sz w:val="21"/>
          <w:szCs w:val="21"/>
          <w:highlight w:val="none"/>
          <w:lang w:val="en-US" w:eastAsia="zh-CN"/>
        </w:rPr>
        <w:t>积极推进评价结果和评价报告等绩效信息的公开。按照政府信息公开有关规定，由伊宁县财政局将本次绩效评价的结果信息进行公开，加强社会和舆论监督，提高财政资金使用透明度。</w:t>
      </w:r>
    </w:p>
    <w:p w14:paraId="5103BBA4">
      <w:pPr>
        <w:pStyle w:val="4"/>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highlight w:val="none"/>
        </w:rPr>
      </w:pPr>
      <w:bookmarkStart w:id="130" w:name="_Toc27780"/>
      <w:r>
        <w:rPr>
          <w:rFonts w:hint="eastAsia" w:ascii="Times New Roman" w:hAnsi="Times New Roman" w:eastAsia="宋体" w:cs="Times New Roman"/>
          <w:color w:val="auto"/>
          <w:highlight w:val="none"/>
          <w:lang w:val="en-US" w:eastAsia="zh-CN"/>
        </w:rPr>
        <w:t>九</w:t>
      </w:r>
      <w:r>
        <w:rPr>
          <w:rFonts w:ascii="Times New Roman" w:hAnsi="Times New Roman" w:eastAsia="宋体" w:cs="Times New Roman"/>
          <w:color w:val="auto"/>
          <w:highlight w:val="none"/>
        </w:rPr>
        <w:t>、其他需要说明的问题</w:t>
      </w:r>
      <w:bookmarkEnd w:id="122"/>
      <w:bookmarkEnd w:id="124"/>
      <w:bookmarkEnd w:id="130"/>
    </w:p>
    <w:p w14:paraId="15CE7F71">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724" w:type="dxa"/>
            <w:tcBorders>
              <w:top w:val="nil"/>
              <w:left w:val="nil"/>
              <w:bottom w:val="nil"/>
              <w:right w:val="nil"/>
            </w:tcBorders>
          </w:tcPr>
          <w:p w14:paraId="366F7BE6">
            <w:pPr>
              <w:pageBreakBefore w:val="0"/>
              <w:kinsoku/>
              <w:wordWrap/>
              <w:overflowPunct/>
              <w:topLinePunct w:val="0"/>
              <w:autoSpaceDE/>
              <w:autoSpaceDN/>
              <w:bidi w:val="0"/>
              <w:snapToGrid w:val="0"/>
              <w:spacing w:before="0" w:after="0" w:line="360" w:lineRule="auto"/>
              <w:ind w:firstLine="0" w:firstLineChars="0"/>
              <w:rPr>
                <w:rFonts w:hint="default" w:eastAsia="宋体" w:cs="Times New Roman"/>
                <w:color w:val="auto"/>
                <w:highlight w:val="none"/>
                <w:lang w:val="en-US" w:eastAsia="zh-CN"/>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r>
              <w:rPr>
                <w:rFonts w:ascii="Times New Roman" w:hAnsi="Times New Roman" w:eastAsia="宋体" w:cs="Times New Roman"/>
                <w:color w:val="auto"/>
                <w:highlight w:val="none"/>
              </w:rPr>
              <w:t>评价时间：202</w:t>
            </w:r>
            <w:r>
              <w:rPr>
                <w:rFonts w:hint="eastAsia" w:ascii="Times New Roman" w:hAnsi="Times New Roman" w:eastAsia="宋体" w:cs="Times New Roman"/>
                <w:color w:val="auto"/>
                <w:highlight w:val="none"/>
                <w:lang w:val="en-US" w:eastAsia="zh-CN"/>
              </w:rPr>
              <w:t>5</w:t>
            </w:r>
            <w:r>
              <w:rPr>
                <w:rFonts w:ascii="Times New Roman" w:hAnsi="Times New Roman" w:eastAsia="宋体" w:cs="Times New Roman"/>
                <w:color w:val="auto"/>
                <w:highlight w:val="none"/>
              </w:rPr>
              <w:t>年</w:t>
            </w:r>
            <w:r>
              <w:rPr>
                <w:rFonts w:hint="eastAsia" w:ascii="Times New Roman" w:hAnsi="Times New Roman" w:eastAsia="宋体" w:cs="Times New Roman"/>
                <w:color w:val="auto"/>
                <w:highlight w:val="none"/>
                <w:lang w:val="en-US" w:eastAsia="zh-CN"/>
              </w:rPr>
              <w:t>8</w:t>
            </w:r>
            <w:r>
              <w:rPr>
                <w:rFonts w:hint="eastAsia" w:ascii="Times New Roman" w:hAnsi="Times New Roman" w:eastAsia="宋体" w:cs="Times New Roman"/>
                <w:color w:val="auto"/>
                <w:highlight w:val="none"/>
              </w:rPr>
              <w:t>月</w:t>
            </w:r>
          </w:p>
        </w:tc>
      </w:tr>
    </w:tbl>
    <w:p w14:paraId="06D6F033">
      <w:pPr>
        <w:pageBreakBefore w:val="0"/>
        <w:kinsoku/>
        <w:wordWrap/>
        <w:overflowPunct/>
        <w:topLinePunct w:val="0"/>
        <w:autoSpaceDE/>
        <w:autoSpaceDN/>
        <w:bidi w:val="0"/>
        <w:snapToGrid w:val="0"/>
        <w:spacing w:before="0" w:after="0" w:line="360" w:lineRule="auto"/>
        <w:ind w:firstLine="3150" w:firstLineChars="1500"/>
        <w:rPr>
          <w:rFonts w:ascii="Times New Roman" w:hAnsi="Times New Roman" w:eastAsia="宋体" w:cs="Times New Roman"/>
          <w:color w:val="auto"/>
          <w:highlight w:val="none"/>
        </w:rPr>
        <w:sectPr>
          <w:footerReference r:id="rId14" w:type="default"/>
          <w:pgSz w:w="11906" w:h="16838"/>
          <w:pgMar w:top="1440" w:right="1800" w:bottom="1440" w:left="1800" w:header="850" w:footer="907" w:gutter="0"/>
          <w:pgNumType w:start="1"/>
          <w:cols w:space="425" w:num="1"/>
          <w:docGrid w:type="lines" w:linePitch="312" w:charSpace="0"/>
        </w:sectPr>
      </w:pPr>
    </w:p>
    <w:p w14:paraId="6FE162B1">
      <w:pPr>
        <w:pStyle w:val="4"/>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highlight w:val="none"/>
        </w:rPr>
      </w:pPr>
      <w:bookmarkStart w:id="131" w:name="_Toc9895"/>
      <w:bookmarkStart w:id="132" w:name="_Toc13898"/>
      <w:r>
        <w:rPr>
          <w:rFonts w:ascii="Times New Roman" w:hAnsi="Times New Roman" w:eastAsia="宋体" w:cs="Times New Roman"/>
          <w:color w:val="auto"/>
          <w:highlight w:val="none"/>
        </w:rPr>
        <w:t>附件1：绩效评价指标体系及综合评价表</w:t>
      </w:r>
      <w:bookmarkEnd w:id="131"/>
      <w:bookmarkEnd w:id="132"/>
    </w:p>
    <w:p w14:paraId="23AA572F">
      <w:pPr>
        <w:pageBreakBefore w:val="0"/>
        <w:kinsoku/>
        <w:wordWrap/>
        <w:overflowPunct/>
        <w:topLinePunct w:val="0"/>
        <w:autoSpaceDE/>
        <w:autoSpaceDN/>
        <w:bidi w:val="0"/>
        <w:snapToGrid w:val="0"/>
        <w:spacing w:before="0" w:after="0" w:line="360" w:lineRule="auto"/>
        <w:ind w:firstLine="422"/>
        <w:jc w:val="center"/>
        <w:rPr>
          <w:rFonts w:ascii="Times New Roman" w:hAnsi="Times New Roman" w:eastAsia="宋体" w:cs="Times New Roman"/>
          <w:b/>
          <w:bCs/>
          <w:color w:val="auto"/>
          <w:highlight w:val="none"/>
        </w:rPr>
      </w:pPr>
      <w:r>
        <w:rPr>
          <w:rFonts w:ascii="Times New Roman" w:hAnsi="Times New Roman" w:eastAsia="宋体" w:cs="Times New Roman"/>
          <w:b/>
          <w:bCs/>
          <w:color w:val="auto"/>
          <w:highlight w:val="none"/>
          <w:lang w:val="en-US"/>
        </w:rPr>
        <w:t>伊宁县全民健身场地设施项目</w:t>
      </w:r>
      <w:r>
        <w:rPr>
          <w:rFonts w:ascii="Times New Roman" w:hAnsi="Times New Roman" w:eastAsia="宋体" w:cs="Times New Roman"/>
          <w:b/>
          <w:bCs/>
          <w:color w:val="auto"/>
          <w:highlight w:val="none"/>
        </w:rPr>
        <w:t>绩效评价指标体系及综合评分表</w:t>
      </w:r>
    </w:p>
    <w:tbl>
      <w:tblPr>
        <w:tblStyle w:val="18"/>
        <w:tblW w:w="4996" w:type="pct"/>
        <w:tblInd w:w="0" w:type="dxa"/>
        <w:tblLayout w:type="fixed"/>
        <w:tblCellMar>
          <w:top w:w="0" w:type="dxa"/>
          <w:left w:w="51" w:type="dxa"/>
          <w:bottom w:w="0" w:type="dxa"/>
          <w:right w:w="51" w:type="dxa"/>
        </w:tblCellMar>
      </w:tblPr>
      <w:tblGrid>
        <w:gridCol w:w="692"/>
        <w:gridCol w:w="799"/>
        <w:gridCol w:w="1069"/>
        <w:gridCol w:w="1849"/>
        <w:gridCol w:w="5316"/>
        <w:gridCol w:w="978"/>
        <w:gridCol w:w="879"/>
        <w:gridCol w:w="783"/>
        <w:gridCol w:w="750"/>
        <w:gridCol w:w="934"/>
      </w:tblGrid>
      <w:tr w14:paraId="0B16067F">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C41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42C3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5939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三级指标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B0F2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指标解释</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0775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7C8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目标值</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CCE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实际完成值</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77CC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标杆分值</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0BAA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指标得分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1FD9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highlight w:val="none"/>
              </w:rPr>
            </w:pPr>
            <w:r>
              <w:rPr>
                <w:rFonts w:hint="eastAsia" w:ascii="Times New Roman" w:hAnsi="Times New Roman" w:eastAsia="宋体" w:cs="Times New Roman"/>
                <w:b/>
                <w:bCs/>
                <w:color w:val="auto"/>
                <w:kern w:val="0"/>
                <w:sz w:val="20"/>
                <w:szCs w:val="20"/>
                <w:highlight w:val="none"/>
                <w:lang w:bidi="ar"/>
              </w:rPr>
              <w:t>得分率</w:t>
            </w:r>
          </w:p>
        </w:tc>
      </w:tr>
      <w:tr w14:paraId="2BC93F15">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C72B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A决策（15.00分）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095C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A1项目立项（3.00分）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173D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A11立项依据充分性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122D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项目立项是否符合法律法规、相关政策、发展规划以及部门职责，用以反映和考核项目立项依据情况。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9AF0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47C736E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①项目立项是否符合国家法律法规、国民经济发展规划和相关政策；</w:t>
            </w:r>
          </w:p>
          <w:p w14:paraId="55BE8BC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②项目立项是否符合行业发展规划和政策要求；</w:t>
            </w:r>
          </w:p>
          <w:p w14:paraId="0C96235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③项目立项是否与部门职责范围相符，属于部门履职所需；</w:t>
            </w:r>
          </w:p>
          <w:p w14:paraId="36AD3F5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④项目是否属于公共财政支持范围，是否符合中央、地方事权支出责任划分原则；</w:t>
            </w:r>
          </w:p>
          <w:p w14:paraId="51D0CA6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⑤项目是否与相关部门同类项目或部门内部相关项目重复。</w:t>
            </w:r>
          </w:p>
          <w:p w14:paraId="40C6A9B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FEB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充分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B7F5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充分</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7976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B22B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3DA8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2B4451F1">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401E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8991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3BE8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A12立项程序规范性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48BB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项目申请、设立过程是否符合相关要求，用以反映和考核项目立项的规范情况。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2921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03744DF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①项目是否按照规定的程序申请设立；</w:t>
            </w:r>
          </w:p>
          <w:p w14:paraId="38ADE18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②审批文件、材料是否符合相关要求；</w:t>
            </w:r>
          </w:p>
          <w:p w14:paraId="09A0528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③事前是否已经过必要的可行性研究、专家论证、风险评估、绩效评估、集体决策。</w:t>
            </w:r>
          </w:p>
          <w:p w14:paraId="4CA6BEC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以上三项中，每发现一处不符扣0.5分，扣完为止。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8D31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CA08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6C3D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BBA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8CCF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30367652">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3060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D67D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A2绩效目标（5.00分）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C1A2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A21绩效目标合理性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A086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项目所设定的绩效目标是否依据充分，是否符合客观实际，用以反映和考核项目绩效目标与项目实施的相符情况。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FA8E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2A07DE5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①项目是否有绩效目标；</w:t>
            </w:r>
          </w:p>
          <w:p w14:paraId="2014C78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②项目绩效目标与实际工作内容是否具有相关性；</w:t>
            </w:r>
          </w:p>
          <w:p w14:paraId="3BFFD64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③项目预期产出效益和效果是否符合正常的业绩水平；</w:t>
            </w:r>
          </w:p>
          <w:p w14:paraId="1BD57C8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④是否与预算确定的项目投资额或资金量相匹配。</w:t>
            </w:r>
          </w:p>
          <w:p w14:paraId="3210FC9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若①不符合，则此指标不得分；若①符合，则每发现一处不符扣0.2分，扣完为止。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7E36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7C76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0494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40E3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2.00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149C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75EF560C">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17B3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FC78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963B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A22绩效指标明确性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A8D5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依据绩效目标设定的绩效指标是否清晰、细化、可衡量等，用以反映和考核项目绩效目标</w:t>
            </w:r>
            <w:r>
              <w:rPr>
                <w:rFonts w:hint="eastAsia" w:ascii="Times New Roman" w:hAnsi="Times New Roman" w:eastAsia="宋体" w:cs="Times New Roman"/>
                <w:color w:val="auto"/>
                <w:kern w:val="0"/>
                <w:sz w:val="20"/>
                <w:szCs w:val="20"/>
                <w:highlight w:val="none"/>
                <w:lang w:eastAsia="zh-CN" w:bidi="ar"/>
              </w:rPr>
              <w:t>的</w:t>
            </w:r>
            <w:r>
              <w:rPr>
                <w:rFonts w:hint="eastAsia" w:ascii="Times New Roman" w:hAnsi="Times New Roman" w:eastAsia="宋体" w:cs="Times New Roman"/>
                <w:color w:val="auto"/>
                <w:kern w:val="0"/>
                <w:sz w:val="20"/>
                <w:szCs w:val="20"/>
                <w:highlight w:val="none"/>
                <w:lang w:bidi="ar"/>
              </w:rPr>
              <w:t>细化情况。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13662">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2FF3BA2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1F59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明确</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7C98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明确</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CCCB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6679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44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44A82009">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88B0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1B81C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A3资金投入（7.00分）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72A6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A31预算编制科学性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E2A3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项目预算编制是否经过科学论证、有明确标准，资金额度与年度目标是否相适应，用以反映和考核项目预算编制的科学性、合理性情况。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69484">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7FCB337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①预算编制是否经过科学论证；</w:t>
            </w:r>
          </w:p>
          <w:p w14:paraId="44FA0BE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②预算内容与项目内容是否匹配；</w:t>
            </w:r>
          </w:p>
          <w:p w14:paraId="5039E37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③预算额度测算依据是否充分，是否按照标准编制；</w:t>
            </w:r>
          </w:p>
          <w:p w14:paraId="45142B4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④预算确定的项目投资额或资金量是否与工作任务相匹配。</w:t>
            </w:r>
          </w:p>
          <w:p w14:paraId="211704A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每发现一处不符扣</w:t>
            </w:r>
            <w:r>
              <w:rPr>
                <w:rFonts w:hint="eastAsia"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6989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科学</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F681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科学</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9425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4.00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F7E5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eastAsia" w:eastAsia="宋体" w:cs="Times New Roman"/>
                <w:color w:val="auto"/>
                <w:kern w:val="0"/>
                <w:sz w:val="20"/>
                <w:szCs w:val="20"/>
                <w:highlight w:val="none"/>
                <w:lang w:val="en-US" w:eastAsia="zh-CN" w:bidi="ar"/>
              </w:rPr>
              <w:t>2.0</w:t>
            </w:r>
            <w:r>
              <w:rPr>
                <w:rFonts w:hint="eastAsia" w:ascii="Times New Roman" w:hAnsi="Times New Roman" w:eastAsia="宋体" w:cs="Times New Roman"/>
                <w:color w:val="auto"/>
                <w:kern w:val="0"/>
                <w:sz w:val="20"/>
                <w:szCs w:val="20"/>
                <w:highlight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9118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val="en-US" w:eastAsia="zh-CN" w:bidi="ar"/>
              </w:rPr>
              <w:t>0</w:t>
            </w:r>
            <w:r>
              <w:rPr>
                <w:rFonts w:hint="eastAsia" w:eastAsia="宋体" w:cs="Times New Roman"/>
                <w:color w:val="auto"/>
                <w:kern w:val="0"/>
                <w:sz w:val="20"/>
                <w:szCs w:val="20"/>
                <w:highlight w:val="none"/>
                <w:lang w:val="en-US" w:eastAsia="zh-CN" w:bidi="ar"/>
              </w:rPr>
              <w:t>.00</w:t>
            </w:r>
            <w:r>
              <w:rPr>
                <w:rFonts w:hint="eastAsia" w:ascii="Times New Roman" w:hAnsi="Times New Roman" w:eastAsia="宋体" w:cs="Times New Roman"/>
                <w:color w:val="auto"/>
                <w:kern w:val="0"/>
                <w:sz w:val="20"/>
                <w:szCs w:val="20"/>
                <w:highlight w:val="none"/>
                <w:lang w:bidi="ar"/>
              </w:rPr>
              <w:t>%</w:t>
            </w:r>
          </w:p>
        </w:tc>
      </w:tr>
      <w:tr w14:paraId="3578E781">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CF0CF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5A68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1B8E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A32资金分配合理性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1BB0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项目预算资金分配是否有测算依据，与补助单位或地方实际是否相适应，用以反映和考核项目预算资金分配的科学性、合理性情况。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55530">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65FE597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①预算资金分配依据是否充分；</w:t>
            </w:r>
          </w:p>
          <w:p w14:paraId="58D9513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②资金分配额度是否合理，与项目单位或地方实际是否相适应。</w:t>
            </w:r>
          </w:p>
          <w:p w14:paraId="5A9D3D0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0FCA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BA98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合理</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310C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8B64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B73D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0C7955B3">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B3CBA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5DB7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64FD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322D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15.00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5BEB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val="en-US" w:eastAsia="zh-CN" w:bidi="ar"/>
              </w:rPr>
              <w:t>1</w:t>
            </w:r>
            <w:r>
              <w:rPr>
                <w:rFonts w:hint="eastAsia" w:eastAsia="宋体" w:cs="Times New Roman"/>
                <w:b/>
                <w:bCs/>
                <w:color w:val="auto"/>
                <w:kern w:val="0"/>
                <w:sz w:val="20"/>
                <w:szCs w:val="20"/>
                <w:highlight w:val="none"/>
                <w:lang w:val="en-US" w:eastAsia="zh-CN" w:bidi="ar"/>
              </w:rPr>
              <w:t>3.0</w:t>
            </w:r>
            <w:r>
              <w:rPr>
                <w:rFonts w:hint="eastAsia" w:ascii="Times New Roman" w:hAnsi="Times New Roman" w:eastAsia="宋体" w:cs="Times New Roman"/>
                <w:b/>
                <w:bCs/>
                <w:color w:val="auto"/>
                <w:kern w:val="0"/>
                <w:sz w:val="20"/>
                <w:szCs w:val="20"/>
                <w:highlight w:val="none"/>
                <w:lang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0C05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eastAsia="宋体" w:cs="Times New Roman"/>
                <w:b/>
                <w:bCs/>
                <w:color w:val="auto"/>
                <w:kern w:val="0"/>
                <w:sz w:val="20"/>
                <w:szCs w:val="20"/>
                <w:highlight w:val="none"/>
                <w:lang w:val="en-US" w:eastAsia="zh-CN" w:bidi="ar"/>
              </w:rPr>
              <w:t>8</w:t>
            </w:r>
            <w:r>
              <w:rPr>
                <w:rFonts w:hint="eastAsia" w:ascii="Times New Roman" w:hAnsi="Times New Roman" w:eastAsia="宋体" w:cs="Times New Roman"/>
                <w:b/>
                <w:bCs/>
                <w:color w:val="auto"/>
                <w:kern w:val="0"/>
                <w:sz w:val="20"/>
                <w:szCs w:val="20"/>
                <w:highlight w:val="none"/>
                <w:lang w:val="en-US" w:eastAsia="zh-CN" w:bidi="ar"/>
              </w:rPr>
              <w:t>6.67</w:t>
            </w:r>
            <w:r>
              <w:rPr>
                <w:rFonts w:hint="eastAsia" w:ascii="Times New Roman" w:hAnsi="Times New Roman" w:eastAsia="宋体" w:cs="Times New Roman"/>
                <w:b/>
                <w:bCs/>
                <w:color w:val="auto"/>
                <w:kern w:val="0"/>
                <w:sz w:val="20"/>
                <w:szCs w:val="20"/>
                <w:highlight w:val="none"/>
                <w:lang w:bidi="ar"/>
              </w:rPr>
              <w:t>%</w:t>
            </w:r>
          </w:p>
        </w:tc>
      </w:tr>
      <w:tr w14:paraId="350D7688">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0949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B过程（25.00分）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7517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B1资金管理（13.00分）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3C8B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B11资金到位率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6115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实际到位资金与预算资金的比率，用以反映和考核资金落实情况对项目实施的总体保障程度。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7EBB2">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资金到位率=（实际到位资金/预算资金）×100.00%。</w:t>
            </w:r>
          </w:p>
          <w:p w14:paraId="7034930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项目完成且资金到位数满足年度预算规模需求，得3.00分；项目尚未完成，资金到位率小于100.00%且大于等于80.00%的得2.00分，资金到位率小于80.00%且大于等于60.00%的得1.00分，资金到位率小于60.00%的不得分。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77CB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03EA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8B95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D327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BB51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02EAC7D1">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14E3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1BA2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D2F7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B12预算执行率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F332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项目预算资金是否按照计划执行，用以反映或考核项目预算执行情况。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90846">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预算执行率=（实际支出资金/实际到位资金）×100.00%。</w:t>
            </w:r>
          </w:p>
          <w:p w14:paraId="00F7E26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项目完成且执行数控制在年度预算规模之内的，得5.00分；项目尚未完成，预算执行率小于100.00%且大于等于80.00%的得4.00分，预算执行率小于80.00%且大于等于60.00%的得3.00分，预算执行率小于60.00%的不得分。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C83E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25B8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99.15</w:t>
            </w:r>
            <w:r>
              <w:rPr>
                <w:rFonts w:hint="eastAsia" w:ascii="Times New Roman" w:hAnsi="Times New Roman" w:eastAsia="宋体" w:cs="Times New Roman"/>
                <w:color w:val="auto"/>
                <w:kern w:val="0"/>
                <w:sz w:val="20"/>
                <w:szCs w:val="20"/>
                <w:highlight w:val="none"/>
                <w:lang w:bidi="ar"/>
              </w:rPr>
              <w:t>%</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325F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5.00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938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3069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10</w:t>
            </w:r>
            <w:r>
              <w:rPr>
                <w:rFonts w:hint="eastAsia" w:ascii="Times New Roman" w:hAnsi="Times New Roman" w:eastAsia="宋体" w:cs="Times New Roman"/>
                <w:color w:val="auto"/>
                <w:kern w:val="0"/>
                <w:sz w:val="20"/>
                <w:szCs w:val="20"/>
                <w:highlight w:val="none"/>
                <w:lang w:bidi="ar"/>
              </w:rPr>
              <w:t>0.00%</w:t>
            </w:r>
          </w:p>
        </w:tc>
      </w:tr>
      <w:tr w14:paraId="71E4AB0D">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DDA13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F45B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47C2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B13资金使用合规性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2D11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考察项目单位资金的使用规范程度。项目资金使用是否符合相关法律法规、制度和规定，用以反映和考核项目资金使用的规范性和安全性。</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B3E8A">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2E8BD37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①是否符合国家财经法规和财务管理制度以及有关专项资金管理办法的规定；</w:t>
            </w:r>
          </w:p>
          <w:p w14:paraId="2155640A">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②是否符合项目预算批复或合同规定的用途；</w:t>
            </w:r>
          </w:p>
          <w:p w14:paraId="2302689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③是否存在截留、挤占、挪用、虚列支出等情况；</w:t>
            </w:r>
          </w:p>
          <w:p w14:paraId="11E5127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④资金的拨付是否有完整的审批程序和手续。</w:t>
            </w:r>
          </w:p>
          <w:p w14:paraId="2032BB1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以上四项不满足①或②或③时属于严重违规事项，本项指标不得分，在符合①、②和③的条件下，其他各项符合则得分，否则，每发现一处不符扣0.5分，扣完为止。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1B54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合规</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21BB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合规</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97C4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5.00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F108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74C8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6</w:t>
            </w:r>
            <w:r>
              <w:rPr>
                <w:rFonts w:hint="eastAsia" w:ascii="Times New Roman" w:hAnsi="Times New Roman" w:eastAsia="宋体" w:cs="Times New Roman"/>
                <w:color w:val="auto"/>
                <w:kern w:val="0"/>
                <w:sz w:val="20"/>
                <w:szCs w:val="20"/>
                <w:highlight w:val="none"/>
                <w:lang w:bidi="ar"/>
              </w:rPr>
              <w:t>0.00%</w:t>
            </w:r>
          </w:p>
        </w:tc>
      </w:tr>
      <w:tr w14:paraId="49D236B2">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72D8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8410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B2组织实施（12.00分）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1216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B21管理制度健全性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3A5F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项目实施单位的财务和业务管理制度是否健全，用以反映和考核财务和业务管理制度对项目顺利实施的保障情况。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D521D">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6AEAFB4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①是否已制定或具有相应的财务和业务管理制度；</w:t>
            </w:r>
          </w:p>
          <w:p w14:paraId="013DE48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②财务和业务管理制度是否合法、合规、完整。</w:t>
            </w:r>
          </w:p>
          <w:p w14:paraId="67C3821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以上两项分别占50%的权重分，符合则得分；存在部分制度缺失、内容不完整或不满足管理要求的，每发现一处不符扣</w:t>
            </w:r>
            <w:r>
              <w:rPr>
                <w:rFonts w:hint="eastAsia"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0E3A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健全</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D011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健全</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FEA7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4.00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0BAC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2</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C902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50</w:t>
            </w:r>
            <w:r>
              <w:rPr>
                <w:rFonts w:hint="eastAsia" w:ascii="Times New Roman" w:hAnsi="Times New Roman" w:eastAsia="宋体" w:cs="Times New Roman"/>
                <w:color w:val="auto"/>
                <w:kern w:val="0"/>
                <w:sz w:val="20"/>
                <w:szCs w:val="20"/>
                <w:highlight w:val="none"/>
                <w:lang w:bidi="ar"/>
              </w:rPr>
              <w:t>.00%</w:t>
            </w:r>
          </w:p>
        </w:tc>
      </w:tr>
      <w:tr w14:paraId="502B01F5">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13E12">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5823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7490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B22制度执行有效性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F499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项目实施是否符合相关管理规定，用以反映和考核相关管理制度的有效执行情况。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378C6">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评价要点：</w:t>
            </w:r>
          </w:p>
          <w:p w14:paraId="0877D70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①是否遵守相关法律法规和相关管理规定；</w:t>
            </w:r>
          </w:p>
          <w:p w14:paraId="1347B96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②项目调整及支出调整手续是否完备；</w:t>
            </w:r>
          </w:p>
          <w:p w14:paraId="0A90389F">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③项目合同书、验收报告、技术鉴定等资料是否齐全并及时归档；</w:t>
            </w:r>
          </w:p>
          <w:p w14:paraId="7E13E6A9">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④项目实施的人员条件、场地设备、信息支撑等是否落实到位。</w:t>
            </w:r>
          </w:p>
          <w:p w14:paraId="0818268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以上四项中发现任意</w:t>
            </w:r>
            <w:r>
              <w:rPr>
                <w:rFonts w:hint="eastAsia" w:ascii="Times New Roman" w:hAnsi="Times New Roman" w:eastAsia="宋体" w:cs="Times New Roman"/>
                <w:color w:val="auto"/>
                <w:kern w:val="0"/>
                <w:sz w:val="20"/>
                <w:szCs w:val="20"/>
                <w:highlight w:val="none"/>
                <w:lang w:eastAsia="zh-CN" w:bidi="ar"/>
              </w:rPr>
              <w:t>一项</w:t>
            </w:r>
            <w:r>
              <w:rPr>
                <w:rFonts w:hint="eastAsia" w:ascii="Times New Roman" w:hAnsi="Times New Roman" w:eastAsia="宋体" w:cs="Times New Roman"/>
                <w:color w:val="auto"/>
                <w:kern w:val="0"/>
                <w:sz w:val="20"/>
                <w:szCs w:val="20"/>
                <w:highlight w:val="none"/>
                <w:lang w:bidi="ar"/>
              </w:rPr>
              <w:t>制度执行不到位的扣</w:t>
            </w:r>
            <w:r>
              <w:rPr>
                <w:rFonts w:hint="eastAsia" w:ascii="Times New Roman" w:hAnsi="Times New Roman" w:eastAsia="宋体" w:cs="Times New Roman"/>
                <w:color w:val="auto"/>
                <w:kern w:val="0"/>
                <w:sz w:val="20"/>
                <w:szCs w:val="20"/>
                <w:highlight w:val="none"/>
                <w:lang w:val="en-US" w:eastAsia="zh-CN" w:bidi="ar"/>
              </w:rPr>
              <w:t>0.50</w:t>
            </w:r>
            <w:r>
              <w:rPr>
                <w:rFonts w:hint="eastAsia" w:ascii="Times New Roman" w:hAnsi="Times New Roman" w:eastAsia="宋体" w:cs="Times New Roman"/>
                <w:color w:val="auto"/>
                <w:kern w:val="0"/>
                <w:sz w:val="20"/>
                <w:szCs w:val="20"/>
                <w:highlight w:val="none"/>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D049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有效</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EE5E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较</w:t>
            </w:r>
            <w:r>
              <w:rPr>
                <w:rFonts w:hint="eastAsia" w:ascii="Times New Roman" w:hAnsi="Times New Roman" w:eastAsia="宋体" w:cs="Times New Roman"/>
                <w:color w:val="auto"/>
                <w:kern w:val="0"/>
                <w:sz w:val="20"/>
                <w:szCs w:val="20"/>
                <w:highlight w:val="none"/>
                <w:lang w:bidi="ar"/>
              </w:rPr>
              <w:t>有效</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BEE7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8.00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F2C7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val="en-US" w:eastAsia="zh-CN" w:bidi="ar"/>
              </w:rPr>
              <w:t>.</w:t>
            </w:r>
            <w:r>
              <w:rPr>
                <w:rFonts w:hint="eastAsia"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599F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color w:val="auto"/>
                <w:kern w:val="0"/>
                <w:sz w:val="20"/>
                <w:szCs w:val="20"/>
                <w:highlight w:val="none"/>
                <w:lang w:val="en-US" w:eastAsia="zh-CN" w:bidi="ar"/>
              </w:rPr>
              <w:t>43.75</w:t>
            </w:r>
            <w:r>
              <w:rPr>
                <w:rFonts w:hint="eastAsia" w:ascii="Times New Roman" w:hAnsi="Times New Roman" w:eastAsia="宋体" w:cs="Times New Roman"/>
                <w:color w:val="auto"/>
                <w:kern w:val="0"/>
                <w:sz w:val="20"/>
                <w:szCs w:val="20"/>
                <w:highlight w:val="none"/>
                <w:lang w:bidi="ar"/>
              </w:rPr>
              <w:t>%</w:t>
            </w:r>
          </w:p>
        </w:tc>
      </w:tr>
      <w:tr w14:paraId="67CB6A4E">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DDBA4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3E58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13D4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B467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25.00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2C16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val="en-US" w:eastAsia="zh-CN" w:bidi="ar"/>
              </w:rPr>
              <w:t>1</w:t>
            </w:r>
            <w:r>
              <w:rPr>
                <w:rFonts w:hint="eastAsia" w:eastAsia="宋体" w:cs="Times New Roman"/>
                <w:b/>
                <w:bCs/>
                <w:color w:val="auto"/>
                <w:kern w:val="0"/>
                <w:sz w:val="20"/>
                <w:szCs w:val="20"/>
                <w:highlight w:val="none"/>
                <w:lang w:val="en-US" w:eastAsia="zh-CN" w:bidi="ar"/>
              </w:rPr>
              <w:t>6.5</w:t>
            </w:r>
            <w:r>
              <w:rPr>
                <w:rFonts w:hint="eastAsia" w:ascii="Times New Roman" w:hAnsi="Times New Roman" w:eastAsia="宋体" w:cs="Times New Roman"/>
                <w:b/>
                <w:bCs/>
                <w:color w:val="auto"/>
                <w:kern w:val="0"/>
                <w:sz w:val="20"/>
                <w:szCs w:val="20"/>
                <w:highlight w:val="none"/>
                <w:lang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F83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eastAsia="宋体" w:cs="Times New Roman"/>
                <w:b/>
                <w:bCs/>
                <w:color w:val="auto"/>
                <w:kern w:val="0"/>
                <w:sz w:val="20"/>
                <w:szCs w:val="20"/>
                <w:highlight w:val="none"/>
                <w:lang w:val="en-US" w:eastAsia="zh-CN" w:bidi="ar"/>
              </w:rPr>
              <w:t>66</w:t>
            </w:r>
            <w:r>
              <w:rPr>
                <w:rFonts w:hint="eastAsia" w:ascii="Times New Roman" w:hAnsi="Times New Roman" w:eastAsia="宋体" w:cs="Times New Roman"/>
                <w:b/>
                <w:bCs/>
                <w:color w:val="auto"/>
                <w:kern w:val="0"/>
                <w:sz w:val="20"/>
                <w:szCs w:val="20"/>
                <w:highlight w:val="none"/>
                <w:lang w:bidi="ar"/>
              </w:rPr>
              <w:t>.00%</w:t>
            </w:r>
          </w:p>
        </w:tc>
      </w:tr>
      <w:tr w14:paraId="1F922543">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C59AE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C产出（30.00分）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066C8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C1产出数量（14.00分）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61DE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C11新建建设五人制笼式足球场工程量</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2280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项目实施的实际产出数与计划产出数的比率，用以反映和考核项目产出数量目标的实现程度。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7C7FD">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实际完成率=（实际产出数/计划产出数）×100.0%。</w:t>
            </w:r>
          </w:p>
          <w:p w14:paraId="27A69F1E">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779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≥1,080.00平方米</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1F65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1,080.00平方米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CE80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7.00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5D1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7.00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2CFE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6956A820">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5D9E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2C4C6">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4A0C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C12新建标准篮球场工程量</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910D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项目实施的实际产出数与计划产出数的比率，用以反映和考核项目产出数量目标的实现程度。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27653">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实际完成率=（实际产出数/计划产出数）×100.0%。</w:t>
            </w:r>
          </w:p>
          <w:p w14:paraId="00183D01">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6DAA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≥1,587.00平方米</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AF85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1,5</w:t>
            </w:r>
            <w:r>
              <w:rPr>
                <w:rFonts w:hint="eastAsia" w:ascii="Times New Roman" w:hAnsi="Times New Roman" w:eastAsia="宋体" w:cs="Times New Roman"/>
                <w:color w:val="auto"/>
                <w:kern w:val="0"/>
                <w:sz w:val="20"/>
                <w:szCs w:val="20"/>
                <w:highlight w:val="none"/>
                <w:lang w:val="en-US" w:eastAsia="zh-CN" w:bidi="ar"/>
              </w:rPr>
              <w:t>96</w:t>
            </w:r>
            <w:r>
              <w:rPr>
                <w:rFonts w:hint="eastAsia" w:ascii="Times New Roman" w:hAnsi="Times New Roman" w:eastAsia="宋体" w:cs="Times New Roman"/>
                <w:color w:val="auto"/>
                <w:kern w:val="0"/>
                <w:sz w:val="20"/>
                <w:szCs w:val="20"/>
                <w:highlight w:val="none"/>
                <w:lang w:bidi="ar"/>
              </w:rPr>
              <w:t>.00平方米</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7878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7.00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EEF0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7.00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626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339E57D9">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D83DA">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66684">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C2产出质量（</w:t>
            </w: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2B70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bidi="ar"/>
              </w:rPr>
              <w:t>C21</w:t>
            </w:r>
            <w:r>
              <w:rPr>
                <w:rFonts w:hint="eastAsia" w:ascii="Times New Roman" w:hAnsi="Times New Roman" w:eastAsia="宋体" w:cs="Times New Roman"/>
                <w:color w:val="auto"/>
                <w:kern w:val="0"/>
                <w:sz w:val="20"/>
                <w:szCs w:val="20"/>
                <w:highlight w:val="none"/>
                <w:lang w:eastAsia="zh-CN" w:bidi="ar"/>
              </w:rPr>
              <w:t>竣工验收合格率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5C62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项目完成的质量达标产出数与实际产出数的比率，用以反映和考核项目产出质量目标的实现程度。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1F455">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实际完成率=实际验收合格数/计划验收合格数×100%。</w:t>
            </w:r>
          </w:p>
          <w:p w14:paraId="7A9A084C">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FC8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4914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EDC5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1329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5</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EAF6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6B56A44D">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A3BDB">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67098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C3产出时效（</w:t>
            </w:r>
            <w:r>
              <w:rPr>
                <w:rFonts w:hint="eastAsia" w:ascii="Times New Roman" w:hAnsi="Times New Roman" w:eastAsia="宋体" w:cs="Times New Roman"/>
                <w:color w:val="auto"/>
                <w:kern w:val="0"/>
                <w:sz w:val="20"/>
                <w:szCs w:val="20"/>
                <w:highlight w:val="none"/>
                <w:lang w:val="en-US" w:eastAsia="zh-CN" w:bidi="ar"/>
              </w:rPr>
              <w:t>6</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FD3C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C31项目开工及时率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956A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考核是否按照计划开工，是否存在延期开工的情况。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41178">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项目在2024年5月31日前</w:t>
            </w:r>
            <w:r>
              <w:rPr>
                <w:rFonts w:hint="eastAsia" w:ascii="Times New Roman" w:hAnsi="Times New Roman" w:eastAsia="宋体" w:cs="Times New Roman"/>
                <w:color w:val="auto"/>
                <w:kern w:val="0"/>
                <w:sz w:val="20"/>
                <w:szCs w:val="20"/>
                <w:highlight w:val="none"/>
                <w:lang w:val="en-US" w:eastAsia="zh-CN" w:bidi="ar"/>
              </w:rPr>
              <w:t>开</w:t>
            </w:r>
            <w:r>
              <w:rPr>
                <w:rFonts w:hint="eastAsia" w:ascii="Times New Roman" w:hAnsi="Times New Roman" w:eastAsia="宋体" w:cs="Times New Roman"/>
                <w:color w:val="auto"/>
                <w:kern w:val="0"/>
                <w:sz w:val="20"/>
                <w:szCs w:val="20"/>
                <w:highlight w:val="none"/>
                <w:lang w:bidi="ar"/>
              </w:rPr>
              <w:t>工得满分，否则，不得分。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C98F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A8AD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10</w:t>
            </w:r>
            <w:r>
              <w:rPr>
                <w:rFonts w:hint="eastAsia" w:ascii="Times New Roman" w:hAnsi="Times New Roman" w:eastAsia="宋体" w:cs="Times New Roman"/>
                <w:color w:val="auto"/>
                <w:kern w:val="0"/>
                <w:sz w:val="20"/>
                <w:szCs w:val="20"/>
                <w:highlight w:val="none"/>
                <w:lang w:bidi="ar"/>
              </w:rPr>
              <w:t>0.00%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F00A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bidi="ar"/>
              </w:rPr>
              <w:t>.00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ACB7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3</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4E64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10</w:t>
            </w:r>
            <w:r>
              <w:rPr>
                <w:rFonts w:hint="eastAsia" w:ascii="Times New Roman" w:hAnsi="Times New Roman" w:eastAsia="宋体" w:cs="Times New Roman"/>
                <w:color w:val="auto"/>
                <w:kern w:val="0"/>
                <w:sz w:val="20"/>
                <w:szCs w:val="20"/>
                <w:highlight w:val="none"/>
                <w:lang w:bidi="ar"/>
              </w:rPr>
              <w:t>0.00%</w:t>
            </w:r>
          </w:p>
        </w:tc>
      </w:tr>
      <w:tr w14:paraId="58052D28">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4117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5A6FB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FDCFE">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C32项目完工及时率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01DD1">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项目实际完成时间与计划完成时间的比较，用以反映和考核项目产出时效目标的实现程度。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BE50C">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项目在2024年10月31日前完工得满分，否则，不得分。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1AC8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2623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791E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7C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3.00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D79C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3FA57950">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C899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CD4D3">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C4产出成本（5.00分）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B83FC">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bidi="ar"/>
              </w:rPr>
              <w:t>C41</w:t>
            </w:r>
            <w:r>
              <w:rPr>
                <w:rFonts w:hint="eastAsia" w:eastAsia="宋体" w:cs="Times New Roman"/>
                <w:color w:val="auto"/>
                <w:kern w:val="0"/>
                <w:sz w:val="20"/>
                <w:szCs w:val="20"/>
                <w:highlight w:val="none"/>
                <w:lang w:eastAsia="zh-CN" w:bidi="ar"/>
              </w:rPr>
              <w:t>项目工程建设成本</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88FC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考核项目计划工作目标的实际节约成本与设计概算的比率，用以反映和考核项目的成本节约程度。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B489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eastAsia="zh-CN" w:bidi="ar"/>
              </w:rPr>
            </w:pPr>
            <w:r>
              <w:rPr>
                <w:rFonts w:hint="eastAsia" w:eastAsia="宋体" w:cs="Times New Roman"/>
                <w:color w:val="auto"/>
                <w:kern w:val="0"/>
                <w:sz w:val="20"/>
                <w:szCs w:val="20"/>
                <w:highlight w:val="none"/>
                <w:lang w:eastAsia="zh-CN" w:bidi="ar"/>
              </w:rPr>
              <w:t>项目工程建设成本</w:t>
            </w:r>
            <w:r>
              <w:rPr>
                <w:rFonts w:hint="eastAsia" w:ascii="宋体" w:hAnsi="宋体" w:eastAsia="宋体" w:cs="宋体"/>
                <w:i w:val="0"/>
                <w:iCs w:val="0"/>
                <w:color w:val="auto"/>
                <w:kern w:val="0"/>
                <w:sz w:val="20"/>
                <w:szCs w:val="20"/>
                <w:u w:val="none"/>
                <w:lang w:val="en-US" w:eastAsia="zh-CN" w:bidi="ar"/>
              </w:rPr>
              <w:t>控制在100.00万元以内得满分，否则超过不得分。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E8C6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bidi="ar"/>
              </w:rPr>
            </w:pPr>
            <w:r>
              <w:rPr>
                <w:rFonts w:hint="eastAsia" w:ascii="Times New Roman" w:hAnsi="Times New Roman" w:eastAsia="宋体" w:cs="Times New Roman"/>
                <w:color w:val="auto"/>
                <w:kern w:val="0"/>
                <w:sz w:val="20"/>
                <w:szCs w:val="20"/>
                <w:highlight w:val="none"/>
                <w:lang w:val="en-US" w:eastAsia="zh-CN" w:bidi="ar"/>
              </w:rPr>
              <w:t>≤</w:t>
            </w:r>
            <w:r>
              <w:rPr>
                <w:rFonts w:hint="eastAsia" w:eastAsia="宋体" w:cs="Times New Roman"/>
                <w:i w:val="0"/>
                <w:iCs w:val="0"/>
                <w:color w:val="auto"/>
                <w:kern w:val="0"/>
                <w:sz w:val="20"/>
                <w:szCs w:val="20"/>
                <w:highlight w:val="none"/>
                <w:u w:val="none"/>
                <w:lang w:val="en-US" w:eastAsia="zh-CN" w:bidi="ar"/>
              </w:rPr>
              <w:t>100.00万元</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1E990">
            <w:pPr>
              <w:keepNext w:val="0"/>
              <w:keepLines w:val="0"/>
              <w:widowControl/>
              <w:suppressLineNumbers w:val="0"/>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i w:val="0"/>
                <w:iCs w:val="0"/>
                <w:color w:val="auto"/>
                <w:kern w:val="0"/>
                <w:sz w:val="20"/>
                <w:szCs w:val="20"/>
                <w:highlight w:val="none"/>
                <w:u w:val="none"/>
                <w:lang w:val="en-US" w:eastAsia="zh-CN" w:bidi="ar"/>
              </w:rPr>
              <w:t>99.15</w:t>
            </w:r>
            <w:r>
              <w:rPr>
                <w:rFonts w:hint="eastAsia" w:eastAsia="宋体" w:cs="Times New Roman"/>
                <w:i w:val="0"/>
                <w:iCs w:val="0"/>
                <w:color w:val="auto"/>
                <w:kern w:val="0"/>
                <w:sz w:val="20"/>
                <w:szCs w:val="20"/>
                <w:highlight w:val="none"/>
                <w:u w:val="none"/>
                <w:lang w:val="en-US" w:eastAsia="zh-CN" w:bidi="ar"/>
              </w:rPr>
              <w:t>万元</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EB1B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5.00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FEE0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5.00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D952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1B3B4BBB">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66411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6DF9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EFCA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C9AE6">
            <w:pPr>
              <w:keepNext w:val="0"/>
              <w:keepLines w:val="0"/>
              <w:widowControl/>
              <w:suppressLineNumbers w:val="0"/>
              <w:spacing w:line="240" w:lineRule="auto"/>
              <w:ind w:firstLine="0" w:firstLineChars="0"/>
              <w:jc w:val="both"/>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 xml:space="preserve">30.00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CE85B">
            <w:pPr>
              <w:keepNext w:val="0"/>
              <w:keepLines w:val="0"/>
              <w:widowControl/>
              <w:suppressLineNumbers w:val="0"/>
              <w:spacing w:line="240" w:lineRule="auto"/>
              <w:ind w:firstLine="0" w:firstLineChars="0"/>
              <w:jc w:val="both"/>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 xml:space="preserve">30.00 </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FC778">
            <w:pPr>
              <w:keepNext w:val="0"/>
              <w:keepLines w:val="0"/>
              <w:widowControl/>
              <w:suppressLineNumbers w:val="0"/>
              <w:spacing w:line="240" w:lineRule="auto"/>
              <w:ind w:firstLine="0" w:firstLineChars="0"/>
              <w:jc w:val="both"/>
              <w:textAlignment w:val="center"/>
              <w:rPr>
                <w:rFonts w:hint="eastAsia"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color w:val="auto"/>
                <w:kern w:val="0"/>
                <w:sz w:val="20"/>
                <w:szCs w:val="20"/>
                <w:highlight w:val="none"/>
                <w:lang w:bidi="ar"/>
              </w:rPr>
              <w:t>100.0</w:t>
            </w:r>
            <w:r>
              <w:rPr>
                <w:rFonts w:hint="eastAsia" w:eastAsia="宋体" w:cs="Times New Roman"/>
                <w:b/>
                <w:bCs/>
                <w:color w:val="auto"/>
                <w:kern w:val="0"/>
                <w:sz w:val="20"/>
                <w:szCs w:val="20"/>
                <w:highlight w:val="none"/>
                <w:lang w:val="en-US" w:eastAsia="zh-CN" w:bidi="ar"/>
              </w:rPr>
              <w:t>0</w:t>
            </w:r>
            <w:r>
              <w:rPr>
                <w:rFonts w:hint="eastAsia" w:ascii="Times New Roman" w:hAnsi="Times New Roman" w:eastAsia="宋体" w:cs="Times New Roman"/>
                <w:b/>
                <w:bCs/>
                <w:i w:val="0"/>
                <w:iCs w:val="0"/>
                <w:color w:val="auto"/>
                <w:kern w:val="0"/>
                <w:sz w:val="20"/>
                <w:szCs w:val="20"/>
                <w:highlight w:val="none"/>
                <w:u w:val="none"/>
                <w:lang w:val="en-US" w:eastAsia="zh-CN" w:bidi="ar"/>
              </w:rPr>
              <w:t>%</w:t>
            </w:r>
          </w:p>
        </w:tc>
      </w:tr>
      <w:tr w14:paraId="1CDAED99">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00A9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D效益（30.00分）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6A9ED">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D1社会效益指标（</w:t>
            </w:r>
            <w:r>
              <w:rPr>
                <w:rFonts w:hint="eastAsia" w:ascii="Times New Roman" w:hAnsi="Times New Roman" w:eastAsia="宋体" w:cs="Times New Roman"/>
                <w:color w:val="auto"/>
                <w:kern w:val="0"/>
                <w:sz w:val="20"/>
                <w:szCs w:val="20"/>
                <w:highlight w:val="none"/>
                <w:lang w:val="en-US" w:eastAsia="zh-CN" w:bidi="ar"/>
              </w:rPr>
              <w:t>18</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8B78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D11提升公众健康水平</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EAEDF">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考核项目实施后对提升公众健康水平。</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F208F">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根据问卷调查情况进行评分，指标完成率=∑样本数（“显著”×1.00+“较大”×0.80+“一般”×0.60+“较差”×0.30+“无”×0.00）/总样本数×100.00%。</w:t>
            </w:r>
          </w:p>
          <w:p w14:paraId="0254876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实际完成值分为基本达成目标、部分实现目标、实现目标程度较低三个档次，并分别按照该指标对应分值区间100.00%-80.00%（含）、80.00%-60.00%（含）、60.00%-0.00%合理确定分值。</w:t>
            </w:r>
          </w:p>
          <w:p w14:paraId="7B0C1790">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①指标完成率在100.00%-80.00%之间，得满分；</w:t>
            </w:r>
          </w:p>
          <w:p w14:paraId="1069958F">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②指标完成率在80.00%-60.00%之间，得分=指标完成率×标杆分值；</w:t>
            </w:r>
          </w:p>
          <w:p w14:paraId="5E012343">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③指标完成率小于60.00%为不及格，不得分。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64A3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有效提升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45EA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基本达成目标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915C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10</w:t>
            </w:r>
            <w:r>
              <w:rPr>
                <w:rFonts w:hint="eastAsia" w:ascii="Times New Roman" w:hAnsi="Times New Roman" w:eastAsia="宋体" w:cs="Times New Roman"/>
                <w:color w:val="auto"/>
                <w:kern w:val="0"/>
                <w:sz w:val="20"/>
                <w:szCs w:val="20"/>
                <w:highlight w:val="none"/>
                <w:lang w:bidi="ar"/>
              </w:rPr>
              <w:t>.00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F127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w:t>
            </w:r>
            <w:r>
              <w:rPr>
                <w:rFonts w:hint="eastAsia" w:ascii="Times New Roman" w:hAnsi="Times New Roman" w:eastAsia="宋体" w:cs="Times New Roman"/>
                <w:color w:val="auto"/>
                <w:kern w:val="0"/>
                <w:sz w:val="20"/>
                <w:szCs w:val="20"/>
                <w:highlight w:val="none"/>
                <w:lang w:val="en-US" w:eastAsia="zh-CN" w:bidi="ar"/>
              </w:rPr>
              <w:t>0</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85E0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7155F903">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41E2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FEC97">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6385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D12提升群众参与足球、篮球锻炼积极性</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2855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考核项目实施后对于提升群众参与足球、篮球锻炼积极性的发挥情况。</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F0D89">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根据问卷调查情况进行评分，指标完成率=∑样本数（“显著”×1.00+“较大”×0.80+“一般”×0.60+“较差”×0.30+“无”×0.00）/总样本数×100.00%。</w:t>
            </w:r>
          </w:p>
          <w:p w14:paraId="7FEB3F3B">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实际完成值分为基本达成目标、部分实现目标、实现目标程度较低三个档次，并分别按照该指标对应分值区间100.00%-80.00%（含）、80.00%-60.00%（含）、60.00%-0.00%合理确定分值。</w:t>
            </w:r>
          </w:p>
          <w:p w14:paraId="385D947D">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①指标完成率在100.00%-80.00%之间，得满分；</w:t>
            </w:r>
          </w:p>
          <w:p w14:paraId="7319AEE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②指标完成率在80.00%-60.00%之间，得分=指标完成率×标杆分值；</w:t>
            </w:r>
          </w:p>
          <w:p w14:paraId="301F0916">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③指标完成率小于60.00%为不及格，不得分。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A9BD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有效提升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EB1D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基本达成目标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9430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8</w:t>
            </w:r>
            <w:r>
              <w:rPr>
                <w:rFonts w:hint="eastAsia" w:ascii="Times New Roman" w:hAnsi="Times New Roman" w:eastAsia="宋体" w:cs="Times New Roman"/>
                <w:color w:val="auto"/>
                <w:kern w:val="0"/>
                <w:sz w:val="20"/>
                <w:szCs w:val="20"/>
                <w:highlight w:val="none"/>
                <w:lang w:bidi="ar"/>
              </w:rPr>
              <w:t>.00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8FF5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8</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C57A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100.00%</w:t>
            </w:r>
          </w:p>
        </w:tc>
      </w:tr>
      <w:tr w14:paraId="32C236AF">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A94E0">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F4805">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D2服务对象满意度指标（</w:t>
            </w:r>
            <w:r>
              <w:rPr>
                <w:rFonts w:hint="eastAsia" w:ascii="Times New Roman" w:hAnsi="Times New Roman" w:eastAsia="宋体" w:cs="Times New Roman"/>
                <w:color w:val="auto"/>
                <w:kern w:val="0"/>
                <w:sz w:val="20"/>
                <w:szCs w:val="20"/>
                <w:highlight w:val="none"/>
                <w:lang w:val="en-US" w:eastAsia="zh-CN" w:bidi="ar"/>
              </w:rPr>
              <w:t>12</w:t>
            </w:r>
            <w:r>
              <w:rPr>
                <w:rFonts w:hint="eastAsia" w:ascii="Times New Roman" w:hAnsi="Times New Roman" w:eastAsia="宋体" w:cs="Times New Roman"/>
                <w:color w:val="auto"/>
                <w:kern w:val="0"/>
                <w:sz w:val="20"/>
                <w:szCs w:val="20"/>
                <w:highlight w:val="none"/>
                <w:lang w:bidi="ar"/>
              </w:rPr>
              <w:t>.00分）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23E28">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bidi="ar"/>
              </w:rPr>
              <w:t>D21</w:t>
            </w:r>
            <w:r>
              <w:rPr>
                <w:rFonts w:hint="eastAsia" w:ascii="Times New Roman" w:hAnsi="Times New Roman" w:eastAsia="宋体" w:cs="Times New Roman"/>
                <w:color w:val="auto"/>
                <w:kern w:val="0"/>
                <w:sz w:val="20"/>
                <w:szCs w:val="20"/>
                <w:highlight w:val="none"/>
                <w:lang w:eastAsia="zh-CN" w:bidi="ar"/>
              </w:rPr>
              <w:t>项目所在村受益村民满意度</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8D9C9">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社会公众或服务对象对项目实施效果的满意程度。</w:t>
            </w:r>
          </w:p>
        </w:tc>
        <w:tc>
          <w:tcPr>
            <w:tcW w:w="18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A17A5">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根据满意度问卷统计情况计算完成比率，实际完成值=∑样本数（“非常满意”×1.00+“比较满意”×0.80+“一般”×0.60+“不太满意”×0.30+“不满意”×0.00）/总样本数×100.00%；</w:t>
            </w:r>
          </w:p>
          <w:p w14:paraId="6B3455F4">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①实际完成值大于等于90.00%，得8.00分；</w:t>
            </w:r>
          </w:p>
          <w:p w14:paraId="1BD2BCB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②实际完成值小于90.00%且大于等于80.00%，得6.00分；</w:t>
            </w:r>
          </w:p>
          <w:p w14:paraId="78B71A97">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③实际完成值小于80.00%大于等于60.00%，得4.00分。</w:t>
            </w:r>
          </w:p>
          <w:p w14:paraId="3D7C1C92">
            <w:pPr>
              <w:widowControl/>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④实际完成值小于60.00%，不得分。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9B6E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≥90%</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D4FE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eastAsia" w:ascii="Times New Roman" w:hAnsi="Times New Roman" w:eastAsia="宋体" w:cs="Times New Roman"/>
                <w:color w:val="auto"/>
                <w:kern w:val="0"/>
                <w:sz w:val="20"/>
                <w:szCs w:val="20"/>
                <w:highlight w:val="none"/>
                <w:lang w:eastAsia="zh-CN" w:bidi="ar"/>
              </w:rPr>
              <w:t>90.80%</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4E27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12</w:t>
            </w:r>
            <w:r>
              <w:rPr>
                <w:rFonts w:hint="eastAsia" w:ascii="Times New Roman" w:hAnsi="Times New Roman" w:eastAsia="宋体" w:cs="Times New Roman"/>
                <w:color w:val="auto"/>
                <w:kern w:val="0"/>
                <w:sz w:val="20"/>
                <w:szCs w:val="20"/>
                <w:highlight w:val="none"/>
                <w:lang w:bidi="ar"/>
              </w:rPr>
              <w:t>.00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94B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12</w:t>
            </w:r>
            <w:r>
              <w:rPr>
                <w:rFonts w:hint="eastAsia" w:ascii="Times New Roman" w:hAnsi="Times New Roman" w:eastAsia="宋体" w:cs="Times New Roman"/>
                <w:color w:val="auto"/>
                <w:kern w:val="0"/>
                <w:sz w:val="20"/>
                <w:szCs w:val="20"/>
                <w:highlight w:val="none"/>
                <w:lang w:bidi="ar"/>
              </w:rPr>
              <w:t>.00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053F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val="en-US" w:eastAsia="zh-CN" w:bidi="ar"/>
              </w:rPr>
              <w:t>100</w:t>
            </w:r>
            <w:r>
              <w:rPr>
                <w:rFonts w:hint="eastAsia" w:ascii="Times New Roman" w:hAnsi="Times New Roman" w:eastAsia="宋体" w:cs="Times New Roman"/>
                <w:color w:val="auto"/>
                <w:kern w:val="0"/>
                <w:sz w:val="20"/>
                <w:szCs w:val="20"/>
                <w:highlight w:val="none"/>
                <w:lang w:bidi="ar"/>
              </w:rPr>
              <w:t>.00%</w:t>
            </w:r>
          </w:p>
        </w:tc>
      </w:tr>
      <w:tr w14:paraId="2BCAC224">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BF6A1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AC95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AFF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F67C1">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30.00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49202">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30.00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671F1">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100.00%</w:t>
            </w:r>
          </w:p>
        </w:tc>
      </w:tr>
      <w:tr w14:paraId="344F8A1F">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3DE20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color w:val="auto"/>
                <w:kern w:val="0"/>
                <w:sz w:val="20"/>
                <w:szCs w:val="20"/>
                <w:highlight w:val="none"/>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1BD8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12EA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2C1A0">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ascii="Times New Roman" w:hAnsi="Times New Roman" w:eastAsia="宋体" w:cs="Times New Roman"/>
                <w:b/>
                <w:bCs/>
                <w:i w:val="0"/>
                <w:iCs w:val="0"/>
                <w:color w:val="auto"/>
                <w:kern w:val="0"/>
                <w:sz w:val="20"/>
                <w:szCs w:val="20"/>
                <w:highlight w:val="none"/>
                <w:u w:val="none"/>
                <w:lang w:val="en-US" w:eastAsia="zh-CN" w:bidi="ar"/>
              </w:rPr>
              <w:t>100.00</w:t>
            </w:r>
          </w:p>
        </w:tc>
        <w:tc>
          <w:tcPr>
            <w:tcW w:w="2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92316">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color w:val="auto"/>
                <w:kern w:val="0"/>
                <w:sz w:val="20"/>
                <w:szCs w:val="20"/>
                <w:highlight w:val="none"/>
                <w:lang w:bidi="ar"/>
              </w:rPr>
            </w:pPr>
            <w:r>
              <w:rPr>
                <w:rFonts w:hint="eastAsia" w:eastAsia="宋体" w:cs="Times New Roman"/>
                <w:b/>
                <w:bCs/>
                <w:i w:val="0"/>
                <w:iCs w:val="0"/>
                <w:color w:val="auto"/>
                <w:kern w:val="0"/>
                <w:sz w:val="20"/>
                <w:szCs w:val="20"/>
                <w:highlight w:val="none"/>
                <w:u w:val="none"/>
                <w:lang w:val="en-US" w:eastAsia="zh-CN" w:bidi="ar"/>
              </w:rPr>
              <w:t>89.50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9E952">
            <w:pPr>
              <w:keepNext w:val="0"/>
              <w:keepLines w:val="0"/>
              <w:widowControl/>
              <w:suppressLineNumbers w:val="0"/>
              <w:spacing w:line="240" w:lineRule="auto"/>
              <w:ind w:firstLine="0" w:firstLineChars="0"/>
              <w:jc w:val="center"/>
              <w:textAlignment w:val="center"/>
              <w:rPr>
                <w:rFonts w:ascii="Times New Roman" w:hAnsi="Times New Roman" w:eastAsia="宋体" w:cs="Times New Roman"/>
                <w:b/>
                <w:bCs/>
                <w:color w:val="auto"/>
                <w:kern w:val="0"/>
                <w:sz w:val="20"/>
                <w:szCs w:val="20"/>
                <w:highlight w:val="none"/>
                <w:lang w:bidi="ar"/>
              </w:rPr>
            </w:pPr>
            <w:r>
              <w:rPr>
                <w:rFonts w:hint="eastAsia" w:eastAsia="宋体" w:cs="Times New Roman"/>
                <w:b/>
                <w:bCs/>
                <w:i w:val="0"/>
                <w:iCs w:val="0"/>
                <w:color w:val="auto"/>
                <w:kern w:val="0"/>
                <w:sz w:val="20"/>
                <w:szCs w:val="20"/>
                <w:highlight w:val="none"/>
                <w:u w:val="none"/>
                <w:lang w:val="en-US" w:eastAsia="zh-CN" w:bidi="ar"/>
              </w:rPr>
              <w:t>89.50</w:t>
            </w:r>
            <w:r>
              <w:rPr>
                <w:rFonts w:hint="eastAsia" w:ascii="Times New Roman" w:hAnsi="Times New Roman" w:eastAsia="宋体" w:cs="Times New Roman"/>
                <w:b/>
                <w:bCs/>
                <w:i w:val="0"/>
                <w:iCs w:val="0"/>
                <w:color w:val="auto"/>
                <w:kern w:val="0"/>
                <w:sz w:val="20"/>
                <w:szCs w:val="20"/>
                <w:highlight w:val="none"/>
                <w:u w:val="none"/>
                <w:lang w:val="en-US" w:eastAsia="zh-CN" w:bidi="ar"/>
              </w:rPr>
              <w:t>%</w:t>
            </w:r>
          </w:p>
        </w:tc>
      </w:tr>
    </w:tbl>
    <w:p w14:paraId="5DFC820E">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sectPr>
          <w:footerReference r:id="rId15" w:type="default"/>
          <w:pgSz w:w="16838" w:h="11906" w:orient="landscape"/>
          <w:pgMar w:top="1800" w:right="1440" w:bottom="1800" w:left="1440" w:header="851" w:footer="1134" w:gutter="0"/>
          <w:cols w:space="425" w:num="1"/>
          <w:docGrid w:type="lines" w:linePitch="312" w:charSpace="0"/>
        </w:sectPr>
      </w:pPr>
    </w:p>
    <w:p w14:paraId="2F922350">
      <w:pPr>
        <w:pStyle w:val="4"/>
        <w:bidi w:val="0"/>
        <w:spacing w:line="360" w:lineRule="auto"/>
        <w:ind w:left="0" w:leftChars="0" w:firstLine="0" w:firstLineChars="0"/>
        <w:rPr>
          <w:rFonts w:ascii="Times New Roman" w:hAnsi="Times New Roman" w:eastAsia="宋体" w:cs="Times New Roman"/>
          <w:color w:val="auto"/>
          <w:highlight w:val="none"/>
        </w:rPr>
      </w:pPr>
      <w:bookmarkStart w:id="133" w:name="_Toc6006"/>
      <w:bookmarkStart w:id="134" w:name="_Toc23960"/>
      <w:bookmarkStart w:id="135" w:name="_Toc25777"/>
      <w:bookmarkStart w:id="136" w:name="_Toc15287"/>
      <w:bookmarkStart w:id="137" w:name="_Toc12265"/>
      <w:r>
        <w:rPr>
          <w:rFonts w:ascii="Times New Roman" w:hAnsi="Times New Roman" w:eastAsia="宋体" w:cs="Times New Roman"/>
          <w:color w:val="auto"/>
          <w:highlight w:val="none"/>
        </w:rPr>
        <w:t>附件2：基础表</w:t>
      </w:r>
      <w:bookmarkEnd w:id="133"/>
      <w:bookmarkEnd w:id="134"/>
      <w:bookmarkEnd w:id="135"/>
      <w:bookmarkEnd w:id="136"/>
      <w:bookmarkEnd w:id="137"/>
    </w:p>
    <w:p w14:paraId="784AA7A0">
      <w:pPr>
        <w:spacing w:line="360" w:lineRule="auto"/>
        <w:ind w:firstLine="0" w:firstLineChars="0"/>
        <w:jc w:val="center"/>
        <w:rPr>
          <w:rFonts w:ascii="Times New Roman" w:hAnsi="Times New Roman" w:eastAsia="宋体" w:cs="Times New Roman"/>
          <w:color w:val="auto"/>
          <w:highlight w:val="none"/>
        </w:rPr>
      </w:pPr>
      <w:r>
        <w:rPr>
          <w:rFonts w:hint="default" w:ascii="Times New Roman" w:hAnsi="Times New Roman" w:eastAsia="宋体" w:cs="Times New Roman"/>
          <w:b/>
          <w:bCs w:val="0"/>
          <w:color w:val="auto"/>
          <w:sz w:val="24"/>
          <w:szCs w:val="24"/>
          <w:highlight w:val="none"/>
          <w:lang w:val="en-US" w:eastAsia="zh-CN"/>
        </w:rPr>
        <w:t>表1-1：伊宁县全民健身场地设施项目完成情况统计表</w:t>
      </w:r>
    </w:p>
    <w:tbl>
      <w:tblPr>
        <w:tblStyle w:val="18"/>
        <w:tblW w:w="132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3"/>
        <w:gridCol w:w="866"/>
        <w:gridCol w:w="2145"/>
        <w:gridCol w:w="3497"/>
        <w:gridCol w:w="1534"/>
        <w:gridCol w:w="1983"/>
        <w:gridCol w:w="900"/>
        <w:gridCol w:w="741"/>
        <w:gridCol w:w="742"/>
      </w:tblGrid>
      <w:tr w14:paraId="52ECE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037D">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合同类型</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5F85C">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合同类型</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B2C91">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lang w:val="en-US" w:eastAsia="zh-CN"/>
              </w:rPr>
            </w:pPr>
            <w:r>
              <w:rPr>
                <w:rFonts w:hint="default" w:ascii="Times New Roman" w:hAnsi="Times New Roman" w:eastAsia="宋体" w:cs="Times New Roman"/>
                <w:b/>
                <w:bCs/>
                <w:i w:val="0"/>
                <w:iCs w:val="0"/>
                <w:color w:val="auto"/>
                <w:sz w:val="21"/>
                <w:szCs w:val="21"/>
                <w:highlight w:val="none"/>
                <w:u w:val="none"/>
                <w:lang w:val="en-US" w:eastAsia="zh-CN"/>
              </w:rPr>
              <w:t>计划完成</w:t>
            </w:r>
          </w:p>
        </w:tc>
        <w:tc>
          <w:tcPr>
            <w:tcW w:w="3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52CD">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lang w:val="en-US"/>
              </w:rPr>
            </w:pPr>
            <w:r>
              <w:rPr>
                <w:rFonts w:hint="default" w:ascii="Times New Roman" w:hAnsi="Times New Roman" w:eastAsia="宋体" w:cs="Times New Roman"/>
                <w:b/>
                <w:bCs/>
                <w:i w:val="0"/>
                <w:iCs w:val="0"/>
                <w:color w:val="auto"/>
                <w:kern w:val="0"/>
                <w:sz w:val="21"/>
                <w:szCs w:val="21"/>
                <w:highlight w:val="none"/>
                <w:u w:val="none"/>
                <w:lang w:val="en-US" w:eastAsia="zh-CN" w:bidi="ar"/>
              </w:rPr>
              <w:t>实际完成</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A84D">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项目计划实施时间</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F455C">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项目实际完成时间</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11E2">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合同金额</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C1083">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审定价</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01356">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kern w:val="0"/>
                <w:sz w:val="21"/>
                <w:szCs w:val="21"/>
                <w:highlight w:val="none"/>
                <w:u w:val="no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实际支出金额</w:t>
            </w:r>
          </w:p>
        </w:tc>
      </w:tr>
      <w:tr w14:paraId="5E384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9" w:hRule="atLeast"/>
        </w:trPr>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F426E">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val="en-US" w:eastAsia="zh-CN" w:bidi="ar"/>
              </w:rPr>
              <w:t>施工合同</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478BB">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伊宁县胜宁体育文化有限公司</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653BB">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铺设一块五人制笼式足球场、两块悬浮地板篮球场。</w:t>
            </w:r>
          </w:p>
        </w:tc>
        <w:tc>
          <w:tcPr>
            <w:tcW w:w="34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CF2E">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val="en-US" w:eastAsia="zh-CN" w:bidi="ar"/>
              </w:rPr>
              <w:t>该项目实际完成在伊宁县吉里于孜镇上肉孜买提于孜村委会建设五人制笼式足球场1块，总面积为1,080.00平方米；标准篮球场1块，总面积为798.00平方米。2.在伊宁县阿热吾斯塘镇托万克村委会建设标准篮球场1块，总面积798.00</w:t>
            </w:r>
            <w:r>
              <w:rPr>
                <w:rFonts w:hint="eastAsia" w:ascii="Times New Roman" w:hAnsi="Times New Roman" w:eastAsia="宋体" w:cs="Times New Roman"/>
                <w:color w:val="auto"/>
                <w:kern w:val="2"/>
                <w:sz w:val="21"/>
                <w:szCs w:val="21"/>
                <w:highlight w:val="none"/>
                <w:lang w:val="en-US" w:eastAsia="zh-CN" w:bidi="ar-SA"/>
              </w:rPr>
              <w:t>平方米。</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D0CC">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2024年</w:t>
            </w:r>
            <w:r>
              <w:rPr>
                <w:rFonts w:hint="eastAsia" w:ascii="Times New Roman" w:hAnsi="Times New Roman" w:eastAsia="宋体" w:cs="Times New Roman"/>
                <w:color w:val="auto"/>
                <w:kern w:val="0"/>
                <w:sz w:val="21"/>
                <w:szCs w:val="21"/>
                <w:highlight w:val="none"/>
                <w:lang w:val="en-US" w:eastAsia="zh-CN" w:bidi="ar"/>
              </w:rPr>
              <w:t>5</w:t>
            </w:r>
            <w:r>
              <w:rPr>
                <w:rFonts w:hint="default" w:ascii="Times New Roman" w:hAnsi="Times New Roman" w:eastAsia="宋体" w:cs="Times New Roman"/>
                <w:color w:val="auto"/>
                <w:kern w:val="0"/>
                <w:sz w:val="21"/>
                <w:szCs w:val="21"/>
                <w:highlight w:val="none"/>
                <w:lang w:val="en-US" w:eastAsia="zh-CN" w:bidi="ar"/>
              </w:rPr>
              <w:t>月—2024年</w:t>
            </w:r>
            <w:r>
              <w:rPr>
                <w:rFonts w:hint="eastAsia" w:ascii="Times New Roman" w:hAnsi="Times New Roman" w:eastAsia="宋体" w:cs="Times New Roman"/>
                <w:color w:val="auto"/>
                <w:kern w:val="0"/>
                <w:sz w:val="21"/>
                <w:szCs w:val="21"/>
                <w:highlight w:val="none"/>
                <w:lang w:val="en-US" w:eastAsia="zh-CN" w:bidi="ar"/>
              </w:rPr>
              <w:t>10</w:t>
            </w:r>
            <w:r>
              <w:rPr>
                <w:rFonts w:hint="default" w:ascii="Times New Roman" w:hAnsi="Times New Roman" w:eastAsia="宋体" w:cs="Times New Roman"/>
                <w:color w:val="auto"/>
                <w:kern w:val="0"/>
                <w:sz w:val="21"/>
                <w:szCs w:val="21"/>
                <w:highlight w:val="none"/>
                <w:lang w:val="en-US" w:eastAsia="zh-CN" w:bidi="ar"/>
              </w:rPr>
              <w:t>月</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7D6F">
            <w:pPr>
              <w:keepNext w:val="0"/>
              <w:keepLines w:val="0"/>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val="en-US" w:eastAsia="zh-CN" w:bidi="ar"/>
              </w:rPr>
              <w:t>2024年</w:t>
            </w:r>
            <w:r>
              <w:rPr>
                <w:rFonts w:hint="eastAsia" w:ascii="Times New Roman" w:hAnsi="Times New Roman" w:eastAsia="宋体" w:cs="Times New Roman"/>
                <w:color w:val="auto"/>
                <w:kern w:val="0"/>
                <w:sz w:val="21"/>
                <w:szCs w:val="21"/>
                <w:highlight w:val="none"/>
                <w:lang w:val="en-US" w:eastAsia="zh-CN" w:bidi="ar"/>
              </w:rPr>
              <w:t>6</w:t>
            </w:r>
            <w:r>
              <w:rPr>
                <w:rFonts w:hint="default" w:ascii="Times New Roman" w:hAnsi="Times New Roman" w:eastAsia="宋体" w:cs="Times New Roman"/>
                <w:color w:val="auto"/>
                <w:kern w:val="0"/>
                <w:sz w:val="21"/>
                <w:szCs w:val="21"/>
                <w:highlight w:val="none"/>
                <w:lang w:val="en-US" w:eastAsia="zh-CN" w:bidi="ar"/>
              </w:rPr>
              <w:t>月</w:t>
            </w:r>
            <w:r>
              <w:rPr>
                <w:rFonts w:hint="eastAsia" w:ascii="Times New Roman" w:hAnsi="Times New Roman" w:eastAsia="宋体" w:cs="Times New Roman"/>
                <w:color w:val="auto"/>
                <w:kern w:val="0"/>
                <w:sz w:val="21"/>
                <w:szCs w:val="21"/>
                <w:highlight w:val="none"/>
                <w:lang w:val="en-US" w:eastAsia="zh-CN" w:bidi="ar"/>
              </w:rPr>
              <w:t>1</w:t>
            </w:r>
            <w:r>
              <w:rPr>
                <w:rFonts w:hint="default" w:ascii="Times New Roman" w:hAnsi="Times New Roman" w:eastAsia="宋体" w:cs="Times New Roman"/>
                <w:color w:val="auto"/>
                <w:kern w:val="0"/>
                <w:sz w:val="21"/>
                <w:szCs w:val="21"/>
                <w:highlight w:val="none"/>
                <w:lang w:val="en-US" w:eastAsia="zh-CN" w:bidi="ar"/>
              </w:rPr>
              <w:t>日—2024年</w:t>
            </w:r>
            <w:r>
              <w:rPr>
                <w:rFonts w:hint="eastAsia" w:ascii="Times New Roman" w:hAnsi="Times New Roman" w:eastAsia="宋体" w:cs="Times New Roman"/>
                <w:color w:val="auto"/>
                <w:kern w:val="0"/>
                <w:sz w:val="21"/>
                <w:szCs w:val="21"/>
                <w:highlight w:val="none"/>
                <w:lang w:val="en-US" w:eastAsia="zh-CN" w:bidi="ar"/>
              </w:rPr>
              <w:t>9</w:t>
            </w:r>
            <w:r>
              <w:rPr>
                <w:rFonts w:hint="default" w:ascii="Times New Roman" w:hAnsi="Times New Roman" w:eastAsia="宋体" w:cs="Times New Roman"/>
                <w:color w:val="auto"/>
                <w:kern w:val="0"/>
                <w:sz w:val="21"/>
                <w:szCs w:val="21"/>
                <w:highlight w:val="none"/>
                <w:lang w:val="en-US" w:eastAsia="zh-CN" w:bidi="ar"/>
              </w:rPr>
              <w:t>月</w:t>
            </w:r>
            <w:r>
              <w:rPr>
                <w:rFonts w:hint="eastAsia" w:ascii="Times New Roman" w:hAnsi="Times New Roman" w:eastAsia="宋体" w:cs="Times New Roman"/>
                <w:color w:val="auto"/>
                <w:kern w:val="0"/>
                <w:sz w:val="21"/>
                <w:szCs w:val="21"/>
                <w:highlight w:val="none"/>
                <w:lang w:val="en-US" w:eastAsia="zh-CN" w:bidi="ar"/>
              </w:rPr>
              <w:t>15</w:t>
            </w:r>
            <w:r>
              <w:rPr>
                <w:rFonts w:hint="default" w:ascii="Times New Roman" w:hAnsi="Times New Roman" w:eastAsia="宋体" w:cs="Times New Roman"/>
                <w:color w:val="auto"/>
                <w:kern w:val="0"/>
                <w:sz w:val="21"/>
                <w:szCs w:val="21"/>
                <w:highlight w:val="none"/>
                <w:lang w:val="en-US" w:eastAsia="zh-CN" w:bidi="ar"/>
              </w:rPr>
              <w:t>日</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E30F">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99.30</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DA31">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99.15</w:t>
            </w:r>
            <w:r>
              <w:rPr>
                <w:rFonts w:hint="default" w:ascii="Times New Roman" w:hAnsi="Times New Roman" w:eastAsia="宋体" w:cs="Times New Roman"/>
                <w:color w:val="auto"/>
                <w:kern w:val="0"/>
                <w:sz w:val="21"/>
                <w:szCs w:val="21"/>
                <w:highlight w:val="none"/>
                <w:lang w:val="en-US" w:eastAsia="zh-CN" w:bidi="ar"/>
              </w:rPr>
              <w:t xml:space="preserve"> </w:t>
            </w:r>
          </w:p>
        </w:tc>
        <w:tc>
          <w:tcPr>
            <w:tcW w:w="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DAD23">
            <w:pPr>
              <w:pageBreakBefore w:val="0"/>
              <w:widowControl/>
              <w:kinsoku/>
              <w:wordWrap/>
              <w:overflowPunct/>
              <w:topLinePunct w:val="0"/>
              <w:autoSpaceDE/>
              <w:autoSpaceDN/>
              <w:bidi w:val="0"/>
              <w:adjustRightInd w:val="0"/>
              <w:snapToGrid w:val="0"/>
              <w:spacing w:before="0" w:after="0" w:line="240" w:lineRule="auto"/>
              <w:ind w:firstLine="0" w:firstLineChars="0"/>
              <w:jc w:val="right"/>
              <w:textAlignment w:val="center"/>
              <w:rPr>
                <w:rFonts w:hint="default"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99.15</w:t>
            </w:r>
            <w:r>
              <w:rPr>
                <w:rFonts w:hint="default" w:ascii="Times New Roman" w:hAnsi="Times New Roman" w:eastAsia="宋体" w:cs="Times New Roman"/>
                <w:color w:val="auto"/>
                <w:kern w:val="0"/>
                <w:sz w:val="21"/>
                <w:szCs w:val="21"/>
                <w:highlight w:val="none"/>
                <w:lang w:val="en-US" w:eastAsia="zh-CN" w:bidi="ar"/>
              </w:rPr>
              <w:t xml:space="preserve"> </w:t>
            </w:r>
          </w:p>
        </w:tc>
      </w:tr>
      <w:tr w14:paraId="1323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38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6B0E9">
            <w:pPr>
              <w:keepNext w:val="0"/>
              <w:keepLines w:val="0"/>
              <w:widowControl/>
              <w:suppressLineNumbers w:val="0"/>
              <w:spacing w:line="240" w:lineRule="auto"/>
              <w:jc w:val="center"/>
              <w:textAlignment w:val="center"/>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合计</w:t>
            </w:r>
          </w:p>
        </w:tc>
        <w:tc>
          <w:tcPr>
            <w:tcW w:w="3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DD4CC">
            <w:pPr>
              <w:spacing w:line="240" w:lineRule="auto"/>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sz w:val="21"/>
                <w:szCs w:val="21"/>
                <w:highlight w:val="none"/>
                <w:u w:val="none"/>
                <w:lang w:eastAsia="zh-CN"/>
              </w:rPr>
              <w:t>—</w:t>
            </w:r>
          </w:p>
        </w:tc>
        <w:tc>
          <w:tcPr>
            <w:tcW w:w="1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1B40">
            <w:pPr>
              <w:spacing w:line="240" w:lineRule="auto"/>
              <w:rPr>
                <w:rFonts w:hint="default" w:ascii="Times New Roman" w:hAnsi="Times New Roman" w:eastAsia="宋体" w:cs="Times New Roman"/>
                <w:b/>
                <w:bCs/>
                <w:i w:val="0"/>
                <w:iCs w:val="0"/>
                <w:color w:val="auto"/>
                <w:sz w:val="21"/>
                <w:szCs w:val="21"/>
                <w:highlight w:val="none"/>
                <w:u w:val="none"/>
                <w:lang w:eastAsia="zh-CN"/>
              </w:rPr>
            </w:pPr>
            <w:r>
              <w:rPr>
                <w:rFonts w:hint="default" w:ascii="Times New Roman" w:hAnsi="Times New Roman" w:eastAsia="宋体" w:cs="Times New Roman"/>
                <w:b/>
                <w:bCs/>
                <w:i w:val="0"/>
                <w:iCs w:val="0"/>
                <w:color w:val="auto"/>
                <w:sz w:val="21"/>
                <w:szCs w:val="21"/>
                <w:highlight w:val="none"/>
                <w:u w:val="none"/>
                <w:lang w:eastAsia="zh-CN"/>
              </w:rPr>
              <w:t>—</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1AA7">
            <w:pPr>
              <w:spacing w:line="240" w:lineRule="auto"/>
              <w:rPr>
                <w:rFonts w:hint="default" w:ascii="Times New Roman" w:hAnsi="Times New Roman" w:eastAsia="宋体" w:cs="Times New Roman"/>
                <w:b/>
                <w:bCs/>
                <w:i w:val="0"/>
                <w:iCs w:val="0"/>
                <w:color w:val="auto"/>
                <w:sz w:val="21"/>
                <w:szCs w:val="21"/>
                <w:highlight w:val="none"/>
                <w:u w:val="none"/>
              </w:rPr>
            </w:pPr>
            <w:r>
              <w:rPr>
                <w:rFonts w:hint="default" w:ascii="Times New Roman" w:hAnsi="Times New Roman" w:eastAsia="宋体" w:cs="Times New Roman"/>
                <w:b/>
                <w:bCs/>
                <w:i w:val="0"/>
                <w:iCs w:val="0"/>
                <w:color w:val="auto"/>
                <w:sz w:val="21"/>
                <w:szCs w:val="21"/>
                <w:highlight w:val="none"/>
                <w:u w:val="none"/>
                <w:lang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75E6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color w:val="auto"/>
                <w:kern w:val="0"/>
                <w:sz w:val="21"/>
                <w:szCs w:val="21"/>
                <w:highlight w:val="none"/>
                <w:lang w:val="en-US" w:eastAsia="zh-CN" w:bidi="ar"/>
              </w:rPr>
              <w:t>99.30</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B768">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color w:val="auto"/>
                <w:kern w:val="0"/>
                <w:sz w:val="21"/>
                <w:szCs w:val="21"/>
                <w:highlight w:val="none"/>
                <w:lang w:val="en-US" w:eastAsia="zh-CN" w:bidi="ar"/>
              </w:rPr>
              <w:t>99.15</w:t>
            </w:r>
            <w:r>
              <w:rPr>
                <w:rFonts w:hint="default" w:ascii="Times New Roman" w:hAnsi="Times New Roman" w:eastAsia="宋体" w:cs="Times New Roman"/>
                <w:b/>
                <w:bCs/>
                <w:i w:val="0"/>
                <w:iCs w:val="0"/>
                <w:color w:val="auto"/>
                <w:kern w:val="0"/>
                <w:sz w:val="21"/>
                <w:szCs w:val="21"/>
                <w:highlight w:val="none"/>
                <w:u w:val="none"/>
                <w:lang w:val="en-US" w:eastAsia="zh-CN" w:bidi="ar"/>
              </w:rPr>
              <w:t xml:space="preserve"> </w:t>
            </w:r>
          </w:p>
        </w:tc>
        <w:tc>
          <w:tcPr>
            <w:tcW w:w="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CB62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b/>
                <w:bCs/>
                <w:i w:val="0"/>
                <w:iCs w:val="0"/>
                <w:color w:val="auto"/>
                <w:kern w:val="0"/>
                <w:sz w:val="21"/>
                <w:szCs w:val="21"/>
                <w:highlight w:val="none"/>
                <w:u w:val="none"/>
                <w:lang w:val="en-US" w:eastAsia="zh-CN" w:bidi="ar"/>
              </w:rPr>
            </w:pPr>
            <w:r>
              <w:rPr>
                <w:rFonts w:hint="eastAsia" w:ascii="Times New Roman" w:hAnsi="Times New Roman" w:eastAsia="宋体" w:cs="Times New Roman"/>
                <w:b/>
                <w:bCs/>
                <w:i w:val="0"/>
                <w:iCs w:val="0"/>
                <w:color w:val="auto"/>
                <w:kern w:val="0"/>
                <w:sz w:val="21"/>
                <w:szCs w:val="21"/>
                <w:highlight w:val="none"/>
                <w:u w:val="none"/>
                <w:lang w:val="en-US" w:eastAsia="zh-CN" w:bidi="ar"/>
              </w:rPr>
              <w:t>99.15</w:t>
            </w:r>
          </w:p>
        </w:tc>
      </w:tr>
    </w:tbl>
    <w:p w14:paraId="3F8056F7">
      <w:pPr>
        <w:pageBreakBefore w:val="0"/>
        <w:kinsoku/>
        <w:wordWrap/>
        <w:overflowPunct/>
        <w:topLinePunct w:val="0"/>
        <w:autoSpaceDE/>
        <w:autoSpaceDN/>
        <w:bidi w:val="0"/>
        <w:snapToGrid w:val="0"/>
        <w:spacing w:before="0" w:after="0" w:line="360" w:lineRule="auto"/>
        <w:ind w:firstLine="420"/>
        <w:rPr>
          <w:rFonts w:ascii="Times New Roman" w:hAnsi="Times New Roman" w:eastAsia="宋体" w:cs="Times New Roman"/>
          <w:color w:val="auto"/>
          <w:highlight w:val="none"/>
        </w:rPr>
      </w:pPr>
      <w:r>
        <w:rPr>
          <w:rFonts w:ascii="Times New Roman" w:hAnsi="Times New Roman" w:eastAsia="宋体" w:cs="Times New Roman"/>
          <w:color w:val="auto"/>
          <w:highlight w:val="none"/>
        </w:rPr>
        <w:br w:type="page"/>
      </w:r>
    </w:p>
    <w:p w14:paraId="754229DC">
      <w:pPr>
        <w:pStyle w:val="4"/>
        <w:bidi w:val="0"/>
        <w:spacing w:line="360" w:lineRule="auto"/>
        <w:ind w:left="0" w:leftChars="0" w:firstLine="0" w:firstLineChars="0"/>
        <w:rPr>
          <w:rFonts w:hint="default" w:ascii="Times New Roman" w:hAnsi="Times New Roman" w:eastAsia="宋体" w:cs="Times New Roman"/>
          <w:color w:val="auto"/>
          <w:highlight w:val="none"/>
          <w:lang w:eastAsia="zh-CN"/>
        </w:rPr>
        <w:sectPr>
          <w:footerReference r:id="rId16" w:type="default"/>
          <w:pgSz w:w="16838" w:h="11906" w:orient="landscape"/>
          <w:pgMar w:top="1800" w:right="1440" w:bottom="1800" w:left="1440" w:header="851" w:footer="907" w:gutter="0"/>
          <w:cols w:space="425" w:num="1"/>
          <w:docGrid w:type="lines" w:linePitch="312" w:charSpace="0"/>
        </w:sectPr>
      </w:pPr>
      <w:bookmarkStart w:id="138" w:name="_Toc32760"/>
      <w:bookmarkStart w:id="139" w:name="_Toc29169"/>
      <w:bookmarkStart w:id="140" w:name="_Toc5655"/>
    </w:p>
    <w:p w14:paraId="17C54D64">
      <w:pPr>
        <w:pStyle w:val="4"/>
        <w:bidi w:val="0"/>
        <w:spacing w:line="360" w:lineRule="auto"/>
        <w:ind w:left="0" w:leftChars="0" w:firstLine="0" w:firstLineChars="0"/>
        <w:rPr>
          <w:rFonts w:hint="default" w:ascii="Times New Roman" w:hAnsi="Times New Roman" w:eastAsia="宋体" w:cs="Times New Roman"/>
          <w:color w:val="auto"/>
          <w:highlight w:val="none"/>
        </w:rPr>
      </w:pPr>
      <w:bookmarkStart w:id="141" w:name="_Toc24867"/>
      <w:r>
        <w:rPr>
          <w:rFonts w:hint="default" w:ascii="Times New Roman" w:hAnsi="Times New Roman" w:eastAsia="宋体" w:cs="Times New Roman"/>
          <w:color w:val="auto"/>
          <w:highlight w:val="none"/>
          <w:lang w:eastAsia="zh-CN"/>
        </w:rPr>
        <w:t>附件</w:t>
      </w:r>
      <w:r>
        <w:rPr>
          <w:rFonts w:hint="default" w:ascii="Times New Roman" w:hAnsi="Times New Roman" w:eastAsia="宋体" w:cs="Times New Roman"/>
          <w:color w:val="auto"/>
          <w:highlight w:val="none"/>
          <w:lang w:val="en-US" w:eastAsia="zh-CN"/>
        </w:rPr>
        <w:t>3</w:t>
      </w:r>
      <w:r>
        <w:rPr>
          <w:rFonts w:hint="default" w:ascii="Times New Roman" w:hAnsi="Times New Roman" w:eastAsia="宋体" w:cs="Times New Roman"/>
          <w:color w:val="auto"/>
          <w:highlight w:val="none"/>
          <w:lang w:eastAsia="zh-CN"/>
        </w:rPr>
        <w:t>：问卷调查分析报告</w:t>
      </w:r>
      <w:bookmarkEnd w:id="138"/>
      <w:bookmarkEnd w:id="139"/>
      <w:bookmarkEnd w:id="140"/>
      <w:bookmarkEnd w:id="141"/>
    </w:p>
    <w:p w14:paraId="0284703A">
      <w:pPr>
        <w:keepNext w:val="0"/>
        <w:keepLines w:val="0"/>
        <w:pageBreakBefore w:val="0"/>
        <w:widowControl w:val="0"/>
        <w:kinsoku/>
        <w:wordWrap/>
        <w:overflowPunct/>
        <w:topLinePunct w:val="0"/>
        <w:autoSpaceDE/>
        <w:autoSpaceDN/>
        <w:bidi w:val="0"/>
        <w:adjustRightInd w:val="0"/>
        <w:snapToGrid w:val="0"/>
        <w:spacing w:line="360" w:lineRule="auto"/>
        <w:ind w:firstLine="560"/>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本次绩效评价的对象为伊宁县文化体育广播电视和旅游局伊宁县全民健身场地设施项目，为客观评价该项目的社会效果，绩效评价小组依据公共支出绩效评价“为顾客服务”原理，引入“提升公众健康水平”“促进社会交往与乡村和谐”“项目所在村受益村民满意度”等效益指标，了解群众对项目的评价情况，对本项目展开满意度问卷调查。问卷调查工作情况如下：</w:t>
      </w:r>
    </w:p>
    <w:p w14:paraId="44DBE216">
      <w:pPr>
        <w:bidi w:val="0"/>
        <w:spacing w:line="360" w:lineRule="auto"/>
        <w:rPr>
          <w:rFonts w:hint="default" w:ascii="Times New Roman" w:hAnsi="Times New Roman" w:eastAsia="宋体" w:cs="Times New Roman"/>
          <w:b/>
          <w:bCs/>
          <w:color w:val="auto"/>
          <w:highlight w:val="none"/>
        </w:rPr>
      </w:pPr>
      <w:bookmarkStart w:id="142" w:name="_Toc529373554"/>
      <w:bookmarkStart w:id="143" w:name="_Toc529373321"/>
      <w:r>
        <w:rPr>
          <w:rFonts w:hint="default" w:ascii="Times New Roman" w:hAnsi="Times New Roman" w:eastAsia="宋体" w:cs="Times New Roman"/>
          <w:b/>
          <w:bCs/>
          <w:color w:val="auto"/>
          <w:highlight w:val="none"/>
          <w:lang w:val="en-US" w:eastAsia="zh-CN"/>
        </w:rPr>
        <w:t>1.</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对象</w:t>
      </w:r>
      <w:bookmarkEnd w:id="142"/>
      <w:bookmarkEnd w:id="143"/>
    </w:p>
    <w:p w14:paraId="4C7316D1">
      <w:pPr>
        <w:spacing w:line="360" w:lineRule="auto"/>
        <w:ind w:firstLine="56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本次调研的受益对象为伊宁县全民健身场地设施项目受益村民。</w:t>
      </w:r>
    </w:p>
    <w:p w14:paraId="4B1C5BA5">
      <w:pPr>
        <w:bidi w:val="0"/>
        <w:spacing w:line="360" w:lineRule="auto"/>
        <w:rPr>
          <w:rFonts w:hint="default" w:ascii="Times New Roman" w:hAnsi="Times New Roman" w:eastAsia="宋体" w:cs="Times New Roman"/>
          <w:b/>
          <w:bCs/>
          <w:color w:val="auto"/>
          <w:highlight w:val="none"/>
        </w:rPr>
      </w:pPr>
      <w:bookmarkStart w:id="144" w:name="_Toc529373322"/>
      <w:bookmarkStart w:id="145" w:name="_Toc529373555"/>
      <w:r>
        <w:rPr>
          <w:rFonts w:hint="default" w:ascii="Times New Roman" w:hAnsi="Times New Roman" w:eastAsia="宋体" w:cs="Times New Roman"/>
          <w:b/>
          <w:bCs/>
          <w:color w:val="auto"/>
          <w:highlight w:val="none"/>
          <w:lang w:val="en-US" w:eastAsia="zh-CN"/>
        </w:rPr>
        <w:t>2.</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内容</w:t>
      </w:r>
      <w:bookmarkEnd w:id="144"/>
      <w:bookmarkEnd w:id="145"/>
    </w:p>
    <w:p w14:paraId="0C2EED71">
      <w:pPr>
        <w:spacing w:line="360" w:lineRule="auto"/>
        <w:ind w:firstLine="56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（1）对</w:t>
      </w:r>
      <w:r>
        <w:rPr>
          <w:rFonts w:hint="eastAsia" w:ascii="Times New Roman" w:hAnsi="Times New Roman" w:eastAsia="宋体" w:cs="Times New Roman"/>
          <w:color w:val="auto"/>
          <w:highlight w:val="none"/>
          <w:lang w:eastAsia="zh-CN"/>
        </w:rPr>
        <w:t>伊宁县文化体育广播电视和旅游局伊宁县全民健身场地设施项目</w:t>
      </w:r>
      <w:r>
        <w:rPr>
          <w:rFonts w:hint="eastAsia" w:ascii="Times New Roman" w:hAnsi="Times New Roman" w:eastAsia="宋体" w:cs="Times New Roman"/>
          <w:color w:val="auto"/>
          <w:highlight w:val="none"/>
        </w:rPr>
        <w:t>实施后的满意度，包括对</w:t>
      </w:r>
      <w:r>
        <w:rPr>
          <w:rFonts w:hint="eastAsia" w:ascii="Times New Roman" w:hAnsi="Times New Roman" w:eastAsia="宋体" w:cs="Times New Roman"/>
          <w:color w:val="auto"/>
          <w:highlight w:val="none"/>
          <w:lang w:val="en-US" w:eastAsia="zh-CN"/>
        </w:rPr>
        <w:t>伊宁县全民健身场地设施项目</w:t>
      </w:r>
      <w:r>
        <w:rPr>
          <w:rFonts w:hint="eastAsia" w:ascii="Times New Roman" w:hAnsi="Times New Roman" w:eastAsia="宋体" w:cs="Times New Roman"/>
          <w:color w:val="auto"/>
          <w:highlight w:val="none"/>
        </w:rPr>
        <w:t>的了解情况、通过项目实施对于提升公众健康水</w:t>
      </w:r>
      <w:r>
        <w:rPr>
          <w:rFonts w:hint="eastAsia" w:ascii="Times New Roman" w:hAnsi="Times New Roman" w:eastAsia="宋体" w:cs="Times New Roman"/>
          <w:color w:val="auto"/>
          <w:highlight w:val="none"/>
          <w:lang w:eastAsia="zh-CN"/>
        </w:rPr>
        <w:t>平的</w:t>
      </w:r>
      <w:r>
        <w:rPr>
          <w:rFonts w:hint="eastAsia" w:ascii="Times New Roman" w:hAnsi="Times New Roman" w:eastAsia="宋体" w:cs="Times New Roman"/>
          <w:color w:val="auto"/>
          <w:highlight w:val="none"/>
        </w:rPr>
        <w:t>程度如何、项目实施后对于促进社会交往与乡村和谐效果如何等。</w:t>
      </w:r>
    </w:p>
    <w:p w14:paraId="40134862">
      <w:pPr>
        <w:spacing w:line="360" w:lineRule="auto"/>
        <w:ind w:firstLine="56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（2）对</w:t>
      </w:r>
      <w:r>
        <w:rPr>
          <w:rFonts w:hint="eastAsia" w:ascii="Times New Roman" w:hAnsi="Times New Roman" w:eastAsia="宋体" w:cs="Times New Roman"/>
          <w:color w:val="auto"/>
          <w:highlight w:val="none"/>
          <w:lang w:eastAsia="zh-CN"/>
        </w:rPr>
        <w:t>伊宁县文化体育广播电视和旅游局伊宁县全民健身场地设施项目</w:t>
      </w:r>
      <w:r>
        <w:rPr>
          <w:rFonts w:hint="eastAsia" w:ascii="Times New Roman" w:hAnsi="Times New Roman" w:eastAsia="宋体" w:cs="Times New Roman"/>
          <w:color w:val="auto"/>
          <w:highlight w:val="none"/>
        </w:rPr>
        <w:t>的意见和建议，通过开放式问答收集，涵盖各个方面。</w:t>
      </w:r>
    </w:p>
    <w:p w14:paraId="59DA0475">
      <w:pPr>
        <w:bidi w:val="0"/>
        <w:spacing w:line="360" w:lineRule="auto"/>
        <w:rPr>
          <w:rFonts w:hint="default" w:ascii="Times New Roman" w:hAnsi="Times New Roman" w:eastAsia="宋体" w:cs="Times New Roman"/>
          <w:b/>
          <w:bCs/>
          <w:color w:val="auto"/>
          <w:highlight w:val="none"/>
        </w:rPr>
      </w:pPr>
      <w:bookmarkStart w:id="146" w:name="_Toc529373323"/>
      <w:bookmarkStart w:id="147" w:name="_Toc529373556"/>
      <w:r>
        <w:rPr>
          <w:rFonts w:hint="default" w:ascii="Times New Roman" w:hAnsi="Times New Roman" w:eastAsia="宋体" w:cs="Times New Roman"/>
          <w:b/>
          <w:bCs/>
          <w:color w:val="auto"/>
          <w:highlight w:val="none"/>
          <w:lang w:val="en-US" w:eastAsia="zh-CN"/>
        </w:rPr>
        <w:t>3.</w:t>
      </w:r>
      <w:r>
        <w:rPr>
          <w:rFonts w:hint="default" w:ascii="Times New Roman" w:hAnsi="Times New Roman" w:eastAsia="宋体" w:cs="Times New Roman"/>
          <w:b/>
          <w:bCs/>
          <w:color w:val="auto"/>
          <w:highlight w:val="none"/>
        </w:rPr>
        <w:t>调</w:t>
      </w:r>
      <w:r>
        <w:rPr>
          <w:rFonts w:hint="eastAsia" w:ascii="Times New Roman" w:hAnsi="Times New Roman" w:eastAsia="宋体" w:cs="Times New Roman"/>
          <w:b/>
          <w:bCs/>
          <w:color w:val="auto"/>
          <w:highlight w:val="none"/>
          <w:lang w:val="en-US" w:eastAsia="zh-CN"/>
        </w:rPr>
        <w:t>查</w:t>
      </w:r>
      <w:r>
        <w:rPr>
          <w:rFonts w:hint="default" w:ascii="Times New Roman" w:hAnsi="Times New Roman" w:eastAsia="宋体" w:cs="Times New Roman"/>
          <w:b/>
          <w:bCs/>
          <w:color w:val="auto"/>
          <w:highlight w:val="none"/>
        </w:rPr>
        <w:t>方法</w:t>
      </w:r>
      <w:bookmarkEnd w:id="146"/>
      <w:bookmarkEnd w:id="147"/>
    </w:p>
    <w:p w14:paraId="631E6F43">
      <w:pPr>
        <w:spacing w:line="360" w:lineRule="auto"/>
        <w:ind w:firstLine="56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本次调研问卷调查采取随机抽样方式，对202</w:t>
      </w:r>
      <w:r>
        <w:rPr>
          <w:rFonts w:hint="eastAsia" w:ascii="Times New Roman" w:hAnsi="Times New Roman" w:eastAsia="宋体" w:cs="Times New Roman"/>
          <w:color w:val="auto"/>
          <w:highlight w:val="none"/>
          <w:lang w:val="en-US" w:eastAsia="zh-CN"/>
        </w:rPr>
        <w:t>4</w:t>
      </w:r>
      <w:r>
        <w:rPr>
          <w:rFonts w:hint="default" w:ascii="Times New Roman" w:hAnsi="Times New Roman" w:eastAsia="宋体" w:cs="Times New Roman"/>
          <w:color w:val="auto"/>
          <w:highlight w:val="none"/>
        </w:rPr>
        <w:t>年度该项目对象随机抽取受益社会公众为样本，发放问卷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rPr>
        <w:t>。</w:t>
      </w:r>
    </w:p>
    <w:p w14:paraId="7FE10324">
      <w:pPr>
        <w:bidi w:val="0"/>
        <w:spacing w:line="360" w:lineRule="auto"/>
        <w:rPr>
          <w:rFonts w:hint="eastAsia" w:ascii="Times New Roman" w:hAnsi="Times New Roman" w:eastAsia="宋体" w:cs="Times New Roman"/>
          <w:b/>
          <w:bCs/>
          <w:color w:val="auto"/>
          <w:highlight w:val="none"/>
          <w:lang w:val="en-US" w:eastAsia="zh-CN"/>
        </w:rPr>
      </w:pPr>
      <w:bookmarkStart w:id="148" w:name="_Toc529373325"/>
      <w:bookmarkStart w:id="149" w:name="_Toc529373558"/>
      <w:r>
        <w:rPr>
          <w:rFonts w:hint="eastAsia" w:ascii="Times New Roman" w:hAnsi="Times New Roman" w:eastAsia="宋体" w:cs="Times New Roman"/>
          <w:b/>
          <w:bCs/>
          <w:color w:val="auto"/>
          <w:highlight w:val="none"/>
          <w:lang w:val="en-US" w:eastAsia="zh-CN"/>
        </w:rPr>
        <w:t>4</w:t>
      </w:r>
      <w:r>
        <w:rPr>
          <w:rFonts w:hint="default" w:ascii="Times New Roman" w:hAnsi="Times New Roman" w:eastAsia="宋体" w:cs="Times New Roman"/>
          <w:b/>
          <w:bCs/>
          <w:color w:val="auto"/>
          <w:highlight w:val="none"/>
          <w:lang w:val="en-US" w:eastAsia="zh-CN"/>
        </w:rPr>
        <w:t>.</w:t>
      </w:r>
      <w:r>
        <w:rPr>
          <w:rFonts w:hint="default" w:ascii="Times New Roman" w:hAnsi="Times New Roman" w:eastAsia="宋体" w:cs="Times New Roman"/>
          <w:b/>
          <w:bCs/>
          <w:color w:val="auto"/>
          <w:highlight w:val="none"/>
        </w:rPr>
        <w:t>问卷的发放</w:t>
      </w:r>
      <w:bookmarkEnd w:id="148"/>
      <w:bookmarkEnd w:id="149"/>
      <w:r>
        <w:rPr>
          <w:rFonts w:hint="eastAsia" w:ascii="Times New Roman" w:hAnsi="Times New Roman" w:eastAsia="宋体" w:cs="Times New Roman"/>
          <w:b/>
          <w:bCs/>
          <w:color w:val="auto"/>
          <w:highlight w:val="none"/>
          <w:lang w:val="en-US" w:eastAsia="zh-CN"/>
        </w:rPr>
        <w:t>形式</w:t>
      </w:r>
    </w:p>
    <w:p w14:paraId="545CD400">
      <w:pPr>
        <w:spacing w:line="360" w:lineRule="auto"/>
        <w:ind w:firstLine="56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为充分采集调研对象的真实想法，保证调研的公平性和科学性，本次问卷调研不记名，在</w:t>
      </w:r>
      <w:r>
        <w:rPr>
          <w:rFonts w:hint="eastAsia" w:ascii="Times New Roman" w:hAnsi="Times New Roman" w:eastAsia="宋体" w:cs="Times New Roman"/>
          <w:color w:val="auto"/>
          <w:highlight w:val="none"/>
          <w:lang w:eastAsia="zh-CN"/>
        </w:rPr>
        <w:t>伊宁县文化体育广播电视和旅游局</w:t>
      </w:r>
      <w:r>
        <w:rPr>
          <w:rFonts w:hint="default" w:ascii="Times New Roman" w:hAnsi="Times New Roman" w:eastAsia="宋体" w:cs="Times New Roman"/>
          <w:color w:val="auto"/>
          <w:highlight w:val="none"/>
        </w:rPr>
        <w:t>单位的协调配合下，组织安排线上电子问卷的发放与回收。</w:t>
      </w:r>
    </w:p>
    <w:p w14:paraId="5461CDF7">
      <w:pPr>
        <w:numPr>
          <w:ilvl w:val="0"/>
          <w:numId w:val="0"/>
        </w:numPr>
        <w:spacing w:line="360" w:lineRule="auto"/>
        <w:ind w:leftChars="200"/>
        <w:jc w:val="left"/>
        <w:rPr>
          <w:rFonts w:hint="default" w:ascii="Times New Roman" w:hAnsi="Times New Roman" w:eastAsia="宋体" w:cs="Times New Roman"/>
          <w:b/>
          <w:bCs/>
          <w:color w:val="auto"/>
          <w:highlight w:val="none"/>
          <w:lang w:val="en-US" w:eastAsia="zh-CN"/>
        </w:rPr>
      </w:pPr>
      <w:r>
        <w:rPr>
          <w:rFonts w:hint="eastAsia" w:ascii="Times New Roman" w:hAnsi="Times New Roman" w:eastAsia="宋体" w:cs="Times New Roman"/>
          <w:b/>
          <w:bCs/>
          <w:color w:val="auto"/>
          <w:highlight w:val="none"/>
          <w:lang w:val="en-US" w:eastAsia="zh-CN"/>
        </w:rPr>
        <w:t>5.</w:t>
      </w:r>
      <w:r>
        <w:rPr>
          <w:rFonts w:hint="default" w:ascii="Times New Roman" w:hAnsi="Times New Roman" w:eastAsia="宋体" w:cs="Times New Roman"/>
          <w:b/>
          <w:bCs/>
          <w:color w:val="auto"/>
          <w:highlight w:val="none"/>
          <w:lang w:val="en-US" w:eastAsia="zh-CN"/>
        </w:rPr>
        <w:t>问卷调查分析结果</w:t>
      </w:r>
    </w:p>
    <w:p w14:paraId="74F8F978">
      <w:pPr>
        <w:spacing w:line="360" w:lineRule="auto"/>
        <w:ind w:left="0" w:leftChars="0" w:firstLine="420" w:firstLineChars="200"/>
        <w:jc w:val="left"/>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本次调研过程中，评价小组实际发放问卷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lang w:val="en-US" w:eastAsia="zh-CN"/>
        </w:rPr>
        <w:t>，回收问卷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lang w:val="en-US" w:eastAsia="zh-CN"/>
        </w:rPr>
        <w:t>，问卷回收率为100.00%，有效问卷</w:t>
      </w:r>
      <w:r>
        <w:rPr>
          <w:rFonts w:hint="eastAsia" w:ascii="Times New Roman" w:hAnsi="Times New Roman" w:eastAsia="宋体" w:cs="Times New Roman"/>
          <w:color w:val="auto"/>
          <w:highlight w:val="none"/>
          <w:lang w:val="en-US" w:eastAsia="zh-CN"/>
        </w:rPr>
        <w:t>117份</w:t>
      </w:r>
      <w:r>
        <w:rPr>
          <w:rFonts w:hint="default" w:ascii="Times New Roman" w:hAnsi="Times New Roman" w:eastAsia="宋体" w:cs="Times New Roman"/>
          <w:color w:val="auto"/>
          <w:highlight w:val="none"/>
          <w:lang w:val="en-US" w:eastAsia="zh-CN"/>
        </w:rPr>
        <w:t>，有效回收率100.00%，调研问卷总体满意度为</w:t>
      </w:r>
      <w:r>
        <w:rPr>
          <w:rFonts w:hint="eastAsia" w:ascii="Times New Roman" w:hAnsi="Times New Roman" w:eastAsia="宋体" w:cs="Times New Roman"/>
          <w:color w:val="auto"/>
          <w:highlight w:val="none"/>
          <w:lang w:val="en-US" w:eastAsia="zh-CN"/>
        </w:rPr>
        <w:t>90.80%</w:t>
      </w:r>
      <w:r>
        <w:rPr>
          <w:rFonts w:hint="default" w:ascii="Times New Roman" w:hAnsi="Times New Roman" w:eastAsia="宋体" w:cs="Times New Roman"/>
          <w:color w:val="auto"/>
          <w:highlight w:val="none"/>
          <w:lang w:val="en-US" w:eastAsia="zh-CN"/>
        </w:rPr>
        <w:t>。根据调研反馈，受益社会公众对</w:t>
      </w:r>
      <w:r>
        <w:rPr>
          <w:rFonts w:hint="eastAsia" w:ascii="Times New Roman" w:hAnsi="Times New Roman" w:eastAsia="宋体" w:cs="Times New Roman"/>
          <w:color w:val="auto"/>
          <w:highlight w:val="none"/>
          <w:lang w:eastAsia="zh-CN"/>
        </w:rPr>
        <w:t>伊宁县全民健身场地设施项目</w:t>
      </w:r>
      <w:r>
        <w:rPr>
          <w:rFonts w:hint="default" w:ascii="Times New Roman" w:hAnsi="Times New Roman" w:eastAsia="宋体" w:cs="Times New Roman"/>
          <w:color w:val="auto"/>
          <w:highlight w:val="none"/>
          <w:lang w:val="en-US" w:eastAsia="zh-CN"/>
        </w:rPr>
        <w:t>总体比较满意。本次调研的整体情况如下：</w:t>
      </w:r>
    </w:p>
    <w:tbl>
      <w:tblPr>
        <w:tblStyle w:val="18"/>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41"/>
        <w:gridCol w:w="2937"/>
        <w:gridCol w:w="2744"/>
      </w:tblGrid>
      <w:tr w14:paraId="59A0F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5C3D420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（1）您的性别</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143D4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64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59A1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7A54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7601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27A6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男</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9BCE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79</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5B85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67.50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D9F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C244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女</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745C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default" w:ascii="Times New Roman" w:hAnsi="Times New Roman" w:eastAsia="宋体" w:cs="Times New Roman"/>
                <w:i w:val="0"/>
                <w:iCs w:val="0"/>
                <w:color w:val="auto"/>
                <w:sz w:val="21"/>
                <w:szCs w:val="21"/>
                <w:highlight w:val="none"/>
                <w:u w:val="none"/>
                <w:lang w:val="en-US" w:eastAsia="zh-CN"/>
              </w:rPr>
              <w:t>3</w:t>
            </w:r>
            <w:r>
              <w:rPr>
                <w:rFonts w:hint="eastAsia" w:ascii="Times New Roman" w:hAnsi="Times New Roman" w:eastAsia="宋体" w:cs="Times New Roman"/>
                <w:i w:val="0"/>
                <w:iCs w:val="0"/>
                <w:color w:val="auto"/>
                <w:sz w:val="21"/>
                <w:szCs w:val="21"/>
                <w:highlight w:val="none"/>
                <w:u w:val="none"/>
                <w:lang w:val="en-US" w:eastAsia="zh-CN"/>
              </w:rPr>
              <w:t>8</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7C43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32.50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2AD3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650CA72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（2）您的年龄？</w:t>
            </w:r>
          </w:p>
        </w:tc>
      </w:tr>
      <w:tr w14:paraId="4EC8C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C622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F1D3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08DD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69ED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1261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rPr>
              <w:t>18岁以下</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5DA8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lang w:val="en-US" w:eastAsia="zh-CN"/>
              </w:rPr>
              <w:t>17</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1499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14.50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06E40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0377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rPr>
              <w:t>18-30岁</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C578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59</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8B4B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50.40</w:t>
            </w:r>
            <w:r>
              <w:rPr>
                <w:rFonts w:hint="default" w:ascii="Times New Roman" w:hAnsi="Times New Roman" w:eastAsia="宋体" w:cs="Times New Roman"/>
                <w:i w:val="0"/>
                <w:iCs w:val="0"/>
                <w:color w:val="auto"/>
                <w:sz w:val="21"/>
                <w:szCs w:val="21"/>
                <w:highlight w:val="none"/>
                <w:u w:val="none"/>
                <w:lang w:val="en-US" w:eastAsia="zh-CN"/>
              </w:rPr>
              <w:t>%</w:t>
            </w:r>
          </w:p>
        </w:tc>
      </w:tr>
      <w:tr w14:paraId="07E62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4A9F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rPr>
              <w:t>31-50岁</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A3FF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29</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C087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24.80</w:t>
            </w:r>
            <w:r>
              <w:rPr>
                <w:rFonts w:hint="default" w:ascii="Times New Roman" w:hAnsi="Times New Roman" w:eastAsia="宋体" w:cs="Times New Roman"/>
                <w:i w:val="0"/>
                <w:iCs w:val="0"/>
                <w:color w:val="auto"/>
                <w:sz w:val="21"/>
                <w:szCs w:val="21"/>
                <w:highlight w:val="none"/>
                <w:u w:val="none"/>
                <w:lang w:val="en-US" w:eastAsia="zh-CN"/>
              </w:rPr>
              <w:t>%</w:t>
            </w:r>
          </w:p>
        </w:tc>
      </w:tr>
      <w:tr w14:paraId="46A8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0981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rPr>
              <w:t>51-65岁</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6DF9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10</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56E6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8.50</w:t>
            </w:r>
            <w:r>
              <w:rPr>
                <w:rFonts w:hint="default" w:ascii="Times New Roman" w:hAnsi="Times New Roman" w:eastAsia="宋体" w:cs="Times New Roman"/>
                <w:i w:val="0"/>
                <w:iCs w:val="0"/>
                <w:color w:val="auto"/>
                <w:sz w:val="21"/>
                <w:szCs w:val="21"/>
                <w:highlight w:val="none"/>
                <w:u w:val="none"/>
                <w:lang w:val="en-US" w:eastAsia="zh-CN"/>
              </w:rPr>
              <w:t>%</w:t>
            </w:r>
          </w:p>
        </w:tc>
      </w:tr>
      <w:tr w14:paraId="5080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916C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sz w:val="21"/>
                <w:szCs w:val="21"/>
                <w:highlight w:val="none"/>
                <w:u w:val="none"/>
              </w:rPr>
              <w:t>65岁以上</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833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1CCD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1.7</w:t>
            </w:r>
            <w:r>
              <w:rPr>
                <w:rFonts w:hint="default" w:ascii="Times New Roman" w:hAnsi="Times New Roman" w:eastAsia="宋体" w:cs="Times New Roman"/>
                <w:i w:val="0"/>
                <w:iCs w:val="0"/>
                <w:color w:val="auto"/>
                <w:sz w:val="21"/>
                <w:szCs w:val="21"/>
                <w:highlight w:val="none"/>
                <w:u w:val="none"/>
                <w:lang w:val="en-US" w:eastAsia="zh-CN"/>
              </w:rPr>
              <w:t>0%</w:t>
            </w:r>
          </w:p>
        </w:tc>
      </w:tr>
      <w:tr w14:paraId="2211D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4175F35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（3）您是否使用过村里的足球场/篮球场</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42BF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1681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C6F4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4ACB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5FE6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498E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sz w:val="21"/>
                <w:szCs w:val="21"/>
                <w:highlight w:val="none"/>
                <w:u w:val="none"/>
                <w:lang w:val="en-US"/>
              </w:rPr>
              <w:t>经常使用（每周至少1次）</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2647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74</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298A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63.2</w:t>
            </w:r>
            <w:r>
              <w:rPr>
                <w:rFonts w:hint="default" w:ascii="Times New Roman" w:hAnsi="Times New Roman" w:eastAsia="宋体" w:cs="Times New Roman"/>
                <w:i w:val="0"/>
                <w:iCs w:val="0"/>
                <w:color w:val="auto"/>
                <w:sz w:val="21"/>
                <w:szCs w:val="21"/>
                <w:highlight w:val="none"/>
                <w:u w:val="none"/>
                <w:lang w:val="en-US" w:eastAsia="zh-CN"/>
              </w:rPr>
              <w:t>0%</w:t>
            </w:r>
          </w:p>
        </w:tc>
      </w:tr>
      <w:tr w14:paraId="5BC99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9A81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rPr>
              <w:t>偶尔使用（每月1-3次）</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0D76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22</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5F46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18.80</w:t>
            </w:r>
            <w:r>
              <w:rPr>
                <w:rFonts w:hint="default" w:ascii="Times New Roman" w:hAnsi="Times New Roman" w:eastAsia="宋体" w:cs="Times New Roman"/>
                <w:i w:val="0"/>
                <w:iCs w:val="0"/>
                <w:color w:val="auto"/>
                <w:sz w:val="21"/>
                <w:szCs w:val="21"/>
                <w:highlight w:val="none"/>
                <w:u w:val="none"/>
                <w:lang w:val="en-US" w:eastAsia="zh-CN"/>
              </w:rPr>
              <w:t>%</w:t>
            </w:r>
          </w:p>
        </w:tc>
      </w:tr>
      <w:tr w14:paraId="4EE86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4F03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rPr>
              <w:t>很少使用（每年几次）</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CB0C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w:t>
            </w:r>
            <w:r>
              <w:rPr>
                <w:rFonts w:hint="default" w:ascii="Times New Roman" w:hAnsi="Times New Roman" w:eastAsia="宋体" w:cs="Times New Roman"/>
                <w:i w:val="0"/>
                <w:iCs w:val="0"/>
                <w:color w:val="auto"/>
                <w:sz w:val="21"/>
                <w:szCs w:val="21"/>
                <w:highlight w:val="none"/>
                <w:u w:val="none"/>
                <w:lang w:val="en-US" w:eastAsia="zh-CN"/>
              </w:rPr>
              <w:t>0</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6529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8.5</w:t>
            </w:r>
            <w:r>
              <w:rPr>
                <w:rFonts w:hint="default" w:ascii="Times New Roman" w:hAnsi="Times New Roman" w:eastAsia="宋体" w:cs="Times New Roman"/>
                <w:i w:val="0"/>
                <w:iCs w:val="0"/>
                <w:color w:val="auto"/>
                <w:sz w:val="21"/>
                <w:szCs w:val="21"/>
                <w:highlight w:val="none"/>
                <w:u w:val="none"/>
                <w:lang w:val="en-US" w:eastAsia="zh-CN"/>
              </w:rPr>
              <w:t>0%</w:t>
            </w:r>
          </w:p>
        </w:tc>
      </w:tr>
      <w:tr w14:paraId="746B8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FC2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sz w:val="21"/>
                <w:szCs w:val="21"/>
                <w:highlight w:val="none"/>
                <w:u w:val="none"/>
              </w:rPr>
              <w:t>从未使用过</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D3E1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816B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9.4</w:t>
            </w:r>
            <w:r>
              <w:rPr>
                <w:rFonts w:hint="default" w:ascii="Times New Roman" w:hAnsi="Times New Roman" w:eastAsia="宋体" w:cs="Times New Roman"/>
                <w:i w:val="0"/>
                <w:iCs w:val="0"/>
                <w:color w:val="auto"/>
                <w:sz w:val="21"/>
                <w:szCs w:val="21"/>
                <w:highlight w:val="none"/>
                <w:u w:val="none"/>
                <w:lang w:val="en-US" w:eastAsia="zh-CN"/>
              </w:rPr>
              <w:t>0%</w:t>
            </w:r>
          </w:p>
        </w:tc>
      </w:tr>
      <w:tr w14:paraId="7A98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2CB9CA3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（4）您对村里足球场/篮球场的场地质量是否满意？</w:t>
            </w:r>
          </w:p>
        </w:tc>
      </w:tr>
      <w:tr w14:paraId="2039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766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5199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62D7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sz w:val="21"/>
                <w:szCs w:val="21"/>
                <w:highlight w:val="none"/>
                <w:u w:val="none"/>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1BD92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300E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E55F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77</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F6A5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65.80</w:t>
            </w:r>
            <w:r>
              <w:rPr>
                <w:rFonts w:hint="default" w:ascii="Times New Roman" w:hAnsi="Times New Roman" w:eastAsia="宋体" w:cs="Times New Roman"/>
                <w:i w:val="0"/>
                <w:iCs w:val="0"/>
                <w:color w:val="auto"/>
                <w:sz w:val="21"/>
                <w:szCs w:val="21"/>
                <w:highlight w:val="none"/>
                <w:u w:val="none"/>
                <w:lang w:val="en-US" w:eastAsia="zh-CN"/>
              </w:rPr>
              <w:t>%</w:t>
            </w:r>
          </w:p>
        </w:tc>
      </w:tr>
      <w:tr w14:paraId="751E9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AC6B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537B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32</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CCB4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rPr>
            </w:pPr>
            <w:r>
              <w:rPr>
                <w:rFonts w:hint="eastAsia" w:ascii="Times New Roman" w:hAnsi="Times New Roman" w:eastAsia="宋体" w:cs="Times New Roman"/>
                <w:i w:val="0"/>
                <w:iCs w:val="0"/>
                <w:color w:val="auto"/>
                <w:kern w:val="0"/>
                <w:sz w:val="21"/>
                <w:szCs w:val="21"/>
                <w:highlight w:val="none"/>
                <w:u w:val="none"/>
                <w:lang w:val="en-US" w:eastAsia="zh-CN" w:bidi="ar"/>
              </w:rPr>
              <w:t>27.40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380A1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0F1A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296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3</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0EF9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2.6</w:t>
            </w:r>
            <w:r>
              <w:rPr>
                <w:rFonts w:hint="default" w:ascii="Times New Roman" w:hAnsi="Times New Roman" w:eastAsia="宋体" w:cs="Times New Roman"/>
                <w:i w:val="0"/>
                <w:iCs w:val="0"/>
                <w:color w:val="auto"/>
                <w:sz w:val="21"/>
                <w:szCs w:val="21"/>
                <w:highlight w:val="none"/>
                <w:u w:val="none"/>
                <w:lang w:val="en-US" w:eastAsia="zh-CN"/>
              </w:rPr>
              <w:t>0%</w:t>
            </w:r>
          </w:p>
        </w:tc>
      </w:tr>
      <w:tr w14:paraId="41DCB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856C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C42E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4</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E004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3.4</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23251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FA53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C0D8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lang w:val="en-US" w:eastAsia="zh-CN"/>
              </w:rPr>
            </w:pPr>
            <w:r>
              <w:rPr>
                <w:rFonts w:hint="eastAsia" w:ascii="Times New Roman" w:hAnsi="Times New Roman" w:eastAsia="宋体" w:cs="Times New Roman"/>
                <w:i w:val="0"/>
                <w:iCs w:val="0"/>
                <w:color w:val="auto"/>
                <w:sz w:val="21"/>
                <w:szCs w:val="21"/>
                <w:highlight w:val="none"/>
                <w:u w:val="none"/>
                <w:lang w:val="en-US" w:eastAsia="zh-CN"/>
              </w:rPr>
              <w:t>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2491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003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15FC9F0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（5）您认为足球场/篮球场的安全性如何</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67B3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EA44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B9A4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9114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eastAsia" w:ascii="Times New Roman" w:hAnsi="Times New Roman" w:eastAsia="宋体" w:cs="Times New Roman"/>
                <w:b/>
                <w:bCs/>
                <w:i w:val="0"/>
                <w:iCs w:val="0"/>
                <w:color w:val="auto"/>
                <w:kern w:val="0"/>
                <w:sz w:val="21"/>
                <w:szCs w:val="21"/>
                <w:highlight w:val="none"/>
                <w:u w:val="none"/>
                <w:lang w:val="en-US" w:eastAsia="zh-CN" w:bidi="ar"/>
              </w:rPr>
              <w:t>占比</w:t>
            </w:r>
          </w:p>
        </w:tc>
      </w:tr>
      <w:tr w14:paraId="7E05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B4AB0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非常安全</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73A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81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7369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69.20</w:t>
            </w:r>
            <w:r>
              <w:rPr>
                <w:rFonts w:hint="default" w:ascii="Times New Roman" w:hAnsi="Times New Roman" w:eastAsia="宋体" w:cs="Times New Roman"/>
                <w:i w:val="0"/>
                <w:iCs w:val="0"/>
                <w:color w:val="auto"/>
                <w:sz w:val="21"/>
                <w:szCs w:val="21"/>
                <w:highlight w:val="none"/>
                <w:u w:val="none"/>
                <w:lang w:val="en-US" w:eastAsia="zh-CN"/>
              </w:rPr>
              <w:t>%</w:t>
            </w:r>
          </w:p>
        </w:tc>
      </w:tr>
      <w:tr w14:paraId="3D2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1B8B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安全</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86B1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24</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FFBD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20.50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266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013A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一般</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0F1B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11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6722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sz w:val="21"/>
                <w:szCs w:val="21"/>
                <w:highlight w:val="none"/>
                <w:u w:val="none"/>
                <w:lang w:val="en-US" w:eastAsia="zh-CN"/>
              </w:rPr>
              <w:t>9.4</w:t>
            </w:r>
            <w:r>
              <w:rPr>
                <w:rFonts w:hint="default" w:ascii="Times New Roman" w:hAnsi="Times New Roman" w:eastAsia="宋体" w:cs="Times New Roman"/>
                <w:i w:val="0"/>
                <w:iCs w:val="0"/>
                <w:color w:val="auto"/>
                <w:sz w:val="21"/>
                <w:szCs w:val="21"/>
                <w:highlight w:val="none"/>
                <w:u w:val="none"/>
                <w:lang w:val="en-US" w:eastAsia="zh-CN"/>
              </w:rPr>
              <w:t>0%</w:t>
            </w:r>
          </w:p>
        </w:tc>
      </w:tr>
      <w:tr w14:paraId="0187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77DC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不安全</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AECE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15B8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0.00%</w:t>
            </w:r>
          </w:p>
        </w:tc>
      </w:tr>
      <w:tr w14:paraId="4B21A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08F6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非常不安全</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1997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sz w:val="21"/>
                <w:szCs w:val="21"/>
                <w:highlight w:val="none"/>
                <w:u w:val="none"/>
                <w:lang w:val="en-US" w:eastAsia="zh-CN"/>
              </w:rPr>
              <w:t>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EFD8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43493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1" w:hRule="atLeast"/>
          <w:jc w:val="center"/>
        </w:trPr>
        <w:tc>
          <w:tcPr>
            <w:tcW w:w="5000" w:type="pct"/>
            <w:gridSpan w:val="3"/>
            <w:tcBorders>
              <w:top w:val="single" w:color="000000" w:sz="4" w:space="0"/>
              <w:left w:val="nil"/>
              <w:bottom w:val="single" w:color="000000" w:sz="4" w:space="0"/>
              <w:right w:val="nil"/>
            </w:tcBorders>
            <w:shd w:val="clear" w:color="auto" w:fill="auto"/>
            <w:vAlign w:val="center"/>
          </w:tcPr>
          <w:p w14:paraId="50EDA00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（6）您觉得场地的开放时间是否合理，能否满足村民全面健身的需求</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61062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C67C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5766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2EDD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b/>
                <w:bCs/>
                <w:i w:val="0"/>
                <w:iCs w:val="0"/>
                <w:color w:val="auto"/>
                <w:kern w:val="2"/>
                <w:sz w:val="21"/>
                <w:szCs w:val="21"/>
                <w:highlight w:val="none"/>
                <w:u w:val="none"/>
                <w:lang w:val="en-US" w:eastAsia="zh-CN" w:bidi="ar-SA"/>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30035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8F3C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非常合理</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2922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81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4A48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70.10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C405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1EBC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比较</w:t>
            </w:r>
            <w:r>
              <w:rPr>
                <w:rFonts w:hint="eastAsia" w:ascii="Times New Roman" w:hAnsi="Times New Roman" w:eastAsia="宋体" w:cs="Times New Roman"/>
                <w:i w:val="0"/>
                <w:iCs w:val="0"/>
                <w:color w:val="auto"/>
                <w:kern w:val="0"/>
                <w:sz w:val="21"/>
                <w:szCs w:val="21"/>
                <w:highlight w:val="none"/>
                <w:u w:val="none"/>
                <w:lang w:val="en-US" w:eastAsia="zh-CN" w:bidi="ar"/>
              </w:rPr>
              <w:t>合理</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2A68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28</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EAD4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23.1</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75291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44CD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一般</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319F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5</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B432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4.</w:t>
            </w:r>
            <w:r>
              <w:rPr>
                <w:rFonts w:hint="eastAsia" w:ascii="Times New Roman" w:hAnsi="Times New Roman" w:eastAsia="宋体" w:cs="Times New Roman"/>
                <w:i w:val="0"/>
                <w:iCs w:val="0"/>
                <w:color w:val="auto"/>
                <w:kern w:val="0"/>
                <w:sz w:val="21"/>
                <w:szCs w:val="21"/>
                <w:highlight w:val="none"/>
                <w:u w:val="none"/>
                <w:lang w:val="en-US" w:eastAsia="zh-CN" w:bidi="ar"/>
              </w:rPr>
              <w:t>3</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A597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8553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不</w:t>
            </w:r>
            <w:r>
              <w:rPr>
                <w:rFonts w:hint="eastAsia" w:ascii="Times New Roman" w:hAnsi="Times New Roman" w:eastAsia="宋体" w:cs="Times New Roman"/>
                <w:i w:val="0"/>
                <w:iCs w:val="0"/>
                <w:color w:val="auto"/>
                <w:kern w:val="0"/>
                <w:sz w:val="21"/>
                <w:szCs w:val="21"/>
                <w:highlight w:val="none"/>
                <w:u w:val="none"/>
                <w:lang w:val="en-US" w:eastAsia="zh-CN" w:bidi="ar"/>
              </w:rPr>
              <w:t>太合理</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6B72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2</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56B1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0"/>
                <w:sz w:val="21"/>
                <w:szCs w:val="21"/>
                <w:highlight w:val="none"/>
                <w:u w:val="none"/>
                <w:lang w:val="en-US" w:eastAsia="zh-CN" w:bidi="ar"/>
              </w:rPr>
              <w:t>1.70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639BB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1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861E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eastAsia" w:ascii="Times New Roman" w:hAnsi="Times New Roman" w:eastAsia="宋体" w:cs="Times New Roman"/>
                <w:i w:val="0"/>
                <w:iCs w:val="0"/>
                <w:color w:val="auto"/>
                <w:kern w:val="2"/>
                <w:sz w:val="21"/>
                <w:szCs w:val="21"/>
                <w:highlight w:val="none"/>
                <w:u w:val="none"/>
                <w:lang w:val="en-US" w:eastAsia="zh-CN" w:bidi="ar-SA"/>
              </w:rPr>
              <w:t>很不合理</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3443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2"/>
                <w:sz w:val="21"/>
                <w:szCs w:val="21"/>
                <w:highlight w:val="none"/>
                <w:u w:val="none"/>
                <w:lang w:val="en-US" w:eastAsia="zh-CN" w:bidi="ar-SA"/>
              </w:rPr>
              <w:t>1</w:t>
            </w:r>
          </w:p>
        </w:tc>
        <w:tc>
          <w:tcPr>
            <w:tcW w:w="1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B502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2"/>
                <w:sz w:val="21"/>
                <w:szCs w:val="21"/>
                <w:highlight w:val="none"/>
                <w:u w:val="none"/>
                <w:lang w:val="en-US" w:eastAsia="zh-CN" w:bidi="ar-SA"/>
              </w:rPr>
            </w:pPr>
            <w:r>
              <w:rPr>
                <w:rFonts w:hint="default" w:ascii="Times New Roman" w:hAnsi="Times New Roman" w:eastAsia="宋体" w:cs="Times New Roman"/>
                <w:i w:val="0"/>
                <w:iCs w:val="0"/>
                <w:color w:val="auto"/>
                <w:kern w:val="0"/>
                <w:sz w:val="21"/>
                <w:szCs w:val="21"/>
                <w:highlight w:val="none"/>
                <w:u w:val="none"/>
                <w:lang w:val="en-US" w:eastAsia="zh-CN" w:bidi="ar"/>
              </w:rPr>
              <w:t>0</w:t>
            </w:r>
            <w:r>
              <w:rPr>
                <w:rFonts w:hint="eastAsia" w:ascii="Times New Roman" w:hAnsi="Times New Roman" w:eastAsia="宋体" w:cs="Times New Roman"/>
                <w:i w:val="0"/>
                <w:iCs w:val="0"/>
                <w:color w:val="auto"/>
                <w:kern w:val="0"/>
                <w:sz w:val="21"/>
                <w:szCs w:val="21"/>
                <w:highlight w:val="none"/>
                <w:u w:val="none"/>
                <w:lang w:val="en-US" w:eastAsia="zh-CN" w:bidi="ar"/>
              </w:rPr>
              <w:t>.90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600DC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31C2D9D0">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您对所在村的足球场/篮球场维护是否满意？</w:t>
            </w:r>
          </w:p>
          <w:tbl>
            <w:tblPr>
              <w:tblStyle w:val="19"/>
              <w:tblW w:w="850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2944"/>
              <w:gridCol w:w="2722"/>
            </w:tblGrid>
            <w:tr w14:paraId="6A28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1DCE78B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2944" w:type="dxa"/>
                  <w:vAlign w:val="center"/>
                </w:tcPr>
                <w:p w14:paraId="0FBCCDF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2722" w:type="dxa"/>
                  <w:vAlign w:val="center"/>
                </w:tcPr>
                <w:p w14:paraId="00D739B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19622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217250D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非常满意</w:t>
                  </w:r>
                </w:p>
              </w:tc>
              <w:tc>
                <w:tcPr>
                  <w:tcW w:w="2944" w:type="dxa"/>
                  <w:vAlign w:val="center"/>
                </w:tcPr>
                <w:p w14:paraId="3CAB57F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80</w:t>
                  </w:r>
                </w:p>
              </w:tc>
              <w:tc>
                <w:tcPr>
                  <w:tcW w:w="2722" w:type="dxa"/>
                  <w:vAlign w:val="center"/>
                </w:tcPr>
                <w:p w14:paraId="73E4BE5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68.40</w:t>
                  </w:r>
                  <w:r>
                    <w:rPr>
                      <w:rFonts w:hint="default" w:ascii="Times New Roman" w:hAnsi="Times New Roman" w:eastAsia="宋体" w:cs="Times New Roman"/>
                      <w:i w:val="0"/>
                      <w:iCs w:val="0"/>
                      <w:color w:val="auto"/>
                      <w:sz w:val="21"/>
                      <w:szCs w:val="21"/>
                      <w:highlight w:val="none"/>
                      <w:u w:val="none"/>
                      <w:lang w:val="en-US" w:eastAsia="zh-CN"/>
                    </w:rPr>
                    <w:t>%</w:t>
                  </w:r>
                </w:p>
              </w:tc>
            </w:tr>
            <w:tr w14:paraId="7412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6179ACB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满意</w:t>
                  </w:r>
                </w:p>
              </w:tc>
              <w:tc>
                <w:tcPr>
                  <w:tcW w:w="2944" w:type="dxa"/>
                  <w:vAlign w:val="center"/>
                </w:tcPr>
                <w:p w14:paraId="6CCA6BD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27</w:t>
                  </w:r>
                </w:p>
              </w:tc>
              <w:tc>
                <w:tcPr>
                  <w:tcW w:w="2722" w:type="dxa"/>
                  <w:vAlign w:val="center"/>
                </w:tcPr>
                <w:p w14:paraId="7B08270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23.10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D10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676188F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一般</w:t>
                  </w:r>
                </w:p>
              </w:tc>
              <w:tc>
                <w:tcPr>
                  <w:tcW w:w="2944" w:type="dxa"/>
                  <w:vAlign w:val="center"/>
                </w:tcPr>
                <w:p w14:paraId="2B4B785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7</w:t>
                  </w:r>
                </w:p>
              </w:tc>
              <w:tc>
                <w:tcPr>
                  <w:tcW w:w="2722" w:type="dxa"/>
                  <w:vAlign w:val="center"/>
                </w:tcPr>
                <w:p w14:paraId="7CE8B50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6.0</w:t>
                  </w:r>
                  <w:r>
                    <w:rPr>
                      <w:rFonts w:hint="default" w:ascii="Times New Roman" w:hAnsi="Times New Roman" w:eastAsia="宋体" w:cs="Times New Roman"/>
                      <w:i w:val="0"/>
                      <w:iCs w:val="0"/>
                      <w:color w:val="auto"/>
                      <w:sz w:val="21"/>
                      <w:szCs w:val="21"/>
                      <w:highlight w:val="none"/>
                      <w:u w:val="none"/>
                      <w:lang w:val="en-US" w:eastAsia="zh-CN"/>
                    </w:rPr>
                    <w:t>0%</w:t>
                  </w:r>
                </w:p>
              </w:tc>
            </w:tr>
            <w:tr w14:paraId="2DA77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661E431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不满意</w:t>
                  </w:r>
                </w:p>
              </w:tc>
              <w:tc>
                <w:tcPr>
                  <w:tcW w:w="2944" w:type="dxa"/>
                  <w:vAlign w:val="center"/>
                </w:tcPr>
                <w:p w14:paraId="0976005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2</w:t>
                  </w:r>
                </w:p>
              </w:tc>
              <w:tc>
                <w:tcPr>
                  <w:tcW w:w="2722" w:type="dxa"/>
                  <w:vAlign w:val="center"/>
                </w:tcPr>
                <w:p w14:paraId="7F5A686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1.7</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64D2F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76D463D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非常不满意</w:t>
                  </w:r>
                </w:p>
              </w:tc>
              <w:tc>
                <w:tcPr>
                  <w:tcW w:w="2944" w:type="dxa"/>
                  <w:vAlign w:val="center"/>
                </w:tcPr>
                <w:p w14:paraId="7C5DF51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sz w:val="21"/>
                      <w:szCs w:val="21"/>
                      <w:highlight w:val="none"/>
                      <w:u w:val="none"/>
                      <w:lang w:val="en-US" w:eastAsia="zh-CN"/>
                    </w:rPr>
                    <w:t>1</w:t>
                  </w:r>
                </w:p>
              </w:tc>
              <w:tc>
                <w:tcPr>
                  <w:tcW w:w="2722" w:type="dxa"/>
                  <w:vAlign w:val="center"/>
                </w:tcPr>
                <w:p w14:paraId="05B1576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bl>
          <w:p w14:paraId="255450B8">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您认为目前足球场/篮球场数量是否能满足村民需求？</w:t>
            </w:r>
          </w:p>
          <w:tbl>
            <w:tblPr>
              <w:tblStyle w:val="19"/>
              <w:tblW w:w="850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2944"/>
              <w:gridCol w:w="2722"/>
            </w:tblGrid>
            <w:tr w14:paraId="4ABF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2CB38F4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2944" w:type="dxa"/>
                  <w:vAlign w:val="center"/>
                </w:tcPr>
                <w:p w14:paraId="353CB04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2722" w:type="dxa"/>
                  <w:vAlign w:val="center"/>
                </w:tcPr>
                <w:p w14:paraId="7200C03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4AD97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7F93F64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非常满足</w:t>
                  </w:r>
                </w:p>
              </w:tc>
              <w:tc>
                <w:tcPr>
                  <w:tcW w:w="2944" w:type="dxa"/>
                  <w:vAlign w:val="center"/>
                </w:tcPr>
                <w:p w14:paraId="075C078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79</w:t>
                  </w:r>
                </w:p>
              </w:tc>
              <w:tc>
                <w:tcPr>
                  <w:tcW w:w="2722" w:type="dxa"/>
                  <w:vAlign w:val="center"/>
                </w:tcPr>
                <w:p w14:paraId="564EDB1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67.50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983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295AA9D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满足</w:t>
                  </w:r>
                </w:p>
              </w:tc>
              <w:tc>
                <w:tcPr>
                  <w:tcW w:w="2944" w:type="dxa"/>
                  <w:vAlign w:val="center"/>
                </w:tcPr>
                <w:p w14:paraId="4CA0D3C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25</w:t>
                  </w:r>
                </w:p>
              </w:tc>
              <w:tc>
                <w:tcPr>
                  <w:tcW w:w="2722" w:type="dxa"/>
                  <w:vAlign w:val="center"/>
                </w:tcPr>
                <w:p w14:paraId="1EA9401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21.40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129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45811F1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一般</w:t>
                  </w:r>
                </w:p>
              </w:tc>
              <w:tc>
                <w:tcPr>
                  <w:tcW w:w="2944" w:type="dxa"/>
                  <w:vAlign w:val="center"/>
                </w:tcPr>
                <w:p w14:paraId="5A456F1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w:t>
                  </w:r>
                </w:p>
              </w:tc>
              <w:tc>
                <w:tcPr>
                  <w:tcW w:w="2722" w:type="dxa"/>
                  <w:vAlign w:val="center"/>
                </w:tcPr>
                <w:p w14:paraId="1564E4F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6.0</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5735D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48F5C6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不</w:t>
                  </w:r>
                  <w:r>
                    <w:rPr>
                      <w:rFonts w:hint="eastAsia" w:ascii="Times New Roman" w:hAnsi="Times New Roman" w:eastAsia="宋体" w:cs="Times New Roman"/>
                      <w:i w:val="0"/>
                      <w:iCs w:val="0"/>
                      <w:color w:val="auto"/>
                      <w:kern w:val="0"/>
                      <w:sz w:val="21"/>
                      <w:szCs w:val="21"/>
                      <w:highlight w:val="none"/>
                      <w:u w:val="none"/>
                      <w:lang w:val="en-US" w:eastAsia="zh-CN" w:bidi="ar"/>
                    </w:rPr>
                    <w:t>满足</w:t>
                  </w:r>
                </w:p>
              </w:tc>
              <w:tc>
                <w:tcPr>
                  <w:tcW w:w="2944" w:type="dxa"/>
                  <w:vAlign w:val="center"/>
                </w:tcPr>
                <w:p w14:paraId="2FA965B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5</w:t>
                  </w:r>
                </w:p>
              </w:tc>
              <w:tc>
                <w:tcPr>
                  <w:tcW w:w="2722" w:type="dxa"/>
                  <w:vAlign w:val="center"/>
                </w:tcPr>
                <w:p w14:paraId="006F569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4.30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33B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4" w:type="dxa"/>
                  <w:vAlign w:val="center"/>
                </w:tcPr>
                <w:p w14:paraId="7D6C43C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非常不满足</w:t>
                  </w:r>
                </w:p>
              </w:tc>
              <w:tc>
                <w:tcPr>
                  <w:tcW w:w="2944" w:type="dxa"/>
                  <w:vAlign w:val="center"/>
                </w:tcPr>
                <w:p w14:paraId="2F32311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2"/>
                      <w:sz w:val="21"/>
                      <w:szCs w:val="21"/>
                      <w:highlight w:val="none"/>
                      <w:u w:val="none"/>
                      <w:lang w:val="en-US" w:eastAsia="zh-CN" w:bidi="ar-SA"/>
                    </w:rPr>
                    <w:t>1</w:t>
                  </w:r>
                </w:p>
              </w:tc>
              <w:tc>
                <w:tcPr>
                  <w:tcW w:w="2722" w:type="dxa"/>
                  <w:vAlign w:val="center"/>
                </w:tcPr>
                <w:p w14:paraId="6D355E6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bl>
          <w:p w14:paraId="534C543C">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您认为全民健身场地对您健康水平方面的提升效果如何？</w:t>
            </w:r>
          </w:p>
          <w:tbl>
            <w:tblPr>
              <w:tblStyle w:val="19"/>
              <w:tblW w:w="847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7"/>
              <w:gridCol w:w="2951"/>
              <w:gridCol w:w="2700"/>
            </w:tblGrid>
            <w:tr w14:paraId="4E64A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025E0D1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2951" w:type="dxa"/>
                  <w:vAlign w:val="center"/>
                </w:tcPr>
                <w:p w14:paraId="5CC91AC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2700" w:type="dxa"/>
                  <w:vAlign w:val="center"/>
                </w:tcPr>
                <w:p w14:paraId="3CEDCCF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5FF3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078A9D7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显著</w:t>
                  </w:r>
                </w:p>
              </w:tc>
              <w:tc>
                <w:tcPr>
                  <w:tcW w:w="2951" w:type="dxa"/>
                  <w:vAlign w:val="center"/>
                </w:tcPr>
                <w:p w14:paraId="6FC872F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75</w:t>
                  </w:r>
                </w:p>
              </w:tc>
              <w:tc>
                <w:tcPr>
                  <w:tcW w:w="2700" w:type="dxa"/>
                  <w:vAlign w:val="center"/>
                </w:tcPr>
                <w:p w14:paraId="7A4B951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64.10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08A7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5EBF369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较好</w:t>
                  </w:r>
                </w:p>
              </w:tc>
              <w:tc>
                <w:tcPr>
                  <w:tcW w:w="2951" w:type="dxa"/>
                  <w:vAlign w:val="center"/>
                </w:tcPr>
                <w:p w14:paraId="7AC5A6C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33</w:t>
                  </w:r>
                </w:p>
              </w:tc>
              <w:tc>
                <w:tcPr>
                  <w:tcW w:w="2700" w:type="dxa"/>
                  <w:vAlign w:val="center"/>
                </w:tcPr>
                <w:p w14:paraId="3B255A8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28.20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729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79832F7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一般</w:t>
                  </w:r>
                </w:p>
              </w:tc>
              <w:tc>
                <w:tcPr>
                  <w:tcW w:w="2951" w:type="dxa"/>
                  <w:vAlign w:val="center"/>
                </w:tcPr>
                <w:p w14:paraId="1A08D06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9</w:t>
                  </w:r>
                </w:p>
              </w:tc>
              <w:tc>
                <w:tcPr>
                  <w:tcW w:w="2700" w:type="dxa"/>
                  <w:vAlign w:val="center"/>
                </w:tcPr>
                <w:p w14:paraId="4E8637A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7.7</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3959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7504617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较差</w:t>
                  </w:r>
                </w:p>
              </w:tc>
              <w:tc>
                <w:tcPr>
                  <w:tcW w:w="2951" w:type="dxa"/>
                  <w:vAlign w:val="center"/>
                </w:tcPr>
                <w:p w14:paraId="4FFAD86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w:t>
                  </w:r>
                </w:p>
              </w:tc>
              <w:tc>
                <w:tcPr>
                  <w:tcW w:w="2700" w:type="dxa"/>
                  <w:vAlign w:val="center"/>
                </w:tcPr>
                <w:p w14:paraId="03645AB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377B8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7" w:type="dxa"/>
                  <w:vAlign w:val="center"/>
                </w:tcPr>
                <w:p w14:paraId="34BB2F2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无</w:t>
                  </w:r>
                </w:p>
              </w:tc>
              <w:tc>
                <w:tcPr>
                  <w:tcW w:w="2951" w:type="dxa"/>
                  <w:vAlign w:val="center"/>
                </w:tcPr>
                <w:p w14:paraId="3ED8545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0</w:t>
                  </w:r>
                </w:p>
              </w:tc>
              <w:tc>
                <w:tcPr>
                  <w:tcW w:w="2700" w:type="dxa"/>
                  <w:vAlign w:val="center"/>
                </w:tcPr>
                <w:p w14:paraId="2EEE286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0.0</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bl>
          <w:p w14:paraId="5A250424">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您认为全民健身场地设施建设项目是否有助于提升群众参与足球、篮球锻炼积极性？</w:t>
            </w:r>
          </w:p>
          <w:tbl>
            <w:tblPr>
              <w:tblStyle w:val="19"/>
              <w:tblW w:w="8456"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gridCol w:w="2936"/>
              <w:gridCol w:w="2700"/>
            </w:tblGrid>
            <w:tr w14:paraId="599E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14F1FAA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2936" w:type="dxa"/>
                  <w:vAlign w:val="center"/>
                </w:tcPr>
                <w:p w14:paraId="3983081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2700" w:type="dxa"/>
                  <w:vAlign w:val="center"/>
                </w:tcPr>
                <w:p w14:paraId="1751204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05B7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04DE28C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显著</w:t>
                  </w:r>
                </w:p>
              </w:tc>
              <w:tc>
                <w:tcPr>
                  <w:tcW w:w="2936" w:type="dxa"/>
                  <w:vAlign w:val="center"/>
                </w:tcPr>
                <w:p w14:paraId="237F070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72</w:t>
                  </w:r>
                </w:p>
              </w:tc>
              <w:tc>
                <w:tcPr>
                  <w:tcW w:w="2700" w:type="dxa"/>
                  <w:vAlign w:val="center"/>
                </w:tcPr>
                <w:p w14:paraId="0294FD6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61.50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76338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1D18B0C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较好</w:t>
                  </w:r>
                </w:p>
              </w:tc>
              <w:tc>
                <w:tcPr>
                  <w:tcW w:w="2936" w:type="dxa"/>
                  <w:vAlign w:val="center"/>
                </w:tcPr>
                <w:p w14:paraId="239CC2A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40</w:t>
                  </w:r>
                </w:p>
              </w:tc>
              <w:tc>
                <w:tcPr>
                  <w:tcW w:w="2700" w:type="dxa"/>
                  <w:vAlign w:val="center"/>
                </w:tcPr>
                <w:p w14:paraId="2623723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34.20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66D2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1E8D19B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一般</w:t>
                  </w:r>
                </w:p>
              </w:tc>
              <w:tc>
                <w:tcPr>
                  <w:tcW w:w="2936" w:type="dxa"/>
                  <w:vAlign w:val="center"/>
                </w:tcPr>
                <w:p w14:paraId="73CF54D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3</w:t>
                  </w:r>
                </w:p>
              </w:tc>
              <w:tc>
                <w:tcPr>
                  <w:tcW w:w="2700" w:type="dxa"/>
                  <w:vAlign w:val="center"/>
                </w:tcPr>
                <w:p w14:paraId="208EA90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2.6</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14:paraId="1621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6ABFA13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较差</w:t>
                  </w:r>
                </w:p>
              </w:tc>
              <w:tc>
                <w:tcPr>
                  <w:tcW w:w="2936" w:type="dxa"/>
                  <w:vAlign w:val="center"/>
                </w:tcPr>
                <w:p w14:paraId="1EBFE37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2700" w:type="dxa"/>
                  <w:vAlign w:val="center"/>
                </w:tcPr>
                <w:p w14:paraId="51D714C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4F32C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736F379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无</w:t>
                  </w:r>
                </w:p>
              </w:tc>
              <w:tc>
                <w:tcPr>
                  <w:tcW w:w="2936" w:type="dxa"/>
                  <w:vAlign w:val="center"/>
                </w:tcPr>
                <w:p w14:paraId="0C213EF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2"/>
                      <w:sz w:val="21"/>
                      <w:szCs w:val="21"/>
                      <w:highlight w:val="none"/>
                      <w:u w:val="none"/>
                      <w:lang w:val="en-US" w:eastAsia="zh-CN" w:bidi="ar-SA"/>
                    </w:rPr>
                    <w:t>1</w:t>
                  </w:r>
                </w:p>
              </w:tc>
              <w:tc>
                <w:tcPr>
                  <w:tcW w:w="2700" w:type="dxa"/>
                  <w:vAlign w:val="center"/>
                </w:tcPr>
                <w:p w14:paraId="0753CB6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bl>
          <w:p w14:paraId="1337AB1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kern w:val="0"/>
                <w:sz w:val="21"/>
                <w:szCs w:val="21"/>
                <w:highlight w:val="none"/>
                <w:u w:val="no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（11）您对村里足球场/篮球场建设项目的整体满意度是？</w:t>
            </w:r>
          </w:p>
          <w:tbl>
            <w:tblPr>
              <w:tblStyle w:val="19"/>
              <w:tblW w:w="8445"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gridCol w:w="2936"/>
              <w:gridCol w:w="2689"/>
            </w:tblGrid>
            <w:tr w14:paraId="2DEFA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643F116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选项</w:t>
                  </w:r>
                </w:p>
              </w:tc>
              <w:tc>
                <w:tcPr>
                  <w:tcW w:w="2936" w:type="dxa"/>
                  <w:vAlign w:val="center"/>
                </w:tcPr>
                <w:p w14:paraId="4B24D0D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反馈数量</w:t>
                  </w:r>
                </w:p>
              </w:tc>
              <w:tc>
                <w:tcPr>
                  <w:tcW w:w="2689" w:type="dxa"/>
                  <w:vAlign w:val="center"/>
                </w:tcPr>
                <w:p w14:paraId="50F2D1C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b/>
                      <w:bCs/>
                      <w:i w:val="0"/>
                      <w:iCs w:val="0"/>
                      <w:color w:val="auto"/>
                      <w:kern w:val="0"/>
                      <w:sz w:val="21"/>
                      <w:szCs w:val="21"/>
                      <w:highlight w:val="none"/>
                      <w:u w:val="none"/>
                      <w:lang w:val="en-US" w:eastAsia="zh-CN" w:bidi="ar"/>
                    </w:rPr>
                    <w:t>占比</w:t>
                  </w:r>
                </w:p>
              </w:tc>
            </w:tr>
            <w:tr w14:paraId="0BA69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4F5BAA4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非常满意</w:t>
                  </w:r>
                </w:p>
              </w:tc>
              <w:tc>
                <w:tcPr>
                  <w:tcW w:w="2936" w:type="dxa"/>
                  <w:vAlign w:val="center"/>
                </w:tcPr>
                <w:p w14:paraId="75DA149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79</w:t>
                  </w:r>
                </w:p>
              </w:tc>
              <w:tc>
                <w:tcPr>
                  <w:tcW w:w="2689" w:type="dxa"/>
                  <w:vAlign w:val="center"/>
                </w:tcPr>
                <w:p w14:paraId="45BCC97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67.50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11E1A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6D17D3A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满意</w:t>
                  </w:r>
                </w:p>
              </w:tc>
              <w:tc>
                <w:tcPr>
                  <w:tcW w:w="2936" w:type="dxa"/>
                  <w:vAlign w:val="center"/>
                </w:tcPr>
                <w:p w14:paraId="4930188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27</w:t>
                  </w:r>
                </w:p>
              </w:tc>
              <w:tc>
                <w:tcPr>
                  <w:tcW w:w="2689" w:type="dxa"/>
                  <w:vAlign w:val="center"/>
                </w:tcPr>
                <w:p w14:paraId="28A06D4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23.10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690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47CC0A8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一般</w:t>
                  </w:r>
                </w:p>
              </w:tc>
              <w:tc>
                <w:tcPr>
                  <w:tcW w:w="2936" w:type="dxa"/>
                  <w:vAlign w:val="center"/>
                </w:tcPr>
                <w:p w14:paraId="6728DDF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7</w:t>
                  </w:r>
                </w:p>
              </w:tc>
              <w:tc>
                <w:tcPr>
                  <w:tcW w:w="2689" w:type="dxa"/>
                  <w:vAlign w:val="center"/>
                </w:tcPr>
                <w:p w14:paraId="40BDF53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6.00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25D59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616898D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default" w:ascii="Times New Roman" w:hAnsi="Times New Roman" w:eastAsia="宋体" w:cs="Times New Roman"/>
                      <w:i w:val="0"/>
                      <w:iCs w:val="0"/>
                      <w:color w:val="auto"/>
                      <w:kern w:val="0"/>
                      <w:sz w:val="21"/>
                      <w:szCs w:val="21"/>
                      <w:highlight w:val="none"/>
                      <w:u w:val="none"/>
                      <w:lang w:val="en-US" w:eastAsia="zh-CN" w:bidi="ar"/>
                    </w:rPr>
                    <w:t>不</w:t>
                  </w:r>
                  <w:r>
                    <w:rPr>
                      <w:rFonts w:hint="eastAsia" w:ascii="Times New Roman" w:hAnsi="Times New Roman" w:eastAsia="宋体" w:cs="Times New Roman"/>
                      <w:i w:val="0"/>
                      <w:iCs w:val="0"/>
                      <w:color w:val="auto"/>
                      <w:kern w:val="0"/>
                      <w:sz w:val="21"/>
                      <w:szCs w:val="21"/>
                      <w:highlight w:val="none"/>
                      <w:u w:val="none"/>
                      <w:lang w:val="en-US" w:eastAsia="zh-CN" w:bidi="ar"/>
                    </w:rPr>
                    <w:t>满意</w:t>
                  </w:r>
                </w:p>
              </w:tc>
              <w:tc>
                <w:tcPr>
                  <w:tcW w:w="2936" w:type="dxa"/>
                  <w:vAlign w:val="center"/>
                </w:tcPr>
                <w:p w14:paraId="5D5F4EE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1</w:t>
                  </w:r>
                </w:p>
              </w:tc>
              <w:tc>
                <w:tcPr>
                  <w:tcW w:w="2689" w:type="dxa"/>
                  <w:vAlign w:val="center"/>
                </w:tcPr>
                <w:p w14:paraId="6D2D286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0.90</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14:paraId="5EA7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5CBC89B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vertAlign w:val="baseline"/>
                      <w:lang w:val="en-US" w:eastAsia="zh-CN" w:bidi="ar"/>
                    </w:rPr>
                    <w:t>非常不满意</w:t>
                  </w:r>
                </w:p>
              </w:tc>
              <w:tc>
                <w:tcPr>
                  <w:tcW w:w="2936" w:type="dxa"/>
                  <w:vAlign w:val="center"/>
                </w:tcPr>
                <w:p w14:paraId="7451F03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2"/>
                      <w:sz w:val="21"/>
                      <w:szCs w:val="21"/>
                      <w:highlight w:val="none"/>
                      <w:u w:val="none"/>
                      <w:lang w:val="en-US" w:eastAsia="zh-CN" w:bidi="ar-SA"/>
                    </w:rPr>
                    <w:t>3</w:t>
                  </w:r>
                </w:p>
              </w:tc>
              <w:tc>
                <w:tcPr>
                  <w:tcW w:w="2689" w:type="dxa"/>
                  <w:vAlign w:val="center"/>
                </w:tcPr>
                <w:p w14:paraId="37B9E43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default" w:ascii="Times New Roman" w:hAnsi="Times New Roman" w:eastAsia="宋体" w:cs="Times New Roman"/>
                      <w:i w:val="0"/>
                      <w:iCs w:val="0"/>
                      <w:color w:val="auto"/>
                      <w:kern w:val="0"/>
                      <w:sz w:val="21"/>
                      <w:szCs w:val="21"/>
                      <w:highlight w:val="none"/>
                      <w:u w:val="none"/>
                      <w:vertAlign w:val="baseline"/>
                      <w:lang w:val="en-US" w:eastAsia="zh-CN" w:bidi="ar"/>
                    </w:rPr>
                  </w:pPr>
                  <w:r>
                    <w:rPr>
                      <w:rFonts w:hint="eastAsia" w:ascii="Times New Roman" w:hAnsi="Times New Roman" w:eastAsia="宋体" w:cs="Times New Roman"/>
                      <w:i w:val="0"/>
                      <w:iCs w:val="0"/>
                      <w:color w:val="auto"/>
                      <w:kern w:val="0"/>
                      <w:sz w:val="21"/>
                      <w:szCs w:val="21"/>
                      <w:highlight w:val="none"/>
                      <w:u w:val="none"/>
                      <w:lang w:val="en-US" w:eastAsia="zh-CN" w:bidi="ar"/>
                    </w:rPr>
                    <w:t>2.6</w:t>
                  </w:r>
                  <w:r>
                    <w:rPr>
                      <w:rFonts w:hint="default" w:ascii="Times New Roman" w:hAnsi="Times New Roman" w:eastAsia="宋体" w:cs="Times New Roman"/>
                      <w:i w:val="0"/>
                      <w:iCs w:val="0"/>
                      <w:color w:val="auto"/>
                      <w:kern w:val="0"/>
                      <w:sz w:val="21"/>
                      <w:szCs w:val="21"/>
                      <w:highlight w:val="none"/>
                      <w:u w:val="none"/>
                      <w:lang w:val="en-US" w:eastAsia="zh-CN" w:bidi="ar"/>
                    </w:rPr>
                    <w:t>0%</w:t>
                  </w:r>
                </w:p>
              </w:tc>
            </w:tr>
          </w:tbl>
          <w:p w14:paraId="33CD5AD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ascii="Times New Roman" w:hAnsi="Times New Roman" w:eastAsia="宋体" w:cs="Times New Roman"/>
                <w:i w:val="0"/>
                <w:iCs w:val="0"/>
                <w:color w:val="auto"/>
                <w:kern w:val="0"/>
                <w:sz w:val="21"/>
                <w:szCs w:val="21"/>
                <w:highlight w:val="none"/>
                <w:u w:val="none"/>
                <w:lang w:val="en-US" w:eastAsia="zh-CN" w:bidi="ar"/>
              </w:rPr>
              <w:t>12</w:t>
            </w:r>
            <w:r>
              <w:rPr>
                <w:rFonts w:hint="default" w:ascii="Times New Roman" w:hAnsi="Times New Roman" w:eastAsia="宋体" w:cs="Times New Roman"/>
                <w:i w:val="0"/>
                <w:iCs w:val="0"/>
                <w:color w:val="auto"/>
                <w:kern w:val="0"/>
                <w:sz w:val="21"/>
                <w:szCs w:val="21"/>
                <w:highlight w:val="none"/>
                <w:u w:val="none"/>
                <w:lang w:val="en-US" w:eastAsia="zh-CN" w:bidi="ar"/>
              </w:rPr>
              <w:t>）关于村里足球场/篮球场的建设和管理，您还有其他意见或建议吗</w:t>
            </w:r>
            <w:r>
              <w:rPr>
                <w:rFonts w:hint="eastAsia" w:ascii="Times New Roman" w:hAnsi="Times New Roman" w:eastAsia="宋体" w:cs="Times New Roman"/>
                <w:i w:val="0"/>
                <w:iCs w:val="0"/>
                <w:color w:val="auto"/>
                <w:kern w:val="0"/>
                <w:sz w:val="21"/>
                <w:szCs w:val="21"/>
                <w:highlight w:val="none"/>
                <w:u w:val="none"/>
                <w:lang w:val="en-US" w:eastAsia="zh-CN" w:bidi="ar"/>
              </w:rPr>
              <w:t>？</w:t>
            </w:r>
          </w:p>
        </w:tc>
      </w:tr>
      <w:tr w14:paraId="40697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000" w:type="pct"/>
            <w:gridSpan w:val="3"/>
            <w:tcBorders>
              <w:top w:val="nil"/>
              <w:left w:val="nil"/>
              <w:bottom w:val="nil"/>
              <w:right w:val="nil"/>
            </w:tcBorders>
            <w:shd w:val="clear" w:color="auto" w:fill="auto"/>
            <w:vAlign w:val="center"/>
          </w:tcPr>
          <w:p w14:paraId="0E9CD07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00"/>
              <w:jc w:val="left"/>
              <w:textAlignment w:val="center"/>
              <w:rPr>
                <w:rFonts w:hint="eastAsia" w:ascii="Times New Roman" w:hAnsi="Times New Roman" w:eastAsia="宋体" w:cs="Times New Roman"/>
                <w:i w:val="0"/>
                <w:iCs w:val="0"/>
                <w:color w:val="auto"/>
                <w:sz w:val="21"/>
                <w:szCs w:val="21"/>
                <w:highlight w:val="none"/>
                <w:u w:val="none"/>
              </w:rPr>
            </w:pPr>
            <w:r>
              <w:rPr>
                <w:rFonts w:hint="eastAsia" w:ascii="Times New Roman" w:hAnsi="Times New Roman" w:eastAsia="宋体" w:cs="Times New Roman"/>
                <w:i w:val="0"/>
                <w:iCs w:val="0"/>
                <w:color w:val="auto"/>
                <w:kern w:val="0"/>
                <w:sz w:val="21"/>
                <w:szCs w:val="21"/>
                <w:highlight w:val="none"/>
                <w:u w:val="none"/>
                <w:lang w:val="en-US" w:eastAsia="zh-CN" w:bidi="ar"/>
              </w:rPr>
              <w:t>无。</w:t>
            </w:r>
          </w:p>
        </w:tc>
      </w:tr>
    </w:tbl>
    <w:p w14:paraId="2D401A58">
      <w:pPr>
        <w:pageBreakBefore w:val="0"/>
        <w:kinsoku/>
        <w:wordWrap/>
        <w:overflowPunct/>
        <w:topLinePunct w:val="0"/>
        <w:autoSpaceDE/>
        <w:autoSpaceDN/>
        <w:bidi w:val="0"/>
        <w:snapToGrid w:val="0"/>
        <w:spacing w:before="0" w:after="0" w:line="360" w:lineRule="auto"/>
        <w:ind w:left="420" w:leftChars="200" w:firstLine="0" w:firstLineChars="0"/>
        <w:jc w:val="left"/>
        <w:rPr>
          <w:rFonts w:ascii="Times New Roman" w:hAnsi="Times New Roman" w:eastAsia="宋体" w:cs="Times New Roman"/>
          <w:color w:val="auto"/>
          <w:highlight w:val="none"/>
        </w:rPr>
      </w:pPr>
      <w:r>
        <w:rPr>
          <w:rFonts w:ascii="Times New Roman" w:hAnsi="Times New Roman" w:eastAsia="宋体" w:cs="Times New Roman"/>
          <w:color w:val="auto"/>
          <w:highlight w:val="none"/>
        </w:rPr>
        <w:br w:type="page"/>
      </w:r>
    </w:p>
    <w:p w14:paraId="70C97806">
      <w:pPr>
        <w:pStyle w:val="4"/>
        <w:pageBreakBefore w:val="0"/>
        <w:kinsoku/>
        <w:wordWrap/>
        <w:overflowPunct/>
        <w:topLinePunct w:val="0"/>
        <w:autoSpaceDE/>
        <w:autoSpaceDN/>
        <w:bidi w:val="0"/>
        <w:snapToGrid w:val="0"/>
        <w:spacing w:before="0" w:after="0" w:line="360" w:lineRule="auto"/>
        <w:ind w:firstLine="0" w:firstLineChars="0"/>
        <w:rPr>
          <w:color w:val="auto"/>
          <w:highlight w:val="none"/>
        </w:rPr>
      </w:pPr>
      <w:bookmarkStart w:id="150" w:name="_Toc32397"/>
      <w:bookmarkStart w:id="151" w:name="_Toc30197"/>
      <w:bookmarkStart w:id="152" w:name="_Toc17928"/>
      <w:bookmarkStart w:id="153" w:name="_Toc23223"/>
      <w:bookmarkStart w:id="154" w:name="_Toc29675"/>
      <w:r>
        <w:rPr>
          <w:color w:val="auto"/>
          <w:highlight w:val="none"/>
        </w:rPr>
        <w:t>附件4：现场勘查照片</w:t>
      </w:r>
      <w:bookmarkEnd w:id="150"/>
      <w:bookmarkEnd w:id="151"/>
      <w:bookmarkEnd w:id="152"/>
      <w:bookmarkEnd w:id="153"/>
      <w:bookmarkEnd w:id="154"/>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C2ED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679899F">
            <w:pPr>
              <w:ind w:firstLine="0" w:firstLineChars="0"/>
              <w:jc w:val="center"/>
              <w:rPr>
                <w:rFonts w:hint="default" w:ascii="Times New Roman" w:hAnsi="Times New Roman" w:cs="Times New Roman" w:eastAsiaTheme="minorEastAsia"/>
                <w:color w:val="auto"/>
                <w:highlight w:val="none"/>
                <w:vertAlign w:val="baseline"/>
                <w:lang w:val="en-US" w:eastAsia="zh-CN"/>
              </w:rPr>
            </w:pPr>
            <w:r>
              <w:rPr>
                <w:rFonts w:hint="eastAsia" w:cs="Times New Roman"/>
                <w:b/>
                <w:bCs/>
                <w:color w:val="auto"/>
                <w:highlight w:val="none"/>
                <w:vertAlign w:val="baseline"/>
                <w:lang w:val="en-US" w:eastAsia="zh-CN"/>
              </w:rPr>
              <w:t>图1-</w:t>
            </w:r>
            <w:r>
              <w:rPr>
                <w:rFonts w:hint="default" w:ascii="Times New Roman" w:hAnsi="Times New Roman" w:cs="Times New Roman"/>
                <w:b/>
                <w:bCs/>
                <w:color w:val="auto"/>
                <w:highlight w:val="none"/>
                <w:vertAlign w:val="baseline"/>
                <w:lang w:val="en-US" w:eastAsia="zh-CN"/>
              </w:rPr>
              <w:t>伊宁县吉里于孜镇上肉孜买提于孜村委会建设五人制笼式足球场</w:t>
            </w:r>
          </w:p>
        </w:tc>
      </w:tr>
      <w:tr w14:paraId="05C2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1" w:hRule="atLeast"/>
        </w:trPr>
        <w:tc>
          <w:tcPr>
            <w:tcW w:w="8522" w:type="dxa"/>
          </w:tcPr>
          <w:p w14:paraId="49726D45">
            <w:pPr>
              <w:ind w:left="0" w:leftChars="0" w:firstLine="0" w:firstLineChars="0"/>
              <w:rPr>
                <w:rFonts w:hint="default" w:eastAsiaTheme="minorEastAsia"/>
                <w:color w:val="auto"/>
                <w:highlight w:val="none"/>
                <w:vertAlign w:val="baseline"/>
                <w:lang w:eastAsia="zh-CN"/>
              </w:rPr>
            </w:pPr>
            <w:r>
              <w:rPr>
                <w:rFonts w:hint="default" w:eastAsiaTheme="minorEastAsia"/>
                <w:color w:val="auto"/>
                <w:highlight w:val="none"/>
                <w:vertAlign w:val="baseline"/>
                <w:lang w:eastAsia="zh-CN"/>
              </w:rPr>
              <w:drawing>
                <wp:anchor distT="0" distB="0" distL="114300" distR="114300" simplePos="0" relativeHeight="251660288" behindDoc="0" locked="0" layoutInCell="1" allowOverlap="1">
                  <wp:simplePos x="0" y="0"/>
                  <wp:positionH relativeFrom="column">
                    <wp:posOffset>0</wp:posOffset>
                  </wp:positionH>
                  <wp:positionV relativeFrom="paragraph">
                    <wp:posOffset>-3662680</wp:posOffset>
                  </wp:positionV>
                  <wp:extent cx="5273040" cy="2883535"/>
                  <wp:effectExtent l="0" t="0" r="10160" b="12065"/>
                  <wp:wrapSquare wrapText="bothSides"/>
                  <wp:docPr id="4" name="图片 4" descr="b4b719efb7e2a320386b79ab8bec6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4b719efb7e2a320386b79ab8bec62a"/>
                          <pic:cNvPicPr>
                            <a:picLocks noChangeAspect="1"/>
                          </pic:cNvPicPr>
                        </pic:nvPicPr>
                        <pic:blipFill>
                          <a:blip r:embed="rId18"/>
                          <a:stretch>
                            <a:fillRect/>
                          </a:stretch>
                        </pic:blipFill>
                        <pic:spPr>
                          <a:xfrm>
                            <a:off x="0" y="0"/>
                            <a:ext cx="5273040" cy="2883535"/>
                          </a:xfrm>
                          <a:prstGeom prst="rect">
                            <a:avLst/>
                          </a:prstGeom>
                        </pic:spPr>
                      </pic:pic>
                    </a:graphicData>
                  </a:graphic>
                </wp:anchor>
              </w:drawing>
            </w:r>
          </w:p>
        </w:tc>
      </w:tr>
      <w:tr w14:paraId="19AE6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1E4D194F">
            <w:pPr>
              <w:ind w:firstLine="0" w:firstLineChars="0"/>
              <w:jc w:val="center"/>
              <w:rPr>
                <w:rFonts w:hint="default" w:eastAsiaTheme="minorEastAsia"/>
                <w:color w:val="auto"/>
                <w:highlight w:val="none"/>
                <w:vertAlign w:val="baseline"/>
                <w:lang w:val="en-US" w:eastAsia="zh-CN"/>
              </w:rPr>
            </w:pPr>
            <w:r>
              <w:rPr>
                <w:rFonts w:hint="default" w:ascii="Times New Roman" w:hAnsi="Times New Roman" w:cs="Times New Roman"/>
                <w:b/>
                <w:bCs/>
                <w:color w:val="auto"/>
                <w:highlight w:val="none"/>
                <w:vertAlign w:val="baseline"/>
                <w:lang w:val="en-US" w:eastAsia="zh-CN"/>
              </w:rPr>
              <w:t>图2</w:t>
            </w:r>
            <w:r>
              <w:rPr>
                <w:rFonts w:hint="eastAsia" w:cs="Times New Roman"/>
                <w:b/>
                <w:bCs/>
                <w:color w:val="auto"/>
                <w:highlight w:val="none"/>
                <w:vertAlign w:val="baseline"/>
                <w:lang w:val="en-US" w:eastAsia="zh-CN"/>
              </w:rPr>
              <w:t>-</w:t>
            </w:r>
            <w:r>
              <w:rPr>
                <w:rFonts w:hint="default" w:ascii="Times New Roman" w:hAnsi="Times New Roman" w:cs="Times New Roman"/>
                <w:b/>
                <w:bCs/>
                <w:color w:val="auto"/>
                <w:highlight w:val="none"/>
                <w:vertAlign w:val="baseline"/>
                <w:lang w:val="en-US" w:eastAsia="zh-CN"/>
              </w:rPr>
              <w:t>伊宁县阿热吾斯塘镇托万克村委会建设标准篮球场</w:t>
            </w:r>
          </w:p>
        </w:tc>
      </w:tr>
      <w:tr w14:paraId="032AB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2680DEF">
            <w:pPr>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anchor distT="0" distB="0" distL="114300" distR="114300" simplePos="0" relativeHeight="251661312" behindDoc="0" locked="0" layoutInCell="1" allowOverlap="1">
                  <wp:simplePos x="0" y="0"/>
                  <wp:positionH relativeFrom="column">
                    <wp:posOffset>266700</wp:posOffset>
                  </wp:positionH>
                  <wp:positionV relativeFrom="paragraph">
                    <wp:posOffset>-3662680</wp:posOffset>
                  </wp:positionV>
                  <wp:extent cx="5273040" cy="2961005"/>
                  <wp:effectExtent l="0" t="0" r="10160" b="10795"/>
                  <wp:wrapSquare wrapText="bothSides"/>
                  <wp:docPr id="5" name="图片 5" descr="33984b1e66a70cb614a516c4cfe8a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3984b1e66a70cb614a516c4cfe8af5"/>
                          <pic:cNvPicPr>
                            <a:picLocks noChangeAspect="1"/>
                          </pic:cNvPicPr>
                        </pic:nvPicPr>
                        <pic:blipFill>
                          <a:blip r:embed="rId19"/>
                          <a:stretch>
                            <a:fillRect/>
                          </a:stretch>
                        </pic:blipFill>
                        <pic:spPr>
                          <a:xfrm>
                            <a:off x="0" y="0"/>
                            <a:ext cx="5273040" cy="2961005"/>
                          </a:xfrm>
                          <a:prstGeom prst="rect">
                            <a:avLst/>
                          </a:prstGeom>
                        </pic:spPr>
                      </pic:pic>
                    </a:graphicData>
                  </a:graphic>
                </wp:anchor>
              </w:drawing>
            </w:r>
          </w:p>
        </w:tc>
      </w:tr>
      <w:tr w14:paraId="5315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1212432">
            <w:pPr>
              <w:ind w:firstLine="0" w:firstLineChars="0"/>
              <w:jc w:val="center"/>
              <w:rPr>
                <w:rFonts w:hint="eastAsia" w:eastAsiaTheme="minorEastAsia"/>
                <w:color w:val="auto"/>
                <w:highlight w:val="none"/>
                <w:vertAlign w:val="baseline"/>
                <w:lang w:eastAsia="zh-CN"/>
              </w:rPr>
            </w:pPr>
            <w:r>
              <w:rPr>
                <w:rFonts w:hint="eastAsia" w:cs="Times New Roman"/>
                <w:b/>
                <w:bCs/>
                <w:color w:val="auto"/>
                <w:highlight w:val="none"/>
                <w:vertAlign w:val="baseline"/>
                <w:lang w:val="en-US" w:eastAsia="zh-CN"/>
              </w:rPr>
              <w:t>图3-</w:t>
            </w:r>
            <w:r>
              <w:rPr>
                <w:rFonts w:hint="default" w:ascii="Times New Roman" w:hAnsi="Times New Roman" w:cs="Times New Roman"/>
                <w:b/>
                <w:bCs/>
                <w:color w:val="auto"/>
                <w:highlight w:val="none"/>
                <w:vertAlign w:val="baseline"/>
                <w:lang w:val="en-US" w:eastAsia="zh-CN"/>
              </w:rPr>
              <w:t>伊宁县吉里于孜镇上肉孜买提于孜村委会建设标准篮球场</w:t>
            </w:r>
          </w:p>
        </w:tc>
      </w:tr>
      <w:tr w14:paraId="11BF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424B7FDA">
            <w:pPr>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anchor distT="0" distB="0" distL="114300" distR="114300" simplePos="0" relativeHeight="251662336" behindDoc="0" locked="0" layoutInCell="1" allowOverlap="1">
                  <wp:simplePos x="0" y="0"/>
                  <wp:positionH relativeFrom="column">
                    <wp:posOffset>266700</wp:posOffset>
                  </wp:positionH>
                  <wp:positionV relativeFrom="paragraph">
                    <wp:posOffset>-3662680</wp:posOffset>
                  </wp:positionV>
                  <wp:extent cx="5273040" cy="3954780"/>
                  <wp:effectExtent l="0" t="0" r="10160" b="7620"/>
                  <wp:wrapSquare wrapText="bothSides"/>
                  <wp:docPr id="6" name="图片 6" descr="fba2a32a935b27417929252ca57ce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ba2a32a935b27417929252ca57ce9d"/>
                          <pic:cNvPicPr>
                            <a:picLocks noChangeAspect="1"/>
                          </pic:cNvPicPr>
                        </pic:nvPicPr>
                        <pic:blipFill>
                          <a:blip r:embed="rId20"/>
                          <a:stretch>
                            <a:fillRect/>
                          </a:stretch>
                        </pic:blipFill>
                        <pic:spPr>
                          <a:xfrm>
                            <a:off x="0" y="0"/>
                            <a:ext cx="5273040" cy="3954780"/>
                          </a:xfrm>
                          <a:prstGeom prst="rect">
                            <a:avLst/>
                          </a:prstGeom>
                        </pic:spPr>
                      </pic:pic>
                    </a:graphicData>
                  </a:graphic>
                </wp:anchor>
              </w:drawing>
            </w:r>
          </w:p>
        </w:tc>
      </w:tr>
    </w:tbl>
    <w:p w14:paraId="77DDD63C">
      <w:pPr>
        <w:pageBreakBefore w:val="0"/>
        <w:kinsoku/>
        <w:wordWrap/>
        <w:overflowPunct/>
        <w:topLinePunct w:val="0"/>
        <w:autoSpaceDE/>
        <w:autoSpaceDN/>
        <w:bidi w:val="0"/>
        <w:snapToGrid w:val="0"/>
        <w:spacing w:before="0" w:after="0" w:line="360" w:lineRule="auto"/>
        <w:ind w:firstLine="0" w:firstLineChars="0"/>
        <w:rPr>
          <w:color w:val="auto"/>
          <w:highlight w:val="none"/>
        </w:rPr>
      </w:pPr>
      <w:r>
        <w:rPr>
          <w:color w:val="auto"/>
          <w:highlight w:val="none"/>
        </w:rPr>
        <w:br w:type="page"/>
      </w:r>
    </w:p>
    <w:p w14:paraId="11347F20">
      <w:pPr>
        <w:pStyle w:val="4"/>
        <w:pageBreakBefore w:val="0"/>
        <w:kinsoku/>
        <w:wordWrap/>
        <w:overflowPunct/>
        <w:topLinePunct w:val="0"/>
        <w:autoSpaceDE/>
        <w:autoSpaceDN/>
        <w:bidi w:val="0"/>
        <w:snapToGrid w:val="0"/>
        <w:spacing w:before="0" w:after="0" w:line="360" w:lineRule="auto"/>
        <w:ind w:firstLine="0" w:firstLineChars="0"/>
        <w:rPr>
          <w:color w:val="auto"/>
          <w:highlight w:val="none"/>
        </w:rPr>
      </w:pPr>
      <w:bookmarkStart w:id="155" w:name="_Toc12827"/>
      <w:bookmarkStart w:id="156" w:name="_Toc30130"/>
      <w:bookmarkStart w:id="157" w:name="_Toc13513"/>
      <w:r>
        <w:rPr>
          <w:color w:val="auto"/>
          <w:highlight w:val="none"/>
        </w:rPr>
        <w:t>附件5：</w:t>
      </w:r>
      <w:bookmarkEnd w:id="155"/>
      <w:r>
        <w:rPr>
          <w:color w:val="auto"/>
          <w:highlight w:val="none"/>
        </w:rPr>
        <w:t>绩效评价</w:t>
      </w:r>
      <w:r>
        <w:rPr>
          <w:rFonts w:hint="eastAsia"/>
          <w:color w:val="auto"/>
          <w:highlight w:val="none"/>
        </w:rPr>
        <w:t>工作沟通</w:t>
      </w:r>
      <w:r>
        <w:rPr>
          <w:color w:val="auto"/>
          <w:highlight w:val="none"/>
        </w:rPr>
        <w:t>反馈</w:t>
      </w:r>
      <w:r>
        <w:rPr>
          <w:rFonts w:hint="eastAsia"/>
          <w:color w:val="auto"/>
          <w:highlight w:val="none"/>
        </w:rPr>
        <w:t>结果</w:t>
      </w:r>
      <w:bookmarkEnd w:id="156"/>
      <w:bookmarkEnd w:id="157"/>
    </w:p>
    <w:p w14:paraId="46B09A48">
      <w:pPr>
        <w:pageBreakBefore w:val="0"/>
        <w:kinsoku/>
        <w:wordWrap/>
        <w:overflowPunct/>
        <w:topLinePunct w:val="0"/>
        <w:autoSpaceDE/>
        <w:autoSpaceDN/>
        <w:bidi w:val="0"/>
        <w:snapToGrid w:val="0"/>
        <w:spacing w:before="0" w:after="0" w:line="360" w:lineRule="auto"/>
        <w:ind w:firstLine="0" w:firstLineChars="0"/>
        <w:rPr>
          <w:rFonts w:hint="eastAsia" w:eastAsia="黑体"/>
          <w:color w:val="auto"/>
          <w:highlight w:val="none"/>
          <w:lang w:eastAsia="zh-CN"/>
        </w:rPr>
      </w:pPr>
      <w:r>
        <w:rPr>
          <w:rFonts w:hint="eastAsia" w:eastAsia="黑体"/>
          <w:color w:val="auto"/>
          <w:highlight w:val="none"/>
          <w:lang w:eastAsia="zh-CN"/>
        </w:rPr>
        <w:drawing>
          <wp:inline distT="0" distB="0" distL="114300" distR="114300">
            <wp:extent cx="5273040" cy="7459980"/>
            <wp:effectExtent l="0" t="0" r="10160" b="7620"/>
            <wp:docPr id="2" name="图片 2" descr="全民健身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全民健身_01"/>
                    <pic:cNvPicPr>
                      <a:picLocks noChangeAspect="1"/>
                    </pic:cNvPicPr>
                  </pic:nvPicPr>
                  <pic:blipFill>
                    <a:blip r:embed="rId21"/>
                    <a:stretch>
                      <a:fillRect/>
                    </a:stretch>
                  </pic:blipFill>
                  <pic:spPr>
                    <a:xfrm>
                      <a:off x="0" y="0"/>
                      <a:ext cx="5273040" cy="7459980"/>
                    </a:xfrm>
                    <a:prstGeom prst="rect">
                      <a:avLst/>
                    </a:prstGeom>
                  </pic:spPr>
                </pic:pic>
              </a:graphicData>
            </a:graphic>
          </wp:inline>
        </w:drawing>
      </w:r>
    </w:p>
    <w:p w14:paraId="78FA8FBB">
      <w:pPr>
        <w:pageBreakBefore w:val="0"/>
        <w:kinsoku/>
        <w:wordWrap/>
        <w:overflowPunct/>
        <w:topLinePunct w:val="0"/>
        <w:autoSpaceDE/>
        <w:autoSpaceDN/>
        <w:bidi w:val="0"/>
        <w:snapToGrid w:val="0"/>
        <w:spacing w:before="0" w:after="0" w:line="360" w:lineRule="auto"/>
        <w:ind w:firstLine="0" w:firstLineChars="0"/>
        <w:rPr>
          <w:rFonts w:hint="eastAsia" w:eastAsia="黑体"/>
          <w:color w:val="auto"/>
          <w:highlight w:val="none"/>
          <w:lang w:eastAsia="zh-CN"/>
        </w:rPr>
        <w:sectPr>
          <w:pgSz w:w="11906" w:h="16838"/>
          <w:pgMar w:top="1440" w:right="1800" w:bottom="1440" w:left="1800" w:header="851" w:footer="907" w:gutter="0"/>
          <w:cols w:space="425" w:num="1"/>
          <w:docGrid w:type="lines" w:linePitch="312" w:charSpace="0"/>
        </w:sectPr>
      </w:pPr>
    </w:p>
    <w:p w14:paraId="09FFE43C">
      <w:pPr>
        <w:pageBreakBefore w:val="0"/>
        <w:kinsoku/>
        <w:wordWrap/>
        <w:overflowPunct/>
        <w:topLinePunct w:val="0"/>
        <w:autoSpaceDE/>
        <w:autoSpaceDN/>
        <w:bidi w:val="0"/>
        <w:snapToGrid w:val="0"/>
        <w:spacing w:before="0" w:after="0" w:line="360" w:lineRule="auto"/>
        <w:ind w:firstLine="0" w:firstLineChars="0"/>
        <w:rPr>
          <w:rFonts w:hint="eastAsia" w:eastAsia="黑体"/>
          <w:color w:val="auto"/>
          <w:highlight w:val="none"/>
          <w:lang w:eastAsia="zh-CN"/>
        </w:rPr>
      </w:pPr>
      <w:r>
        <w:rPr>
          <w:rFonts w:hint="eastAsia" w:eastAsia="黑体"/>
          <w:color w:val="auto"/>
          <w:highlight w:val="none"/>
          <w:lang w:eastAsia="zh-CN"/>
        </w:rPr>
        <w:drawing>
          <wp:anchor distT="0" distB="0" distL="114300" distR="114300" simplePos="0" relativeHeight="251663360" behindDoc="0" locked="0" layoutInCell="1" allowOverlap="1">
            <wp:simplePos x="0" y="0"/>
            <wp:positionH relativeFrom="column">
              <wp:posOffset>-102870</wp:posOffset>
            </wp:positionH>
            <wp:positionV relativeFrom="paragraph">
              <wp:posOffset>603250</wp:posOffset>
            </wp:positionV>
            <wp:extent cx="5273675" cy="7793355"/>
            <wp:effectExtent l="0" t="0" r="9525" b="4445"/>
            <wp:wrapSquare wrapText="bothSides"/>
            <wp:docPr id="7" name="图片 7" descr="ff6f26dd456eb718ba44c2dbf705d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f6f26dd456eb718ba44c2dbf705dd4"/>
                    <pic:cNvPicPr>
                      <a:picLocks noChangeAspect="1"/>
                    </pic:cNvPicPr>
                  </pic:nvPicPr>
                  <pic:blipFill>
                    <a:blip r:embed="rId22"/>
                    <a:stretch>
                      <a:fillRect/>
                    </a:stretch>
                  </pic:blipFill>
                  <pic:spPr>
                    <a:xfrm>
                      <a:off x="0" y="0"/>
                      <a:ext cx="5273675" cy="7793355"/>
                    </a:xfrm>
                    <a:prstGeom prst="rect">
                      <a:avLst/>
                    </a:prstGeom>
                  </pic:spPr>
                </pic:pic>
              </a:graphicData>
            </a:graphic>
          </wp:anchor>
        </w:drawing>
      </w:r>
    </w:p>
    <w:sectPr>
      <w:pgSz w:w="11906" w:h="16838"/>
      <w:pgMar w:top="1440" w:right="1800" w:bottom="1440" w:left="1800" w:header="851" w:footer="90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BD76A">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6476">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7FEA9">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1DB8">
    <w:pPr>
      <w:pStyle w:val="13"/>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14:paraId="63C87E4B">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59264;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Gzqn9UAAAAIAQAADwAAAAAAAAABACAAAAAiAAAAZHJzL2Rvd25yZXYueG1sUEsB&#10;AhQAFAAAAAgAh07iQAnSkgO/AQAAgAMAAA4AAAAAAAAAAQAgAAAAJAEAAGRycy9lMm9Eb2MueG1s&#10;UEsFBgAAAAAGAAYAWQEAAFUFAAAAAA==&#10;">
              <v:fill on="f" focussize="0,0"/>
              <v:stroke on="f"/>
              <v:imagedata o:title=""/>
              <o:lock v:ext="edit" aspectratio="f"/>
              <v:textbox inset="0mm,0mm,0mm,0mm" style="mso-fit-shape-to-text:t;">
                <w:txbxContent>
                  <w:p w14:paraId="63C87E4B">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F4679">
    <w:pPr>
      <w:pStyle w:val="13"/>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47467580"/>
      <w:docPartObj>
        <w:docPartGallery w:val="autotext"/>
      </w:docPartObj>
    </w:sdtPr>
    <w:sdtEndPr>
      <w:rPr>
        <w:sz w:val="21"/>
        <w:szCs w:val="21"/>
      </w:rPr>
    </w:sdtEndPr>
    <w:sdtContent>
      <w:p w14:paraId="622D733F">
        <w:pPr>
          <w:pStyle w:val="13"/>
          <w:spacing w:line="240" w:lineRule="auto"/>
          <w:ind w:firstLine="0" w:firstLineChars="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14:paraId="7E4CFE4B">
    <w:pPr>
      <w:pStyle w:val="13"/>
      <w:spacing w:line="240" w:lineRule="auto"/>
      <w:ind w:firstLine="0" w:firstLineChars="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14:paraId="0C5E9722">
        <w:pPr>
          <w:pStyle w:val="13"/>
          <w:spacing w:line="240" w:lineRule="auto"/>
          <w:ind w:firstLine="0" w:firstLineChars="0"/>
          <w:jc w:val="center"/>
        </w:pPr>
        <w:r>
          <w:fldChar w:fldCharType="begin"/>
        </w:r>
        <w:r>
          <w:instrText xml:space="preserve">PAGE   \* MERGEFORMAT</w:instrText>
        </w:r>
        <w:r>
          <w:fldChar w:fldCharType="separate"/>
        </w:r>
        <w:r>
          <w:rPr>
            <w:lang w:val="zh-CN"/>
          </w:rPr>
          <w:t>7</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14:paraId="68D56D42">
        <w:pPr>
          <w:pStyle w:val="13"/>
          <w:spacing w:line="240" w:lineRule="auto"/>
          <w:ind w:firstLine="0" w:firstLineChars="0"/>
          <w:jc w:val="center"/>
        </w:pPr>
        <w:r>
          <w:fldChar w:fldCharType="begin"/>
        </w:r>
        <w:r>
          <w:instrText xml:space="preserve">PAGE   \* MERGEFORMAT</w:instrText>
        </w:r>
        <w:r>
          <w:fldChar w:fldCharType="separate"/>
        </w:r>
        <w:r>
          <w:rPr>
            <w:lang w:val="zh-CN"/>
          </w:rPr>
          <w:t>11</w:t>
        </w:r>
        <w:r>
          <w:fldChar w:fldCharType="end"/>
        </w:r>
      </w:p>
    </w:sdtContent>
  </w:sdt>
  <w:p w14:paraId="753E79A7">
    <w:pPr>
      <w:pStyle w:val="13"/>
      <w:spacing w:line="240" w:lineRule="auto"/>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C4BF">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1A56F">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D4C2">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4"/>
      <w:pBdr>
        <w:bottom w:val="single" w:color="auto" w:sz="4" w:space="0"/>
      </w:pBdr>
      <w:ind w:firstLine="0" w:firstLineChars="0"/>
      <w:jc w:val="right"/>
      <w:rPr>
        <w:rFonts w:ascii="黑体" w:hAnsi="黑体" w:eastAsia="黑体" w:cs="黑体"/>
        <w:b/>
        <w:bCs/>
        <w:color w:val="FF0000"/>
        <w:sz w:val="15"/>
        <w:szCs w:val="15"/>
      </w:rPr>
    </w:pPr>
    <w:r>
      <w:rPr>
        <w:rFonts w:hint="eastAsia" w:ascii="黑体" w:hAnsi="黑体" w:eastAsia="黑体" w:cs="黑体"/>
        <w:b/>
        <w:bCs/>
        <w:color w:val="auto"/>
        <w:sz w:val="15"/>
        <w:szCs w:val="15"/>
        <w:lang w:val="en-US" w:eastAsia="zh-CN"/>
      </w:rPr>
      <w:t>伊宁县全民健身场地设施项目</w:t>
    </w:r>
    <w:r>
      <w:rPr>
        <w:rFonts w:hint="eastAsia" w:ascii="黑体" w:hAnsi="黑体" w:eastAsia="黑体" w:cs="黑体"/>
        <w:b/>
        <w:bCs/>
        <w:color w:val="auto"/>
        <w:sz w:val="15"/>
        <w:szCs w:val="15"/>
      </w:rPr>
      <w:t>绩效评价报</w:t>
    </w:r>
    <w:r>
      <w:rPr>
        <w:rFonts w:hint="eastAsia" w:ascii="黑体" w:hAnsi="黑体" w:eastAsia="黑体" w:cs="黑体"/>
        <w:b/>
        <w:bCs/>
        <w:color w:val="auto"/>
        <w:sz w:val="15"/>
        <w:szCs w:val="15"/>
        <w:lang w:val="en-US" w:eastAsia="zh-CN"/>
      </w:rPr>
      <w:t>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003AA6"/>
    <w:multiLevelType w:val="singleLevel"/>
    <w:tmpl w:val="D5003AA6"/>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ED7CFB"/>
    <w:rsid w:val="02B45E0D"/>
    <w:rsid w:val="03F74299"/>
    <w:rsid w:val="04542819"/>
    <w:rsid w:val="052C3AE4"/>
    <w:rsid w:val="0590094B"/>
    <w:rsid w:val="06687CEB"/>
    <w:rsid w:val="06764670"/>
    <w:rsid w:val="06825697"/>
    <w:rsid w:val="06C43E67"/>
    <w:rsid w:val="06E635A4"/>
    <w:rsid w:val="070B60F9"/>
    <w:rsid w:val="071A48AF"/>
    <w:rsid w:val="0950746A"/>
    <w:rsid w:val="09E65C14"/>
    <w:rsid w:val="0A5E51A8"/>
    <w:rsid w:val="0C2007EF"/>
    <w:rsid w:val="0C69230C"/>
    <w:rsid w:val="0CA041F5"/>
    <w:rsid w:val="0D78725F"/>
    <w:rsid w:val="0E4B13F3"/>
    <w:rsid w:val="0EC86014"/>
    <w:rsid w:val="11AE2F10"/>
    <w:rsid w:val="11C83272"/>
    <w:rsid w:val="12A92F97"/>
    <w:rsid w:val="13513B8A"/>
    <w:rsid w:val="136D21F2"/>
    <w:rsid w:val="178025FC"/>
    <w:rsid w:val="1821504C"/>
    <w:rsid w:val="1A206975"/>
    <w:rsid w:val="1C1C3B10"/>
    <w:rsid w:val="1C6E7E6B"/>
    <w:rsid w:val="1EA97791"/>
    <w:rsid w:val="1EAA665B"/>
    <w:rsid w:val="1FFE64CD"/>
    <w:rsid w:val="20070B5C"/>
    <w:rsid w:val="2060580A"/>
    <w:rsid w:val="208800D4"/>
    <w:rsid w:val="20E91BAB"/>
    <w:rsid w:val="213056EF"/>
    <w:rsid w:val="22AE32E8"/>
    <w:rsid w:val="235D4796"/>
    <w:rsid w:val="23B14FE2"/>
    <w:rsid w:val="23CA3258"/>
    <w:rsid w:val="24C50845"/>
    <w:rsid w:val="24DF149D"/>
    <w:rsid w:val="25AF6319"/>
    <w:rsid w:val="25F7546A"/>
    <w:rsid w:val="27514CAA"/>
    <w:rsid w:val="2AAD1304"/>
    <w:rsid w:val="2BBB02AC"/>
    <w:rsid w:val="2BF57E33"/>
    <w:rsid w:val="2C681F1F"/>
    <w:rsid w:val="2CD07DE1"/>
    <w:rsid w:val="2CE92727"/>
    <w:rsid w:val="2F6A7E11"/>
    <w:rsid w:val="30BB1AA0"/>
    <w:rsid w:val="30F658E4"/>
    <w:rsid w:val="316E6E51"/>
    <w:rsid w:val="32CE6A40"/>
    <w:rsid w:val="33484DD4"/>
    <w:rsid w:val="339A10EE"/>
    <w:rsid w:val="34C71A6F"/>
    <w:rsid w:val="35A53AD6"/>
    <w:rsid w:val="361B4426"/>
    <w:rsid w:val="37144D14"/>
    <w:rsid w:val="372A5C55"/>
    <w:rsid w:val="37823126"/>
    <w:rsid w:val="37C36E66"/>
    <w:rsid w:val="383B63A8"/>
    <w:rsid w:val="398D26CB"/>
    <w:rsid w:val="3AEF3BB8"/>
    <w:rsid w:val="3B471601"/>
    <w:rsid w:val="3B947535"/>
    <w:rsid w:val="3DAF0D3F"/>
    <w:rsid w:val="3DB50D85"/>
    <w:rsid w:val="3DE73101"/>
    <w:rsid w:val="3F8073EA"/>
    <w:rsid w:val="410D20A5"/>
    <w:rsid w:val="4161625E"/>
    <w:rsid w:val="440F2FBD"/>
    <w:rsid w:val="46D1728D"/>
    <w:rsid w:val="47EB0408"/>
    <w:rsid w:val="49516307"/>
    <w:rsid w:val="4A9106FD"/>
    <w:rsid w:val="4C0B32CF"/>
    <w:rsid w:val="4C172B6D"/>
    <w:rsid w:val="4C1D2087"/>
    <w:rsid w:val="4C624636"/>
    <w:rsid w:val="4C6E6818"/>
    <w:rsid w:val="4CD60F91"/>
    <w:rsid w:val="4D2646B1"/>
    <w:rsid w:val="4E543563"/>
    <w:rsid w:val="4ECE137E"/>
    <w:rsid w:val="4F6C35B4"/>
    <w:rsid w:val="50BB0282"/>
    <w:rsid w:val="517F7F3E"/>
    <w:rsid w:val="51F24178"/>
    <w:rsid w:val="524A0B6F"/>
    <w:rsid w:val="539A7FB9"/>
    <w:rsid w:val="561574D7"/>
    <w:rsid w:val="56602459"/>
    <w:rsid w:val="56921B6A"/>
    <w:rsid w:val="57506753"/>
    <w:rsid w:val="58DE2219"/>
    <w:rsid w:val="593F3897"/>
    <w:rsid w:val="5A691E81"/>
    <w:rsid w:val="5C6B645D"/>
    <w:rsid w:val="5D382BE7"/>
    <w:rsid w:val="5DEE6DAA"/>
    <w:rsid w:val="5E280F21"/>
    <w:rsid w:val="5E484837"/>
    <w:rsid w:val="5E5F2584"/>
    <w:rsid w:val="5E606702"/>
    <w:rsid w:val="5EC155FD"/>
    <w:rsid w:val="5F470E2F"/>
    <w:rsid w:val="60434A53"/>
    <w:rsid w:val="62496212"/>
    <w:rsid w:val="624E2AD0"/>
    <w:rsid w:val="63414F5F"/>
    <w:rsid w:val="641E704E"/>
    <w:rsid w:val="64FF2692"/>
    <w:rsid w:val="652E506F"/>
    <w:rsid w:val="6631134F"/>
    <w:rsid w:val="680F7DB4"/>
    <w:rsid w:val="68570D81"/>
    <w:rsid w:val="68D511B8"/>
    <w:rsid w:val="68E4185B"/>
    <w:rsid w:val="69FD0BC6"/>
    <w:rsid w:val="6A8E631F"/>
    <w:rsid w:val="6AA12EAB"/>
    <w:rsid w:val="6AAF4400"/>
    <w:rsid w:val="6CA65E33"/>
    <w:rsid w:val="6D3277F3"/>
    <w:rsid w:val="6D5E5248"/>
    <w:rsid w:val="6D8E15BD"/>
    <w:rsid w:val="6E0F7A08"/>
    <w:rsid w:val="6E2A71F8"/>
    <w:rsid w:val="6EA7498F"/>
    <w:rsid w:val="6F876CD7"/>
    <w:rsid w:val="6FCE205B"/>
    <w:rsid w:val="70A1703D"/>
    <w:rsid w:val="71F238C8"/>
    <w:rsid w:val="72535C54"/>
    <w:rsid w:val="726C71D4"/>
    <w:rsid w:val="734B0E16"/>
    <w:rsid w:val="759A04FF"/>
    <w:rsid w:val="76843471"/>
    <w:rsid w:val="76C84BF7"/>
    <w:rsid w:val="776C8B73"/>
    <w:rsid w:val="77C202CB"/>
    <w:rsid w:val="78340D6C"/>
    <w:rsid w:val="78363C2E"/>
    <w:rsid w:val="78D173E0"/>
    <w:rsid w:val="794F2C69"/>
    <w:rsid w:val="7A0E2437"/>
    <w:rsid w:val="7A374B97"/>
    <w:rsid w:val="7AED5D54"/>
    <w:rsid w:val="7AF0358A"/>
    <w:rsid w:val="7BA75723"/>
    <w:rsid w:val="7BF267D8"/>
    <w:rsid w:val="7C7F5EB2"/>
    <w:rsid w:val="7CBF75FD"/>
    <w:rsid w:val="7D5D4FB7"/>
    <w:rsid w:val="7D657264"/>
    <w:rsid w:val="7D8A4FA7"/>
    <w:rsid w:val="7F0A6001"/>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4">
    <w:name w:val="heading 1"/>
    <w:basedOn w:val="1"/>
    <w:next w:val="1"/>
    <w:qFormat/>
    <w:uiPriority w:val="99"/>
    <w:pPr>
      <w:keepNext/>
      <w:keepLines/>
      <w:spacing w:before="260" w:after="260"/>
      <w:outlineLvl w:val="0"/>
    </w:pPr>
    <w:rPr>
      <w:b/>
      <w:bCs/>
      <w:kern w:val="44"/>
      <w:sz w:val="24"/>
      <w:szCs w:val="44"/>
    </w:rPr>
  </w:style>
  <w:style w:type="paragraph" w:styleId="5">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6">
    <w:name w:val="heading 3"/>
    <w:basedOn w:val="1"/>
    <w:next w:val="7"/>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eastAsia="宋体"/>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style>
  <w:style w:type="paragraph" w:styleId="9">
    <w:name w:val="annotation text"/>
    <w:basedOn w:val="1"/>
    <w:unhideWhenUsed/>
    <w:qFormat/>
    <w:uiPriority w:val="99"/>
    <w:rPr>
      <w:rFonts w:ascii="Calibri" w:hAnsi="Calibri" w:eastAsia="仿宋"/>
      <w:kern w:val="0"/>
      <w:sz w:val="24"/>
      <w:szCs w:val="20"/>
    </w:rPr>
  </w:style>
  <w:style w:type="paragraph" w:styleId="10">
    <w:name w:val="Body Text Indent"/>
    <w:basedOn w:val="1"/>
    <w:qFormat/>
    <w:uiPriority w:val="0"/>
    <w:pPr>
      <w:ind w:firstLine="570"/>
    </w:pPr>
    <w:rPr>
      <w:rFonts w:eastAsia="宋体"/>
      <w:sz w:val="24"/>
    </w:rPr>
  </w:style>
  <w:style w:type="paragraph" w:styleId="11">
    <w:name w:val="Plain Text"/>
    <w:basedOn w:val="1"/>
    <w:qFormat/>
    <w:uiPriority w:val="0"/>
    <w:pPr>
      <w:spacing w:line="240" w:lineRule="atLeast"/>
    </w:pPr>
    <w:rPr>
      <w:rFonts w:ascii="宋体" w:hAnsi="Courier New" w:eastAsia="宋体"/>
      <w:sz w:val="24"/>
      <w:szCs w:val="20"/>
    </w:rPr>
  </w:style>
  <w:style w:type="paragraph" w:styleId="12">
    <w:name w:val="Balloon Text"/>
    <w:basedOn w:val="1"/>
    <w:link w:val="32"/>
    <w:semiHidden/>
    <w:unhideWhenUsed/>
    <w:qFormat/>
    <w:uiPriority w:val="99"/>
    <w:pPr>
      <w:spacing w:line="240" w:lineRule="auto"/>
    </w:pPr>
    <w:rPr>
      <w:sz w:val="18"/>
      <w:szCs w:val="18"/>
    </w:rPr>
  </w:style>
  <w:style w:type="paragraph" w:styleId="13">
    <w:name w:val="footer"/>
    <w:basedOn w:val="1"/>
    <w:link w:val="24"/>
    <w:unhideWhenUsed/>
    <w:qFormat/>
    <w:uiPriority w:val="99"/>
    <w:pPr>
      <w:tabs>
        <w:tab w:val="center" w:pos="4153"/>
        <w:tab w:val="right" w:pos="8306"/>
      </w:tabs>
      <w:jc w:val="left"/>
    </w:pPr>
    <w:rPr>
      <w:sz w:val="18"/>
      <w:szCs w:val="18"/>
    </w:rPr>
  </w:style>
  <w:style w:type="paragraph" w:styleId="14">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Body Text First Indent 2"/>
    <w:basedOn w:val="10"/>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annotation reference"/>
    <w:basedOn w:val="20"/>
    <w:semiHidden/>
    <w:unhideWhenUsed/>
    <w:qFormat/>
    <w:uiPriority w:val="99"/>
    <w:rPr>
      <w:sz w:val="21"/>
      <w:szCs w:val="21"/>
    </w:rPr>
  </w:style>
  <w:style w:type="character" w:customStyle="1" w:styleId="23">
    <w:name w:val="页眉 Char"/>
    <w:basedOn w:val="20"/>
    <w:link w:val="14"/>
    <w:qFormat/>
    <w:uiPriority w:val="99"/>
    <w:rPr>
      <w:sz w:val="18"/>
      <w:szCs w:val="18"/>
    </w:rPr>
  </w:style>
  <w:style w:type="character" w:customStyle="1" w:styleId="24">
    <w:name w:val="页脚 Char"/>
    <w:basedOn w:val="20"/>
    <w:link w:val="13"/>
    <w:qFormat/>
    <w:uiPriority w:val="99"/>
    <w:rPr>
      <w:sz w:val="18"/>
      <w:szCs w:val="18"/>
    </w:rPr>
  </w:style>
  <w:style w:type="paragraph" w:customStyle="1" w:styleId="25">
    <w:name w:val="闻政-正文二级标题"/>
    <w:basedOn w:val="5"/>
    <w:next w:val="26"/>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闻政-正文段落文字"/>
    <w:basedOn w:val="1"/>
    <w:qFormat/>
    <w:uiPriority w:val="3"/>
    <w:pPr>
      <w:spacing w:line="500" w:lineRule="exact"/>
      <w:ind w:firstLine="200"/>
    </w:pPr>
    <w:rPr>
      <w:kern w:val="0"/>
      <w:szCs w:val="28"/>
    </w:rPr>
  </w:style>
  <w:style w:type="paragraph" w:customStyle="1" w:styleId="27">
    <w:name w:val="闻政-正文一级标题"/>
    <w:basedOn w:val="6"/>
    <w:next w:val="26"/>
    <w:qFormat/>
    <w:uiPriority w:val="3"/>
    <w:pPr>
      <w:spacing w:before="120" w:after="60" w:line="500" w:lineRule="exact"/>
      <w:ind w:firstLine="0" w:firstLineChars="0"/>
      <w:outlineLvl w:val="0"/>
    </w:pPr>
    <w:rPr>
      <w:rFonts w:ascii="黑体" w:hAnsi="黑体" w:eastAsia="黑体"/>
      <w:sz w:val="32"/>
    </w:rPr>
  </w:style>
  <w:style w:type="paragraph" w:styleId="28">
    <w:name w:val="List Paragraph"/>
    <w:basedOn w:val="1"/>
    <w:qFormat/>
    <w:uiPriority w:val="34"/>
    <w:pPr>
      <w:ind w:firstLine="420"/>
    </w:pPr>
  </w:style>
  <w:style w:type="paragraph" w:customStyle="1" w:styleId="29">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2">
    <w:name w:val="批注框文本 Char"/>
    <w:basedOn w:val="20"/>
    <w:link w:val="12"/>
    <w:semiHidden/>
    <w:qFormat/>
    <w:uiPriority w:val="99"/>
    <w:rPr>
      <w:rFonts w:eastAsiaTheme="minorEastAsia"/>
      <w:kern w:val="2"/>
      <w:sz w:val="18"/>
      <w:szCs w:val="18"/>
    </w:rPr>
  </w:style>
  <w:style w:type="paragraph" w:customStyle="1" w:styleId="33">
    <w:name w:val="Table Text"/>
    <w:basedOn w:val="1"/>
    <w:semiHidden/>
    <w:qFormat/>
    <w:uiPriority w:val="0"/>
    <w:rPr>
      <w:rFonts w:ascii="宋体" w:hAnsi="宋体" w:eastAsia="宋体" w:cs="宋体"/>
      <w:sz w:val="19"/>
      <w:szCs w:val="19"/>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5.jpeg"/><Relationship Id="rId21" Type="http://schemas.openxmlformats.org/officeDocument/2006/relationships/image" Target="media/image4.jpeg"/><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5956</Words>
  <Characters>6461</Characters>
  <Lines>41</Lines>
  <Paragraphs>11</Paragraphs>
  <TotalTime>0</TotalTime>
  <ScaleCrop>false</ScaleCrop>
  <LinksUpToDate>false</LinksUpToDate>
  <CharactersWithSpaces>6590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孙婕</cp:lastModifiedBy>
  <dcterms:modified xsi:type="dcterms:W3CDTF">2025-09-08T09:48:38Z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DEEF724E7E704233AC15CA405CE5D3B7_13</vt:lpwstr>
  </property>
  <property fmtid="{D5CDD505-2E9C-101B-9397-08002B2CF9AE}" pid="4" name="KSOTemplateDocerSaveRecord">
    <vt:lpwstr>eyJoZGlkIjoiZjNiYTgwNzYyZDQ4ZTA3ZGVkYjdkY2Y3ODg5MTgwZGYiLCJ1c2VySWQiOiI0MzE2MTM5MTcifQ==</vt:lpwstr>
  </property>
</Properties>
</file>