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D1FD66">
      <w:pPr>
        <w:pageBreakBefore w:val="0"/>
        <w:pBdr>
          <w:bottom w:val="dotDotDash" w:color="auto" w:sz="24" w:space="10"/>
        </w:pBdr>
        <w:tabs>
          <w:tab w:val="left" w:pos="4830"/>
        </w:tabs>
        <w:kinsoku/>
        <w:wordWrap/>
        <w:overflowPunct/>
        <w:topLinePunct w:val="0"/>
        <w:autoSpaceDE/>
        <w:autoSpaceDN/>
        <w:bidi w:val="0"/>
        <w:adjustRightInd/>
        <w:snapToGrid w:val="0"/>
        <w:spacing w:before="312" w:beforeLines="100" w:after="312" w:afterLines="100" w:line="360" w:lineRule="auto"/>
        <w:ind w:firstLine="0" w:firstLineChars="0"/>
        <w:rPr>
          <w:rFonts w:eastAsia="黑体"/>
          <w:b/>
          <w:color w:val="auto"/>
          <w:sz w:val="30"/>
          <w:szCs w:val="30"/>
          <w:highlight w:val="none"/>
        </w:rPr>
      </w:pPr>
    </w:p>
    <w:p w14:paraId="799C5A24">
      <w:pPr>
        <w:pageBreakBefore w:val="0"/>
        <w:pBdr>
          <w:bottom w:val="dotDotDash" w:color="auto" w:sz="24" w:space="10"/>
        </w:pBdr>
        <w:kinsoku/>
        <w:wordWrap/>
        <w:overflowPunct/>
        <w:topLinePunct w:val="0"/>
        <w:autoSpaceDE/>
        <w:autoSpaceDN/>
        <w:bidi w:val="0"/>
        <w:adjustRightInd/>
        <w:snapToGrid w:val="0"/>
        <w:spacing w:before="312" w:beforeLines="100" w:after="312" w:afterLines="100" w:line="360" w:lineRule="auto"/>
        <w:ind w:firstLine="0" w:firstLineChars="0"/>
        <w:jc w:val="center"/>
        <w:rPr>
          <w:rFonts w:eastAsia="黑体"/>
          <w:b/>
          <w:color w:val="auto"/>
          <w:sz w:val="30"/>
          <w:szCs w:val="30"/>
          <w:highlight w:val="none"/>
        </w:rPr>
      </w:pPr>
    </w:p>
    <w:p w14:paraId="26536125">
      <w:pPr>
        <w:keepNext w:val="0"/>
        <w:keepLines w:val="0"/>
        <w:pageBreakBefore w:val="0"/>
        <w:widowControl w:val="0"/>
        <w:pBdr>
          <w:bottom w:val="dotDotDash" w:color="auto" w:sz="24" w:space="10"/>
        </w:pBdr>
        <w:kinsoku/>
        <w:wordWrap/>
        <w:overflowPunct/>
        <w:topLinePunct w:val="0"/>
        <w:autoSpaceDE/>
        <w:autoSpaceDN/>
        <w:bidi w:val="0"/>
        <w:adjustRightInd/>
        <w:snapToGrid w:val="0"/>
        <w:spacing w:before="156" w:beforeLines="50" w:after="312" w:afterLines="100" w:line="360" w:lineRule="auto"/>
        <w:ind w:firstLine="0" w:firstLineChars="0"/>
        <w:jc w:val="center"/>
        <w:textAlignment w:val="center"/>
        <w:rPr>
          <w:rFonts w:hint="eastAsia" w:eastAsia="黑体" w:cs="Times New Roman"/>
          <w:b/>
          <w:color w:val="auto"/>
          <w:sz w:val="44"/>
          <w:szCs w:val="22"/>
          <w:highlight w:val="none"/>
          <w:lang w:val="en-US" w:eastAsia="zh-CN"/>
        </w:rPr>
      </w:pPr>
      <w:r>
        <w:rPr>
          <w:rFonts w:hint="eastAsia" w:eastAsia="黑体" w:cs="Times New Roman"/>
          <w:b/>
          <w:color w:val="auto"/>
          <w:sz w:val="44"/>
          <w:szCs w:val="22"/>
          <w:highlight w:val="none"/>
          <w:lang w:val="en-US" w:eastAsia="zh-CN"/>
        </w:rPr>
        <w:t>伊宁县交通运输局</w:t>
      </w:r>
    </w:p>
    <w:p w14:paraId="6399245D">
      <w:pPr>
        <w:keepNext w:val="0"/>
        <w:keepLines w:val="0"/>
        <w:pageBreakBefore w:val="0"/>
        <w:widowControl w:val="0"/>
        <w:pBdr>
          <w:bottom w:val="dotDotDash" w:color="auto" w:sz="24" w:space="10"/>
        </w:pBdr>
        <w:kinsoku/>
        <w:wordWrap/>
        <w:overflowPunct/>
        <w:topLinePunct w:val="0"/>
        <w:autoSpaceDE/>
        <w:autoSpaceDN/>
        <w:bidi w:val="0"/>
        <w:adjustRightInd/>
        <w:snapToGrid w:val="0"/>
        <w:spacing w:before="156" w:beforeLines="50" w:after="312" w:afterLines="100" w:line="360" w:lineRule="auto"/>
        <w:ind w:firstLine="0" w:firstLineChars="0"/>
        <w:jc w:val="center"/>
        <w:textAlignment w:val="center"/>
        <w:rPr>
          <w:rFonts w:hint="default" w:ascii="Times New Roman" w:hAnsi="Times New Roman" w:eastAsia="黑体" w:cs="Times New Roman"/>
          <w:b/>
          <w:color w:val="auto"/>
          <w:sz w:val="44"/>
          <w:szCs w:val="22"/>
          <w:highlight w:val="none"/>
          <w:lang w:val="en-US" w:eastAsia="zh-CN"/>
        </w:rPr>
      </w:pPr>
      <w:r>
        <w:rPr>
          <w:rFonts w:hint="eastAsia" w:eastAsia="黑体" w:cs="Times New Roman"/>
          <w:b/>
          <w:color w:val="auto"/>
          <w:sz w:val="44"/>
          <w:szCs w:val="22"/>
          <w:highlight w:val="none"/>
          <w:lang w:val="en-US" w:eastAsia="zh-CN"/>
        </w:rPr>
        <w:t>成品油税费农村公路日常养护项目</w:t>
      </w:r>
    </w:p>
    <w:p w14:paraId="28CD2C78">
      <w:pPr>
        <w:keepNext w:val="0"/>
        <w:keepLines w:val="0"/>
        <w:pageBreakBefore w:val="0"/>
        <w:widowControl w:val="0"/>
        <w:kinsoku/>
        <w:wordWrap/>
        <w:overflowPunct/>
        <w:topLinePunct w:val="0"/>
        <w:autoSpaceDE/>
        <w:autoSpaceDN/>
        <w:bidi w:val="0"/>
        <w:adjustRightInd/>
        <w:spacing w:line="360" w:lineRule="auto"/>
        <w:ind w:firstLine="0" w:firstLineChars="0"/>
        <w:jc w:val="center"/>
        <w:rPr>
          <w:rFonts w:hint="default" w:ascii="Times New Roman" w:hAnsi="Times New Roman" w:eastAsia="黑体" w:cs="Times New Roman"/>
          <w:color w:val="auto"/>
          <w:sz w:val="44"/>
          <w:szCs w:val="44"/>
          <w:highlight w:val="none"/>
        </w:rPr>
      </w:pPr>
      <w:r>
        <w:rPr>
          <w:rFonts w:hint="default" w:ascii="Times New Roman" w:hAnsi="Times New Roman" w:eastAsia="黑体" w:cs="Times New Roman"/>
          <w:color w:val="auto"/>
          <w:spacing w:val="23"/>
          <w:w w:val="100"/>
          <w:kern w:val="0"/>
          <w:sz w:val="44"/>
          <w:szCs w:val="44"/>
          <w:highlight w:val="none"/>
          <w:fitText w:val="2872" w:id="212274281"/>
          <w:lang w:val="en-US" w:eastAsia="zh-CN"/>
        </w:rPr>
        <w:t>绩效评价</w:t>
      </w:r>
      <w:r>
        <w:rPr>
          <w:rFonts w:hint="default" w:ascii="Times New Roman" w:hAnsi="Times New Roman" w:eastAsia="黑体" w:cs="Times New Roman"/>
          <w:color w:val="auto"/>
          <w:spacing w:val="23"/>
          <w:w w:val="100"/>
          <w:kern w:val="0"/>
          <w:sz w:val="44"/>
          <w:szCs w:val="44"/>
          <w:highlight w:val="none"/>
          <w:fitText w:val="2872" w:id="212274281"/>
        </w:rPr>
        <w:t>报</w:t>
      </w:r>
      <w:r>
        <w:rPr>
          <w:rFonts w:hint="default" w:ascii="Times New Roman" w:hAnsi="Times New Roman" w:eastAsia="黑体" w:cs="Times New Roman"/>
          <w:color w:val="auto"/>
          <w:spacing w:val="1"/>
          <w:w w:val="100"/>
          <w:kern w:val="0"/>
          <w:sz w:val="44"/>
          <w:szCs w:val="44"/>
          <w:highlight w:val="none"/>
          <w:fitText w:val="2872" w:id="212274281"/>
        </w:rPr>
        <w:t>告</w:t>
      </w:r>
    </w:p>
    <w:p w14:paraId="31046006">
      <w:pPr>
        <w:keepNext w:val="0"/>
        <w:keepLines w:val="0"/>
        <w:pageBreakBefore w:val="0"/>
        <w:widowControl w:val="0"/>
        <w:kinsoku/>
        <w:wordWrap/>
        <w:overflowPunct/>
        <w:topLinePunct w:val="0"/>
        <w:autoSpaceDE/>
        <w:autoSpaceDN/>
        <w:bidi w:val="0"/>
        <w:adjustRightInd/>
        <w:spacing w:line="360" w:lineRule="auto"/>
        <w:ind w:firstLine="0" w:firstLineChars="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驰天会咨字[2025]1-0132号</w:t>
      </w:r>
    </w:p>
    <w:p w14:paraId="56E4FA36">
      <w:pPr>
        <w:pageBreakBefore w:val="0"/>
        <w:kinsoku/>
        <w:wordWrap/>
        <w:overflowPunct/>
        <w:topLinePunct w:val="0"/>
        <w:autoSpaceDE/>
        <w:autoSpaceDN/>
        <w:bidi w:val="0"/>
        <w:adjustRightInd/>
        <w:snapToGrid w:val="0"/>
        <w:spacing w:line="360" w:lineRule="auto"/>
        <w:ind w:firstLine="0" w:firstLineChars="0"/>
        <w:jc w:val="center"/>
        <w:rPr>
          <w:b/>
          <w:color w:val="auto"/>
          <w:sz w:val="32"/>
          <w:szCs w:val="22"/>
          <w:highlight w:val="none"/>
        </w:rPr>
      </w:pPr>
    </w:p>
    <w:p w14:paraId="7DEF80D4">
      <w:pPr>
        <w:pageBreakBefore w:val="0"/>
        <w:kinsoku/>
        <w:wordWrap/>
        <w:overflowPunct/>
        <w:topLinePunct w:val="0"/>
        <w:autoSpaceDE/>
        <w:autoSpaceDN/>
        <w:bidi w:val="0"/>
        <w:adjustRightInd/>
        <w:snapToGrid w:val="0"/>
        <w:spacing w:line="360" w:lineRule="auto"/>
        <w:ind w:firstLine="0" w:firstLineChars="0"/>
        <w:jc w:val="center"/>
        <w:rPr>
          <w:b/>
          <w:color w:val="auto"/>
          <w:sz w:val="32"/>
          <w:szCs w:val="22"/>
          <w:highlight w:val="none"/>
        </w:rPr>
      </w:pPr>
    </w:p>
    <w:p w14:paraId="5602A78B">
      <w:pPr>
        <w:pStyle w:val="2"/>
        <w:rPr>
          <w:b/>
          <w:color w:val="auto"/>
          <w:sz w:val="32"/>
          <w:szCs w:val="22"/>
          <w:highlight w:val="none"/>
        </w:rPr>
      </w:pPr>
    </w:p>
    <w:p w14:paraId="62FAEEB7">
      <w:pPr>
        <w:pStyle w:val="3"/>
        <w:rPr>
          <w:color w:val="auto"/>
          <w:highlight w:val="none"/>
        </w:rPr>
      </w:pPr>
    </w:p>
    <w:p w14:paraId="6CDDF738">
      <w:pPr>
        <w:pageBreakBefore w:val="0"/>
        <w:kinsoku/>
        <w:wordWrap/>
        <w:overflowPunct/>
        <w:topLinePunct w:val="0"/>
        <w:autoSpaceDE/>
        <w:autoSpaceDN/>
        <w:bidi w:val="0"/>
        <w:adjustRightInd/>
        <w:snapToGrid w:val="0"/>
        <w:spacing w:line="360" w:lineRule="auto"/>
        <w:ind w:firstLine="0" w:firstLineChars="0"/>
        <w:jc w:val="both"/>
        <w:rPr>
          <w:b/>
          <w:color w:val="auto"/>
          <w:sz w:val="32"/>
          <w:szCs w:val="22"/>
          <w:highlight w:val="none"/>
        </w:rPr>
      </w:pPr>
    </w:p>
    <w:p w14:paraId="6F246074">
      <w:pPr>
        <w:pageBreakBefore w:val="0"/>
        <w:kinsoku/>
        <w:wordWrap/>
        <w:overflowPunct/>
        <w:topLinePunct w:val="0"/>
        <w:autoSpaceDE/>
        <w:autoSpaceDN/>
        <w:bidi w:val="0"/>
        <w:adjustRightInd/>
        <w:snapToGrid w:val="0"/>
        <w:spacing w:line="360" w:lineRule="auto"/>
        <w:ind w:firstLine="0" w:firstLineChars="0"/>
        <w:jc w:val="center"/>
        <w:rPr>
          <w:b/>
          <w:color w:val="auto"/>
          <w:sz w:val="32"/>
          <w:szCs w:val="22"/>
          <w:highlight w:val="none"/>
        </w:rPr>
      </w:pPr>
    </w:p>
    <w:p w14:paraId="0A28AE8B">
      <w:pPr>
        <w:pageBreakBefore w:val="0"/>
        <w:kinsoku/>
        <w:wordWrap/>
        <w:overflowPunct/>
        <w:topLinePunct w:val="0"/>
        <w:autoSpaceDE/>
        <w:autoSpaceDN/>
        <w:bidi w:val="0"/>
        <w:adjustRightInd/>
        <w:snapToGrid w:val="0"/>
        <w:spacing w:line="360" w:lineRule="auto"/>
        <w:ind w:firstLine="0" w:firstLineChars="0"/>
        <w:jc w:val="center"/>
        <w:rPr>
          <w:b/>
          <w:color w:val="auto"/>
          <w:sz w:val="32"/>
          <w:szCs w:val="22"/>
          <w:highlight w:val="none"/>
        </w:rPr>
      </w:pPr>
    </w:p>
    <w:p w14:paraId="34E93FB9">
      <w:pPr>
        <w:pageBreakBefore w:val="0"/>
        <w:kinsoku/>
        <w:wordWrap/>
        <w:overflowPunct/>
        <w:topLinePunct w:val="0"/>
        <w:autoSpaceDE/>
        <w:autoSpaceDN/>
        <w:bidi w:val="0"/>
        <w:adjustRightInd/>
        <w:snapToGrid w:val="0"/>
        <w:spacing w:line="360" w:lineRule="auto"/>
        <w:ind w:firstLine="0" w:firstLineChars="0"/>
        <w:rPr>
          <w:b/>
          <w:color w:val="auto"/>
          <w:sz w:val="32"/>
          <w:szCs w:val="22"/>
          <w:highlight w:val="none"/>
        </w:rPr>
      </w:pPr>
    </w:p>
    <w:p w14:paraId="73060623">
      <w:pPr>
        <w:pStyle w:val="2"/>
        <w:pageBreakBefore w:val="0"/>
        <w:kinsoku/>
        <w:wordWrap/>
        <w:overflowPunct/>
        <w:topLinePunct w:val="0"/>
        <w:autoSpaceDE/>
        <w:autoSpaceDN/>
        <w:bidi w:val="0"/>
        <w:snapToGrid w:val="0"/>
        <w:spacing w:line="360" w:lineRule="auto"/>
        <w:ind w:firstLine="643"/>
        <w:rPr>
          <w:b/>
          <w:color w:val="auto"/>
          <w:sz w:val="32"/>
          <w:szCs w:val="22"/>
          <w:highlight w:val="none"/>
        </w:rPr>
      </w:pPr>
    </w:p>
    <w:p w14:paraId="7227AFBE">
      <w:pPr>
        <w:pStyle w:val="3"/>
        <w:pageBreakBefore w:val="0"/>
        <w:kinsoku/>
        <w:wordWrap/>
        <w:overflowPunct/>
        <w:topLinePunct w:val="0"/>
        <w:autoSpaceDE/>
        <w:autoSpaceDN/>
        <w:bidi w:val="0"/>
        <w:snapToGrid w:val="0"/>
        <w:spacing w:line="360" w:lineRule="auto"/>
        <w:ind w:firstLine="420"/>
        <w:rPr>
          <w:color w:val="auto"/>
          <w:highlight w:val="none"/>
        </w:rPr>
      </w:pPr>
    </w:p>
    <w:p w14:paraId="215C2F70">
      <w:pPr>
        <w:pStyle w:val="3"/>
        <w:pageBreakBefore w:val="0"/>
        <w:kinsoku/>
        <w:wordWrap/>
        <w:overflowPunct/>
        <w:topLinePunct w:val="0"/>
        <w:autoSpaceDE/>
        <w:autoSpaceDN/>
        <w:bidi w:val="0"/>
        <w:snapToGrid w:val="0"/>
        <w:spacing w:line="360" w:lineRule="auto"/>
        <w:ind w:firstLine="420"/>
        <w:rPr>
          <w:color w:val="auto"/>
          <w:highlight w:val="none"/>
        </w:rPr>
      </w:pPr>
    </w:p>
    <w:p w14:paraId="1EC68202">
      <w:pPr>
        <w:pageBreakBefore w:val="0"/>
        <w:kinsoku/>
        <w:wordWrap/>
        <w:overflowPunct/>
        <w:topLinePunct w:val="0"/>
        <w:autoSpaceDE/>
        <w:autoSpaceDN/>
        <w:bidi w:val="0"/>
        <w:adjustRightInd/>
        <w:snapToGrid w:val="0"/>
        <w:spacing w:line="360" w:lineRule="auto"/>
        <w:ind w:firstLine="0" w:firstLineChars="0"/>
        <w:jc w:val="center"/>
        <w:rPr>
          <w:b/>
          <w:color w:val="auto"/>
          <w:sz w:val="32"/>
          <w:szCs w:val="22"/>
          <w:highlight w:val="none"/>
        </w:rPr>
      </w:pPr>
      <w:r>
        <w:rPr>
          <w:b/>
          <w:color w:val="auto"/>
          <w:sz w:val="32"/>
          <w:szCs w:val="22"/>
          <w:highlight w:val="none"/>
        </w:rPr>
        <w:t>新疆驰远天合有限责任会计师事务所</w:t>
      </w:r>
    </w:p>
    <w:p w14:paraId="517D1E4B">
      <w:pPr>
        <w:pageBreakBefore w:val="0"/>
        <w:kinsoku/>
        <w:wordWrap/>
        <w:overflowPunct/>
        <w:topLinePunct w:val="0"/>
        <w:autoSpaceDE/>
        <w:autoSpaceDN/>
        <w:bidi w:val="0"/>
        <w:adjustRightInd/>
        <w:snapToGrid w:val="0"/>
        <w:spacing w:line="360" w:lineRule="auto"/>
        <w:ind w:firstLine="0" w:firstLineChars="0"/>
        <w:jc w:val="center"/>
        <w:rPr>
          <w:rFonts w:eastAsia="等线"/>
          <w:b/>
          <w:color w:val="auto"/>
          <w:sz w:val="28"/>
          <w:szCs w:val="28"/>
          <w:highlight w:val="none"/>
        </w:rPr>
      </w:pPr>
      <w:r>
        <w:rPr>
          <w:rFonts w:eastAsia="等线"/>
          <w:b/>
          <w:color w:val="auto"/>
          <w:sz w:val="28"/>
          <w:szCs w:val="28"/>
          <w:highlight w:val="none"/>
        </w:rPr>
        <w:t>XINJIANGCHIYUANTIANHE</w:t>
      </w:r>
    </w:p>
    <w:p w14:paraId="633CE8E1">
      <w:pPr>
        <w:pageBreakBefore w:val="0"/>
        <w:kinsoku/>
        <w:wordWrap/>
        <w:overflowPunct/>
        <w:topLinePunct w:val="0"/>
        <w:autoSpaceDE/>
        <w:autoSpaceDN/>
        <w:bidi w:val="0"/>
        <w:adjustRightInd/>
        <w:snapToGrid w:val="0"/>
        <w:spacing w:line="360" w:lineRule="auto"/>
        <w:ind w:firstLine="0" w:firstLineChars="0"/>
        <w:jc w:val="center"/>
        <w:rPr>
          <w:rFonts w:eastAsia="等线"/>
          <w:b/>
          <w:color w:val="auto"/>
          <w:highlight w:val="none"/>
        </w:rPr>
      </w:pPr>
      <w:r>
        <w:rPr>
          <w:rFonts w:eastAsia="等线"/>
          <w:b/>
          <w:color w:val="auto"/>
          <w:highlight w:val="none"/>
        </w:rPr>
        <w:t>CertifiedPublicAccountantsCo.,Ltd.</w:t>
      </w:r>
    </w:p>
    <w:p w14:paraId="11CAA934">
      <w:pPr>
        <w:pageBreakBefore w:val="0"/>
        <w:kinsoku/>
        <w:wordWrap/>
        <w:overflowPunct/>
        <w:topLinePunct w:val="0"/>
        <w:autoSpaceDE/>
        <w:autoSpaceDN/>
        <w:bidi w:val="0"/>
        <w:snapToGrid w:val="0"/>
        <w:spacing w:line="360" w:lineRule="auto"/>
        <w:ind w:firstLine="0" w:firstLineChars="0"/>
        <w:rPr>
          <w:rFonts w:eastAsia="黑体"/>
          <w:bCs/>
          <w:color w:val="auto"/>
          <w:sz w:val="24"/>
          <w:szCs w:val="24"/>
          <w:highlight w:val="none"/>
        </w:rPr>
      </w:pPr>
    </w:p>
    <w:p w14:paraId="546006CB">
      <w:pPr>
        <w:pageBreakBefore w:val="0"/>
        <w:kinsoku/>
        <w:wordWrap/>
        <w:overflowPunct/>
        <w:topLinePunct w:val="0"/>
        <w:autoSpaceDE/>
        <w:autoSpaceDN/>
        <w:bidi w:val="0"/>
        <w:snapToGrid w:val="0"/>
        <w:spacing w:line="360" w:lineRule="auto"/>
        <w:ind w:firstLine="0" w:firstLineChars="0"/>
        <w:rPr>
          <w:rFonts w:hint="default" w:eastAsia="黑体"/>
          <w:bCs/>
          <w:color w:val="auto"/>
          <w:sz w:val="24"/>
          <w:szCs w:val="24"/>
          <w:highlight w:val="none"/>
          <w:lang w:val="en-US" w:eastAsia="zh-CN"/>
        </w:rPr>
      </w:pPr>
      <w:r>
        <w:rPr>
          <w:rFonts w:eastAsia="黑体"/>
          <w:bCs/>
          <w:color w:val="auto"/>
          <w:sz w:val="24"/>
          <w:szCs w:val="24"/>
          <w:highlight w:val="none"/>
        </w:rPr>
        <w:t>项目名称</w:t>
      </w:r>
      <w:r>
        <w:rPr>
          <w:rFonts w:hint="eastAsia" w:eastAsia="黑体"/>
          <w:bCs/>
          <w:color w:val="auto"/>
          <w:sz w:val="24"/>
          <w:szCs w:val="24"/>
          <w:highlight w:val="none"/>
          <w:lang w:eastAsia="zh-CN"/>
        </w:rPr>
        <w:t>：</w:t>
      </w:r>
      <w:r>
        <w:rPr>
          <w:rFonts w:hint="default" w:ascii="Times New Roman" w:hAnsi="Times New Roman" w:eastAsia="黑体" w:cs="Times New Roman"/>
          <w:b w:val="0"/>
          <w:bCs/>
          <w:color w:val="auto"/>
          <w:sz w:val="24"/>
          <w:szCs w:val="24"/>
          <w:highlight w:val="none"/>
          <w:lang w:val="en-US" w:eastAsia="zh-CN"/>
        </w:rPr>
        <w:t>伊宁县成品油税费农村公路日常养护项目</w:t>
      </w:r>
    </w:p>
    <w:p w14:paraId="49B6CAEA">
      <w:pPr>
        <w:pageBreakBefore w:val="0"/>
        <w:widowControl/>
        <w:kinsoku/>
        <w:wordWrap/>
        <w:overflowPunct/>
        <w:topLinePunct w:val="0"/>
        <w:autoSpaceDE/>
        <w:autoSpaceDN/>
        <w:bidi w:val="0"/>
        <w:snapToGrid w:val="0"/>
        <w:spacing w:line="360" w:lineRule="auto"/>
        <w:ind w:firstLine="0" w:firstLineChars="0"/>
        <w:rPr>
          <w:rFonts w:eastAsia="黑体"/>
          <w:bCs/>
          <w:color w:val="auto"/>
          <w:sz w:val="24"/>
          <w:szCs w:val="24"/>
          <w:highlight w:val="none"/>
        </w:rPr>
      </w:pPr>
      <w:r>
        <w:rPr>
          <w:rFonts w:eastAsia="黑体"/>
          <w:bCs/>
          <w:color w:val="auto"/>
          <w:sz w:val="24"/>
          <w:szCs w:val="24"/>
          <w:highlight w:val="none"/>
        </w:rPr>
        <w:t>委托单位：</w:t>
      </w:r>
      <w:r>
        <w:rPr>
          <w:rFonts w:hint="eastAsia" w:eastAsia="黑体" w:cs="Times New Roman"/>
          <w:b w:val="0"/>
          <w:bCs/>
          <w:color w:val="auto"/>
          <w:sz w:val="24"/>
          <w:szCs w:val="24"/>
          <w:highlight w:val="none"/>
          <w:lang w:val="en-US" w:eastAsia="zh-CN"/>
        </w:rPr>
        <w:t>伊宁县财政局</w:t>
      </w:r>
    </w:p>
    <w:p w14:paraId="7282ADF0">
      <w:pPr>
        <w:pageBreakBefore w:val="0"/>
        <w:widowControl/>
        <w:kinsoku/>
        <w:wordWrap/>
        <w:overflowPunct/>
        <w:topLinePunct w:val="0"/>
        <w:autoSpaceDE/>
        <w:autoSpaceDN/>
        <w:bidi w:val="0"/>
        <w:snapToGrid w:val="0"/>
        <w:spacing w:line="360" w:lineRule="auto"/>
        <w:ind w:firstLine="0" w:firstLineChars="0"/>
        <w:rPr>
          <w:rFonts w:eastAsia="黑体"/>
          <w:bCs/>
          <w:color w:val="auto"/>
          <w:sz w:val="24"/>
          <w:szCs w:val="24"/>
          <w:highlight w:val="none"/>
        </w:rPr>
      </w:pPr>
      <w:r>
        <w:rPr>
          <w:rFonts w:eastAsia="黑体"/>
          <w:bCs/>
          <w:color w:val="auto"/>
          <w:sz w:val="24"/>
          <w:szCs w:val="24"/>
          <w:highlight w:val="none"/>
        </w:rPr>
        <w:t>评价机构：新疆驰远天合有限责任会计师事务所</w:t>
      </w:r>
    </w:p>
    <w:p w14:paraId="3C92F776">
      <w:pPr>
        <w:pageBreakBefore w:val="0"/>
        <w:widowControl/>
        <w:kinsoku/>
        <w:wordWrap/>
        <w:overflowPunct/>
        <w:topLinePunct w:val="0"/>
        <w:autoSpaceDE/>
        <w:autoSpaceDN/>
        <w:bidi w:val="0"/>
        <w:snapToGrid w:val="0"/>
        <w:spacing w:line="360" w:lineRule="auto"/>
        <w:ind w:firstLine="0" w:firstLineChars="0"/>
        <w:rPr>
          <w:rFonts w:eastAsia="黑体"/>
          <w:bCs/>
          <w:color w:val="auto"/>
          <w:sz w:val="24"/>
          <w:szCs w:val="24"/>
          <w:highlight w:val="none"/>
        </w:rPr>
      </w:pPr>
      <w:r>
        <w:rPr>
          <w:rFonts w:eastAsia="黑体"/>
          <w:bCs/>
          <w:color w:val="auto"/>
          <w:sz w:val="24"/>
          <w:szCs w:val="24"/>
          <w:highlight w:val="none"/>
        </w:rPr>
        <w:t>机构负责人：孙卫红</w:t>
      </w:r>
    </w:p>
    <w:p w14:paraId="24D3577E">
      <w:pPr>
        <w:pageBreakBefore w:val="0"/>
        <w:widowControl/>
        <w:kinsoku/>
        <w:wordWrap/>
        <w:overflowPunct/>
        <w:topLinePunct w:val="0"/>
        <w:autoSpaceDE/>
        <w:autoSpaceDN/>
        <w:bidi w:val="0"/>
        <w:snapToGrid w:val="0"/>
        <w:spacing w:line="360" w:lineRule="auto"/>
        <w:ind w:firstLine="0" w:firstLineChars="0"/>
        <w:rPr>
          <w:rFonts w:eastAsia="黑体"/>
          <w:bCs/>
          <w:color w:val="auto"/>
          <w:sz w:val="24"/>
          <w:szCs w:val="24"/>
          <w:highlight w:val="none"/>
        </w:rPr>
      </w:pPr>
      <w:r>
        <w:rPr>
          <w:rFonts w:eastAsia="黑体"/>
          <w:bCs/>
          <w:color w:val="auto"/>
          <w:sz w:val="24"/>
          <w:szCs w:val="24"/>
          <w:highlight w:val="none"/>
        </w:rPr>
        <w:t>联系方式：0991-2835917、0991-2831583</w:t>
      </w:r>
    </w:p>
    <w:p w14:paraId="44F4D698">
      <w:pPr>
        <w:pageBreakBefore w:val="0"/>
        <w:widowControl/>
        <w:kinsoku/>
        <w:wordWrap/>
        <w:overflowPunct/>
        <w:topLinePunct w:val="0"/>
        <w:autoSpaceDE/>
        <w:autoSpaceDN/>
        <w:bidi w:val="0"/>
        <w:snapToGrid w:val="0"/>
        <w:spacing w:line="360" w:lineRule="auto"/>
        <w:ind w:firstLine="0" w:firstLineChars="0"/>
        <w:rPr>
          <w:rFonts w:eastAsia="黑体"/>
          <w:bCs/>
          <w:color w:val="auto"/>
          <w:sz w:val="24"/>
          <w:szCs w:val="24"/>
          <w:highlight w:val="none"/>
        </w:rPr>
      </w:pPr>
      <w:r>
        <w:rPr>
          <w:rFonts w:eastAsia="黑体"/>
          <w:bCs/>
          <w:color w:val="auto"/>
          <w:sz w:val="24"/>
          <w:szCs w:val="24"/>
          <w:highlight w:val="none"/>
        </w:rPr>
        <w:t>通讯地址：新疆乌鲁木齐市天山区新华南路9号汇源大厦13楼</w:t>
      </w:r>
    </w:p>
    <w:p w14:paraId="1E13FA55">
      <w:pPr>
        <w:pageBreakBefore w:val="0"/>
        <w:widowControl/>
        <w:kinsoku/>
        <w:wordWrap/>
        <w:overflowPunct/>
        <w:topLinePunct w:val="0"/>
        <w:autoSpaceDE/>
        <w:autoSpaceDN/>
        <w:bidi w:val="0"/>
        <w:snapToGrid w:val="0"/>
        <w:spacing w:line="360" w:lineRule="auto"/>
        <w:ind w:firstLine="0" w:firstLineChars="0"/>
        <w:rPr>
          <w:rFonts w:eastAsia="黑体"/>
          <w:bCs/>
          <w:color w:val="auto"/>
          <w:sz w:val="24"/>
          <w:szCs w:val="24"/>
          <w:highlight w:val="none"/>
        </w:rPr>
      </w:pPr>
      <w:r>
        <w:rPr>
          <w:rFonts w:eastAsia="黑体"/>
          <w:bCs/>
          <w:color w:val="auto"/>
          <w:sz w:val="24"/>
          <w:szCs w:val="24"/>
          <w:highlight w:val="none"/>
        </w:rPr>
        <w:t>邮政编码：830004</w:t>
      </w:r>
    </w:p>
    <w:p w14:paraId="0E6CCF16">
      <w:pPr>
        <w:pageBreakBefore w:val="0"/>
        <w:widowControl/>
        <w:kinsoku/>
        <w:wordWrap/>
        <w:overflowPunct/>
        <w:topLinePunct w:val="0"/>
        <w:autoSpaceDE/>
        <w:autoSpaceDN/>
        <w:bidi w:val="0"/>
        <w:snapToGrid w:val="0"/>
        <w:spacing w:line="360" w:lineRule="auto"/>
        <w:ind w:firstLine="0" w:firstLineChars="0"/>
        <w:rPr>
          <w:rFonts w:eastAsia="黑体"/>
          <w:bCs/>
          <w:color w:val="auto"/>
          <w:sz w:val="24"/>
          <w:szCs w:val="24"/>
          <w:highlight w:val="none"/>
        </w:rPr>
      </w:pPr>
    </w:p>
    <w:p w14:paraId="558489F9">
      <w:pPr>
        <w:pageBreakBefore w:val="0"/>
        <w:widowControl/>
        <w:kinsoku/>
        <w:wordWrap/>
        <w:overflowPunct/>
        <w:topLinePunct w:val="0"/>
        <w:autoSpaceDE/>
        <w:autoSpaceDN/>
        <w:bidi w:val="0"/>
        <w:snapToGrid w:val="0"/>
        <w:spacing w:line="360" w:lineRule="auto"/>
        <w:ind w:firstLine="0" w:firstLineChars="0"/>
        <w:rPr>
          <w:rFonts w:eastAsia="黑体"/>
          <w:bCs/>
          <w:color w:val="auto"/>
          <w:sz w:val="24"/>
          <w:szCs w:val="24"/>
          <w:highlight w:val="none"/>
        </w:rPr>
      </w:pPr>
    </w:p>
    <w:p w14:paraId="5913D276">
      <w:pPr>
        <w:widowControl/>
        <w:spacing w:line="360" w:lineRule="auto"/>
        <w:ind w:firstLine="0" w:firstLineChars="0"/>
        <w:rPr>
          <w:rFonts w:eastAsia="黑体"/>
          <w:bCs/>
          <w:color w:val="auto"/>
          <w:sz w:val="24"/>
          <w:szCs w:val="24"/>
          <w:highlight w:val="none"/>
        </w:rPr>
      </w:pPr>
      <w:r>
        <w:rPr>
          <w:rFonts w:eastAsia="黑体"/>
          <w:bCs/>
          <w:color w:val="auto"/>
          <w:sz w:val="24"/>
          <w:szCs w:val="24"/>
          <w:highlight w:val="none"/>
        </w:rPr>
        <w:t>项目评价小组成员：</w:t>
      </w:r>
    </w:p>
    <w:p w14:paraId="0DC269EB">
      <w:pPr>
        <w:widowControl/>
        <w:spacing w:line="360" w:lineRule="auto"/>
        <w:ind w:firstLine="480"/>
        <w:rPr>
          <w:rFonts w:eastAsia="黑体"/>
          <w:bCs/>
          <w:color w:val="auto"/>
          <w:sz w:val="24"/>
          <w:szCs w:val="24"/>
          <w:highlight w:val="none"/>
        </w:rPr>
      </w:pPr>
      <w:r>
        <w:rPr>
          <w:rFonts w:hint="eastAsia" w:eastAsia="黑体"/>
          <w:bCs/>
          <w:color w:val="auto"/>
          <w:sz w:val="24"/>
          <w:szCs w:val="24"/>
          <w:highlight w:val="none"/>
        </w:rPr>
        <w:t>项目</w:t>
      </w:r>
      <w:r>
        <w:rPr>
          <w:rFonts w:eastAsia="黑体"/>
          <w:bCs/>
          <w:color w:val="auto"/>
          <w:sz w:val="24"/>
          <w:szCs w:val="24"/>
          <w:highlight w:val="none"/>
        </w:rPr>
        <w:t>主评人：</w:t>
      </w:r>
      <w:r>
        <w:rPr>
          <w:rFonts w:hint="eastAsia" w:eastAsia="黑体"/>
          <w:bCs/>
          <w:color w:val="auto"/>
          <w:sz w:val="24"/>
          <w:szCs w:val="24"/>
          <w:highlight w:val="none"/>
        </w:rPr>
        <w:t>冯延萍  注册会计师、注册评估师</w:t>
      </w:r>
    </w:p>
    <w:p w14:paraId="3C87499D">
      <w:pPr>
        <w:widowControl/>
        <w:spacing w:line="360" w:lineRule="auto"/>
        <w:ind w:firstLine="480"/>
        <w:rPr>
          <w:rFonts w:eastAsia="黑体"/>
          <w:bCs/>
          <w:color w:val="auto"/>
          <w:sz w:val="24"/>
          <w:szCs w:val="24"/>
          <w:highlight w:val="none"/>
        </w:rPr>
      </w:pPr>
      <w:r>
        <w:rPr>
          <w:rFonts w:hint="eastAsia" w:eastAsia="黑体"/>
          <w:bCs/>
          <w:color w:val="auto"/>
          <w:sz w:val="24"/>
          <w:szCs w:val="24"/>
          <w:highlight w:val="none"/>
        </w:rPr>
        <w:t>报告</w:t>
      </w:r>
      <w:r>
        <w:rPr>
          <w:rFonts w:eastAsia="黑体"/>
          <w:bCs/>
          <w:color w:val="auto"/>
          <w:sz w:val="24"/>
          <w:szCs w:val="24"/>
          <w:highlight w:val="none"/>
        </w:rPr>
        <w:t>复核人：</w:t>
      </w:r>
      <w:r>
        <w:rPr>
          <w:rFonts w:hint="eastAsia" w:eastAsia="黑体"/>
          <w:bCs/>
          <w:color w:val="auto"/>
          <w:sz w:val="24"/>
          <w:szCs w:val="24"/>
          <w:highlight w:val="none"/>
        </w:rPr>
        <w:t xml:space="preserve">腊晓林  </w:t>
      </w:r>
      <w:r>
        <w:rPr>
          <w:rFonts w:hint="eastAsia" w:eastAsia="黑体"/>
          <w:bCs/>
          <w:color w:val="auto"/>
          <w:sz w:val="24"/>
          <w:szCs w:val="24"/>
          <w:highlight w:val="none"/>
          <w:lang w:val="en-US" w:eastAsia="zh-CN"/>
        </w:rPr>
        <w:t>注册咨询师</w:t>
      </w:r>
    </w:p>
    <w:p w14:paraId="51CE2C5A">
      <w:pPr>
        <w:widowControl/>
        <w:spacing w:line="360" w:lineRule="auto"/>
        <w:ind w:firstLine="480"/>
        <w:rPr>
          <w:rFonts w:eastAsia="黑体"/>
          <w:bCs/>
          <w:color w:val="auto"/>
          <w:sz w:val="24"/>
          <w:szCs w:val="24"/>
          <w:highlight w:val="none"/>
        </w:rPr>
      </w:pPr>
      <w:r>
        <w:rPr>
          <w:rFonts w:hint="eastAsia" w:eastAsia="黑体"/>
          <w:bCs/>
          <w:color w:val="auto"/>
          <w:sz w:val="24"/>
          <w:szCs w:val="24"/>
          <w:highlight w:val="none"/>
        </w:rPr>
        <w:t>项目负责人</w:t>
      </w:r>
      <w:r>
        <w:rPr>
          <w:rFonts w:eastAsia="黑体"/>
          <w:bCs/>
          <w:color w:val="auto"/>
          <w:sz w:val="24"/>
          <w:szCs w:val="24"/>
          <w:highlight w:val="none"/>
        </w:rPr>
        <w:t>：</w:t>
      </w:r>
      <w:r>
        <w:rPr>
          <w:rFonts w:hint="eastAsia" w:eastAsia="黑体"/>
          <w:bCs/>
          <w:color w:val="auto"/>
          <w:sz w:val="24"/>
          <w:szCs w:val="24"/>
          <w:highlight w:val="none"/>
          <w:lang w:val="en-US" w:eastAsia="zh-CN"/>
        </w:rPr>
        <w:t>张 珊   中级经济师</w:t>
      </w:r>
    </w:p>
    <w:p w14:paraId="4A98200E">
      <w:pPr>
        <w:keepNext/>
        <w:keepLines/>
        <w:pageBreakBefore w:val="0"/>
        <w:kinsoku/>
        <w:wordWrap/>
        <w:overflowPunct/>
        <w:topLinePunct w:val="0"/>
        <w:autoSpaceDE/>
        <w:autoSpaceDN/>
        <w:bidi w:val="0"/>
        <w:adjustRightInd/>
        <w:snapToGrid w:val="0"/>
        <w:spacing w:line="360" w:lineRule="auto"/>
        <w:ind w:firstLine="480" w:firstLineChars="200"/>
        <w:rPr>
          <w:rFonts w:eastAsia="黑体"/>
          <w:bCs/>
          <w:color w:val="auto"/>
          <w:sz w:val="24"/>
          <w:szCs w:val="24"/>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440" w:right="1797" w:bottom="1440" w:left="1797" w:header="851" w:footer="907" w:gutter="0"/>
          <w:pgNumType w:fmt="upperRoman" w:start="1"/>
          <w:cols w:space="720" w:num="1"/>
          <w:docGrid w:type="lines" w:linePitch="312" w:charSpace="0"/>
        </w:sectPr>
      </w:pPr>
      <w:r>
        <w:rPr>
          <w:rFonts w:hint="eastAsia" w:eastAsia="黑体"/>
          <w:bCs/>
          <w:color w:val="auto"/>
          <w:sz w:val="24"/>
          <w:szCs w:val="24"/>
          <w:highlight w:val="none"/>
        </w:rPr>
        <w:t>项目组成员</w:t>
      </w:r>
      <w:r>
        <w:rPr>
          <w:rFonts w:eastAsia="黑体"/>
          <w:bCs/>
          <w:color w:val="auto"/>
          <w:sz w:val="24"/>
          <w:szCs w:val="24"/>
          <w:highlight w:val="none"/>
        </w:rPr>
        <w:t>：</w:t>
      </w:r>
      <w:r>
        <w:rPr>
          <w:rFonts w:hint="eastAsia" w:eastAsia="黑体"/>
          <w:bCs/>
          <w:color w:val="auto"/>
          <w:sz w:val="24"/>
          <w:szCs w:val="24"/>
          <w:highlight w:val="none"/>
          <w:lang w:val="en-US" w:eastAsia="zh-CN"/>
        </w:rPr>
        <w:t>孙 婕</w:t>
      </w:r>
    </w:p>
    <w:p w14:paraId="4C4BBAD0">
      <w:pPr>
        <w:pStyle w:val="4"/>
        <w:pageBreakBefore w:val="0"/>
        <w:kinsoku/>
        <w:wordWrap/>
        <w:overflowPunct/>
        <w:topLinePunct w:val="0"/>
        <w:autoSpaceDE/>
        <w:autoSpaceDN/>
        <w:bidi w:val="0"/>
        <w:snapToGrid w:val="0"/>
        <w:spacing w:line="360" w:lineRule="auto"/>
        <w:ind w:firstLine="0" w:firstLineChars="0"/>
        <w:jc w:val="center"/>
        <w:rPr>
          <w:color w:val="auto"/>
          <w:highlight w:val="none"/>
        </w:rPr>
      </w:pPr>
      <w:bookmarkStart w:id="0" w:name="_Toc16666"/>
      <w:bookmarkStart w:id="1" w:name="_Toc26712"/>
      <w:bookmarkStart w:id="2" w:name="_Toc19919"/>
      <w:bookmarkStart w:id="3" w:name="_Toc17859"/>
      <w:bookmarkStart w:id="4" w:name="_Toc9680"/>
      <w:bookmarkStart w:id="5" w:name="_Toc10292"/>
      <w:bookmarkStart w:id="6" w:name="_Toc1890963630"/>
      <w:bookmarkStart w:id="7" w:name="_Toc13486"/>
      <w:bookmarkStart w:id="8" w:name="_Toc27606"/>
      <w:bookmarkStart w:id="9" w:name="_Toc930682738"/>
      <w:r>
        <w:rPr>
          <w:color w:val="auto"/>
          <w:szCs w:val="32"/>
          <w:highlight w:val="none"/>
        </w:rPr>
        <w:t>报告摘要</w:t>
      </w:r>
      <w:bookmarkEnd w:id="0"/>
      <w:bookmarkEnd w:id="1"/>
      <w:bookmarkEnd w:id="2"/>
      <w:bookmarkEnd w:id="3"/>
      <w:bookmarkEnd w:id="4"/>
      <w:bookmarkEnd w:id="5"/>
      <w:bookmarkEnd w:id="6"/>
      <w:bookmarkEnd w:id="7"/>
      <w:bookmarkEnd w:id="8"/>
      <w:bookmarkEnd w:id="9"/>
    </w:p>
    <w:p w14:paraId="3FA28312">
      <w:pPr>
        <w:pageBreakBefore w:val="0"/>
        <w:kinsoku/>
        <w:wordWrap/>
        <w:overflowPunct/>
        <w:topLinePunct w:val="0"/>
        <w:autoSpaceDE/>
        <w:autoSpaceDN/>
        <w:bidi w:val="0"/>
        <w:snapToGrid w:val="0"/>
        <w:spacing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受</w:t>
      </w:r>
      <w:r>
        <w:rPr>
          <w:rFonts w:hint="eastAsia" w:ascii="Times New Roman" w:hAnsi="Times New Roman" w:eastAsia="宋体" w:cs="Times New Roman"/>
          <w:color w:val="auto"/>
          <w:highlight w:val="none"/>
          <w:lang w:val="en-US" w:eastAsia="zh-CN"/>
        </w:rPr>
        <w:t>伊宁县财政局</w:t>
      </w:r>
      <w:r>
        <w:rPr>
          <w:rFonts w:ascii="Times New Roman" w:hAnsi="Times New Roman" w:eastAsia="宋体" w:cs="Times New Roman"/>
          <w:color w:val="auto"/>
          <w:highlight w:val="none"/>
        </w:rPr>
        <w:t>委托，新疆驰远天合有限责任会计师事务所以第三方社会评价机构的身份，对</w:t>
      </w:r>
      <w:r>
        <w:rPr>
          <w:rFonts w:hint="eastAsia" w:ascii="Times New Roman" w:hAnsi="Times New Roman" w:eastAsia="宋体" w:cs="Times New Roman"/>
          <w:color w:val="auto"/>
          <w:highlight w:val="none"/>
          <w:lang w:val="en-US" w:eastAsia="zh-CN"/>
        </w:rPr>
        <w:t>2024</w:t>
      </w:r>
      <w:r>
        <w:rPr>
          <w:rFonts w:ascii="Times New Roman" w:hAnsi="Times New Roman" w:eastAsia="宋体" w:cs="Times New Roman"/>
          <w:color w:val="auto"/>
          <w:highlight w:val="none"/>
        </w:rPr>
        <w:t>年度</w:t>
      </w:r>
      <w:r>
        <w:rPr>
          <w:rFonts w:hint="eastAsia" w:ascii="Times New Roman" w:hAnsi="Times New Roman" w:eastAsia="宋体" w:cs="Times New Roman"/>
          <w:color w:val="auto"/>
          <w:highlight w:val="none"/>
          <w:lang w:val="en-US" w:eastAsia="zh-CN"/>
        </w:rPr>
        <w:t>伊宁县交通运输局</w:t>
      </w:r>
      <w:r>
        <w:rPr>
          <w:rFonts w:ascii="Times New Roman" w:hAnsi="Times New Roman" w:eastAsia="宋体" w:cs="Times New Roman"/>
          <w:color w:val="auto"/>
          <w:highlight w:val="none"/>
        </w:rPr>
        <w:t>实施的</w:t>
      </w:r>
      <w:r>
        <w:rPr>
          <w:rFonts w:hint="default" w:ascii="Times New Roman" w:hAnsi="Times New Roman" w:eastAsia="宋体" w:cs="Times New Roman"/>
          <w:color w:val="auto"/>
          <w:highlight w:val="none"/>
          <w:lang w:val="en-US" w:eastAsia="zh-CN"/>
        </w:rPr>
        <w:t>成品油税费农村公路日常养护</w:t>
      </w:r>
      <w:r>
        <w:rPr>
          <w:rFonts w:hint="eastAsia" w:ascii="Times New Roman" w:hAnsi="Times New Roman" w:eastAsia="宋体" w:cs="Times New Roman"/>
          <w:color w:val="auto"/>
          <w:highlight w:val="none"/>
          <w:lang w:val="en-US" w:eastAsia="zh-CN"/>
        </w:rPr>
        <w:t>项目</w:t>
      </w:r>
      <w:r>
        <w:rPr>
          <w:rFonts w:ascii="Times New Roman" w:hAnsi="Times New Roman" w:eastAsia="宋体" w:cs="Times New Roman"/>
          <w:color w:val="auto"/>
          <w:highlight w:val="none"/>
        </w:rPr>
        <w:t>开展了绩效评价工作并形成绩效评价报告，评价情况如下：</w:t>
      </w:r>
    </w:p>
    <w:p w14:paraId="770AD5BE">
      <w:pPr>
        <w:pageBreakBefore w:val="0"/>
        <w:kinsoku/>
        <w:wordWrap/>
        <w:overflowPunct/>
        <w:topLinePunct w:val="0"/>
        <w:autoSpaceDE/>
        <w:autoSpaceDN/>
        <w:bidi w:val="0"/>
        <w:snapToGrid w:val="0"/>
        <w:spacing w:line="360" w:lineRule="auto"/>
        <w:ind w:firstLine="482"/>
        <w:rPr>
          <w:rFonts w:ascii="Times New Roman" w:hAnsi="Times New Roman" w:eastAsia="宋体" w:cs="Times New Roman"/>
          <w:b/>
          <w:bCs/>
          <w:color w:val="auto"/>
          <w:sz w:val="24"/>
          <w:szCs w:val="28"/>
          <w:highlight w:val="none"/>
        </w:rPr>
      </w:pPr>
      <w:r>
        <w:rPr>
          <w:rFonts w:ascii="Times New Roman" w:hAnsi="Times New Roman" w:eastAsia="宋体" w:cs="Times New Roman"/>
          <w:b/>
          <w:bCs/>
          <w:color w:val="auto"/>
          <w:sz w:val="24"/>
          <w:szCs w:val="28"/>
          <w:highlight w:val="none"/>
        </w:rPr>
        <w:t>一、基本情况</w:t>
      </w:r>
    </w:p>
    <w:p w14:paraId="23895353">
      <w:pPr>
        <w:pageBreakBefore w:val="0"/>
        <w:kinsoku/>
        <w:wordWrap/>
        <w:overflowPunct/>
        <w:topLinePunct w:val="0"/>
        <w:autoSpaceDE/>
        <w:autoSpaceDN/>
        <w:bidi w:val="0"/>
        <w:snapToGrid w:val="0"/>
        <w:spacing w:line="360" w:lineRule="auto"/>
        <w:ind w:firstLine="422"/>
        <w:rPr>
          <w:rFonts w:ascii="Times New Roman" w:hAnsi="Times New Roman" w:eastAsia="宋体" w:cs="Times New Roman"/>
          <w:b/>
          <w:bCs/>
          <w:color w:val="auto"/>
          <w:sz w:val="24"/>
          <w:szCs w:val="28"/>
          <w:highlight w:val="none"/>
        </w:rPr>
      </w:pPr>
      <w:r>
        <w:rPr>
          <w:rFonts w:ascii="Times New Roman" w:hAnsi="Times New Roman" w:eastAsia="宋体" w:cs="Times New Roman"/>
          <w:b/>
          <w:bCs/>
          <w:color w:val="auto"/>
          <w:sz w:val="24"/>
          <w:szCs w:val="28"/>
          <w:highlight w:val="none"/>
        </w:rPr>
        <w:t>（一）项目背景</w:t>
      </w:r>
    </w:p>
    <w:p w14:paraId="0668CD15">
      <w:pPr>
        <w:pageBreakBefore w:val="0"/>
        <w:kinsoku/>
        <w:wordWrap/>
        <w:overflowPunct/>
        <w:topLinePunct w:val="0"/>
        <w:autoSpaceDE/>
        <w:autoSpaceDN/>
        <w:bidi w:val="0"/>
        <w:snapToGrid w:val="0"/>
        <w:spacing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党的十八大以来，习近平总书记高度重视农村公路工作，多次对“四好农村路”（建设好、管理好、养护好、运营好）作出重要指示批示。为贯彻落实好习近平总书记重要指示批示精神，切实解决好养护、管理的短板问题，2019年9月5日，国务院办公厅印发了《关于深化农村公路管理养护体制改革的意见》（国办发〔2019〕45号），重点提出三方面政策举措：一是完善农村公路管理养护体制；二是强化农村公路管理养护资金保障；三是建立农村公路管理养护长效机制。为深入贯彻习近平总书记关于“四好农村路”重要指示精神，认真落实《国务院办公厅关于深化农村公路管理养护体制改革的意见》（国办发〔2019〕45号）《新疆维吾尔自治区深化农村公路管理养护体制改革实施方案的通知》（新政办发〔2020〕24号），进一步加强伊宁县农村公路管理养护工作，促进农村公路持续健康发展，伊宁县交通运输局结合地区实际情况，认真组织农村公路日常养护工作，及时对辖区农村公路开展摸底排查，制定2024年度农村公路日常养护计划，申请实施农村公路日常养护项目，改善农村交通运输状况、农村居住生活环境和乡村面貌，促进城乡交流、资源转换、农村传统产业快速升级，带动乡村旅游，促进地区经济的发展。</w:t>
      </w:r>
    </w:p>
    <w:p w14:paraId="2DFD6E96">
      <w:pPr>
        <w:pageBreakBefore w:val="0"/>
        <w:kinsoku/>
        <w:wordWrap/>
        <w:overflowPunct/>
        <w:topLinePunct w:val="0"/>
        <w:autoSpaceDE/>
        <w:autoSpaceDN/>
        <w:bidi w:val="0"/>
        <w:snapToGrid w:val="0"/>
        <w:spacing w:line="360" w:lineRule="auto"/>
        <w:ind w:firstLine="422"/>
        <w:rPr>
          <w:rFonts w:ascii="Times New Roman" w:hAnsi="Times New Roman" w:eastAsia="宋体" w:cs="Times New Roman"/>
          <w:b/>
          <w:bCs/>
          <w:color w:val="auto"/>
          <w:sz w:val="24"/>
          <w:szCs w:val="28"/>
          <w:highlight w:val="none"/>
        </w:rPr>
      </w:pPr>
      <w:r>
        <w:rPr>
          <w:rFonts w:ascii="Times New Roman" w:hAnsi="Times New Roman" w:eastAsia="宋体" w:cs="Times New Roman"/>
          <w:b/>
          <w:bCs/>
          <w:color w:val="auto"/>
          <w:sz w:val="24"/>
          <w:szCs w:val="28"/>
          <w:highlight w:val="none"/>
        </w:rPr>
        <w:t>（二）项目概况</w:t>
      </w:r>
    </w:p>
    <w:p w14:paraId="3A086020">
      <w:pPr>
        <w:pageBreakBefore w:val="0"/>
        <w:kinsoku/>
        <w:wordWrap/>
        <w:overflowPunct/>
        <w:topLinePunct w:val="0"/>
        <w:autoSpaceDE/>
        <w:autoSpaceDN/>
        <w:bidi w:val="0"/>
        <w:snapToGrid w:val="0"/>
        <w:spacing w:line="360" w:lineRule="auto"/>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项目名称：伊宁县</w:t>
      </w:r>
      <w:r>
        <w:rPr>
          <w:rFonts w:hint="default" w:ascii="Times New Roman" w:hAnsi="Times New Roman" w:eastAsia="宋体" w:cs="Times New Roman"/>
          <w:color w:val="auto"/>
          <w:highlight w:val="none"/>
          <w:lang w:val="en-US" w:eastAsia="zh-CN"/>
        </w:rPr>
        <w:t>成品油税费农村公路日常养护项目</w:t>
      </w:r>
      <w:r>
        <w:rPr>
          <w:rFonts w:hint="eastAsia" w:ascii="Times New Roman" w:hAnsi="Times New Roman" w:eastAsia="宋体" w:cs="Times New Roman"/>
          <w:color w:val="auto"/>
          <w:highlight w:val="none"/>
          <w:lang w:val="en-US" w:eastAsia="zh-CN"/>
        </w:rPr>
        <w:t>（以下简称“该项目”或“项目”）</w:t>
      </w:r>
    </w:p>
    <w:p w14:paraId="4DA056BA">
      <w:pPr>
        <w:pageBreakBefore w:val="0"/>
        <w:kinsoku/>
        <w:wordWrap/>
        <w:overflowPunct/>
        <w:topLinePunct w:val="0"/>
        <w:autoSpaceDE/>
        <w:autoSpaceDN/>
        <w:bidi w:val="0"/>
        <w:snapToGrid w:val="0"/>
        <w:spacing w:line="360" w:lineRule="auto"/>
        <w:ind w:firstLine="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项目实施单位：伊宁县交通运输局</w:t>
      </w:r>
    </w:p>
    <w:p w14:paraId="1321C0F0">
      <w:pPr>
        <w:pageBreakBefore w:val="0"/>
        <w:kinsoku/>
        <w:wordWrap/>
        <w:overflowPunct/>
        <w:topLinePunct w:val="0"/>
        <w:autoSpaceDE/>
        <w:autoSpaceDN/>
        <w:bidi w:val="0"/>
        <w:snapToGrid w:val="0"/>
        <w:spacing w:line="360" w:lineRule="auto"/>
        <w:ind w:firstLine="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项目实施内容：对伊宁县27条县乡村道路合计214.2公里进行路基路面日常养护</w:t>
      </w:r>
      <w:r>
        <w:rPr>
          <w:rFonts w:hint="eastAsia" w:eastAsia="宋体" w:cs="Times New Roman"/>
          <w:color w:val="auto"/>
          <w:highlight w:val="none"/>
          <w:lang w:val="en-US" w:eastAsia="zh-CN"/>
        </w:rPr>
        <w:t>，包括</w:t>
      </w:r>
      <w:r>
        <w:rPr>
          <w:rFonts w:hint="eastAsia" w:ascii="Times New Roman" w:hAnsi="Times New Roman" w:eastAsia="宋体" w:cs="Times New Roman"/>
          <w:color w:val="auto"/>
          <w:highlight w:val="none"/>
        </w:rPr>
        <w:t>县道</w:t>
      </w:r>
      <w:r>
        <w:rPr>
          <w:rFonts w:hint="eastAsia" w:ascii="Times New Roman" w:hAnsi="Times New Roman" w:eastAsia="宋体" w:cs="Times New Roman"/>
          <w:color w:val="auto"/>
          <w:highlight w:val="none"/>
          <w:lang w:val="en-US" w:eastAsia="zh-CN"/>
        </w:rPr>
        <w:t>6</w:t>
      </w:r>
      <w:r>
        <w:rPr>
          <w:rFonts w:hint="eastAsia" w:ascii="Times New Roman" w:hAnsi="Times New Roman" w:eastAsia="宋体" w:cs="Times New Roman"/>
          <w:color w:val="auto"/>
          <w:highlight w:val="none"/>
        </w:rPr>
        <w:t>条合计</w:t>
      </w:r>
      <w:r>
        <w:rPr>
          <w:rFonts w:hint="eastAsia" w:ascii="Times New Roman" w:hAnsi="Times New Roman" w:eastAsia="宋体" w:cs="Times New Roman"/>
          <w:color w:val="auto"/>
          <w:highlight w:val="none"/>
          <w:lang w:val="en-US" w:eastAsia="zh-CN"/>
        </w:rPr>
        <w:t>6</w:t>
      </w:r>
      <w:r>
        <w:rPr>
          <w:rFonts w:hint="eastAsia" w:ascii="Times New Roman" w:hAnsi="Times New Roman" w:eastAsia="宋体" w:cs="Times New Roman"/>
          <w:color w:val="auto"/>
          <w:highlight w:val="none"/>
        </w:rPr>
        <w:t>7.5</w:t>
      </w:r>
      <w:r>
        <w:rPr>
          <w:rFonts w:hint="eastAsia" w:eastAsia="宋体" w:cs="Times New Roman"/>
          <w:color w:val="auto"/>
          <w:highlight w:val="none"/>
          <w:lang w:eastAsia="zh-CN"/>
        </w:rPr>
        <w:t>公里，</w:t>
      </w:r>
      <w:r>
        <w:rPr>
          <w:rFonts w:hint="eastAsia" w:ascii="Times New Roman" w:hAnsi="Times New Roman" w:eastAsia="宋体" w:cs="Times New Roman"/>
          <w:color w:val="auto"/>
          <w:highlight w:val="none"/>
        </w:rPr>
        <w:t>乡道8条合计43.9</w:t>
      </w:r>
      <w:r>
        <w:rPr>
          <w:rFonts w:hint="eastAsia" w:eastAsia="宋体" w:cs="Times New Roman"/>
          <w:color w:val="auto"/>
          <w:highlight w:val="none"/>
          <w:lang w:eastAsia="zh-CN"/>
        </w:rPr>
        <w:t>公里，</w:t>
      </w:r>
      <w:r>
        <w:rPr>
          <w:rFonts w:hint="eastAsia" w:ascii="Times New Roman" w:hAnsi="Times New Roman" w:eastAsia="宋体" w:cs="Times New Roman"/>
          <w:color w:val="auto"/>
          <w:highlight w:val="none"/>
        </w:rPr>
        <w:t>村道13条合计102.</w:t>
      </w:r>
      <w:r>
        <w:rPr>
          <w:rFonts w:hint="eastAsia" w:eastAsia="宋体" w:cs="Times New Roman"/>
          <w:color w:val="auto"/>
          <w:highlight w:val="none"/>
          <w:lang w:val="en-US" w:eastAsia="zh-CN"/>
        </w:rPr>
        <w:t>8</w:t>
      </w:r>
      <w:r>
        <w:rPr>
          <w:rFonts w:hint="eastAsia" w:eastAsia="宋体" w:cs="Times New Roman"/>
          <w:color w:val="auto"/>
          <w:highlight w:val="none"/>
          <w:lang w:eastAsia="zh-CN"/>
        </w:rPr>
        <w:t>公里</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通过项目的实施改善伊宁县乡村道路基础条件，保障出行安全，降低交通风险</w:t>
      </w:r>
      <w:r>
        <w:rPr>
          <w:rFonts w:hint="eastAsia" w:ascii="Times New Roman" w:hAnsi="Times New Roman" w:eastAsia="宋体" w:cs="Times New Roman"/>
          <w:color w:val="auto"/>
          <w:highlight w:val="none"/>
          <w:lang w:eastAsia="zh-CN"/>
        </w:rPr>
        <w:t>，带动沿线的经济发展。</w:t>
      </w:r>
    </w:p>
    <w:p w14:paraId="752B0AA1">
      <w:pPr>
        <w:pageBreakBefore w:val="0"/>
        <w:kinsoku/>
        <w:wordWrap/>
        <w:overflowPunct/>
        <w:topLinePunct w:val="0"/>
        <w:autoSpaceDE/>
        <w:autoSpaceDN/>
        <w:bidi w:val="0"/>
        <w:snapToGrid w:val="0"/>
        <w:spacing w:line="360" w:lineRule="auto"/>
        <w:ind w:firstLine="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投资概算情况：该项目投资概算总额为272.53万元，</w:t>
      </w:r>
      <w:r>
        <w:rPr>
          <w:rFonts w:hint="eastAsia" w:ascii="Times New Roman" w:hAnsi="Times New Roman" w:eastAsia="宋体" w:cs="Times New Roman"/>
          <w:color w:val="auto"/>
          <w:highlight w:val="none"/>
        </w:rPr>
        <w:t>其中</w:t>
      </w:r>
      <w:r>
        <w:rPr>
          <w:rFonts w:hint="eastAsia" w:eastAsia="宋体" w:cs="Times New Roman"/>
          <w:color w:val="auto"/>
          <w:highlight w:val="none"/>
          <w:lang w:eastAsia="zh-CN"/>
        </w:rPr>
        <w:t>：</w:t>
      </w:r>
      <w:r>
        <w:rPr>
          <w:rFonts w:hint="eastAsia" w:ascii="Times New Roman" w:hAnsi="Times New Roman" w:eastAsia="宋体" w:cs="Times New Roman"/>
          <w:color w:val="auto"/>
          <w:highlight w:val="none"/>
        </w:rPr>
        <w:t>建安费224.9</w:t>
      </w:r>
      <w:r>
        <w:rPr>
          <w:rFonts w:hint="eastAsia" w:ascii="Times New Roman" w:hAnsi="Times New Roman" w:eastAsia="宋体" w:cs="Times New Roman"/>
          <w:color w:val="auto"/>
          <w:highlight w:val="none"/>
          <w:lang w:val="en-US" w:eastAsia="zh-CN"/>
        </w:rPr>
        <w:t>9</w:t>
      </w:r>
      <w:r>
        <w:rPr>
          <w:rFonts w:hint="eastAsia" w:ascii="Times New Roman" w:hAnsi="Times New Roman" w:eastAsia="宋体" w:cs="Times New Roman"/>
          <w:color w:val="auto"/>
          <w:highlight w:val="none"/>
        </w:rPr>
        <w:t>万元，工程建设其他费</w:t>
      </w:r>
      <w:r>
        <w:rPr>
          <w:rFonts w:hint="eastAsia" w:ascii="Times New Roman" w:hAnsi="Times New Roman" w:eastAsia="宋体" w:cs="Times New Roman"/>
          <w:color w:val="auto"/>
          <w:highlight w:val="none"/>
          <w:lang w:val="en-US" w:eastAsia="zh-CN"/>
        </w:rPr>
        <w:t>39.60</w:t>
      </w:r>
      <w:r>
        <w:rPr>
          <w:rFonts w:hint="eastAsia" w:ascii="Times New Roman" w:hAnsi="Times New Roman" w:eastAsia="宋体" w:cs="Times New Roman"/>
          <w:color w:val="auto"/>
          <w:highlight w:val="none"/>
        </w:rPr>
        <w:t>万元，基本预备费7.9</w:t>
      </w:r>
      <w:r>
        <w:rPr>
          <w:rFonts w:hint="eastAsia" w:ascii="Times New Roman" w:hAnsi="Times New Roman" w:eastAsia="宋体" w:cs="Times New Roman"/>
          <w:color w:val="auto"/>
          <w:highlight w:val="none"/>
          <w:lang w:val="en-US" w:eastAsia="zh-CN"/>
        </w:rPr>
        <w:t>4</w:t>
      </w:r>
      <w:r>
        <w:rPr>
          <w:rFonts w:hint="eastAsia" w:ascii="Times New Roman" w:hAnsi="Times New Roman" w:eastAsia="宋体" w:cs="Times New Roman"/>
          <w:color w:val="auto"/>
          <w:highlight w:val="none"/>
        </w:rPr>
        <w:t>万元。</w:t>
      </w:r>
    </w:p>
    <w:p w14:paraId="65D86CA4">
      <w:pPr>
        <w:pageBreakBefore w:val="0"/>
        <w:kinsoku/>
        <w:wordWrap/>
        <w:overflowPunct/>
        <w:topLinePunct w:val="0"/>
        <w:autoSpaceDE/>
        <w:autoSpaceDN/>
        <w:bidi w:val="0"/>
        <w:snapToGrid w:val="0"/>
        <w:spacing w:line="360" w:lineRule="auto"/>
        <w:ind w:firstLine="422"/>
        <w:rPr>
          <w:rFonts w:ascii="Times New Roman" w:hAnsi="Times New Roman" w:eastAsia="宋体" w:cs="Times New Roman"/>
          <w:b/>
          <w:bCs/>
          <w:color w:val="auto"/>
          <w:sz w:val="24"/>
          <w:szCs w:val="28"/>
          <w:highlight w:val="none"/>
        </w:rPr>
      </w:pPr>
      <w:r>
        <w:rPr>
          <w:rFonts w:ascii="Times New Roman" w:hAnsi="Times New Roman" w:eastAsia="宋体" w:cs="Times New Roman"/>
          <w:b/>
          <w:bCs/>
          <w:color w:val="auto"/>
          <w:sz w:val="24"/>
          <w:szCs w:val="28"/>
          <w:highlight w:val="none"/>
        </w:rPr>
        <w:t>（三）资金使用情况</w:t>
      </w:r>
    </w:p>
    <w:p w14:paraId="25D51FD5">
      <w:pPr>
        <w:pageBreakBefore w:val="0"/>
        <w:kinsoku/>
        <w:wordWrap/>
        <w:overflowPunct/>
        <w:topLinePunct w:val="0"/>
        <w:autoSpaceDE/>
        <w:autoSpaceDN/>
        <w:bidi w:val="0"/>
        <w:snapToGrid w:val="0"/>
        <w:spacing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该项目预算资金总额为272.53万元，资金来源为2024年中央对地方成品油改革转移支付资金及县财政配套资金。</w:t>
      </w:r>
    </w:p>
    <w:p w14:paraId="491B70E2">
      <w:pPr>
        <w:pageBreakBefore w:val="0"/>
        <w:kinsoku/>
        <w:wordWrap/>
        <w:overflowPunct/>
        <w:topLinePunct w:val="0"/>
        <w:autoSpaceDE/>
        <w:autoSpaceDN/>
        <w:bidi w:val="0"/>
        <w:snapToGrid w:val="0"/>
        <w:spacing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截至2024年12月31日</w:t>
      </w:r>
      <w:r>
        <w:rPr>
          <w:rFonts w:hint="eastAsia" w:eastAsia="宋体" w:cs="Times New Roman"/>
          <w:color w:val="auto"/>
          <w:highlight w:val="none"/>
          <w:lang w:val="en-US" w:eastAsia="zh-CN"/>
        </w:rPr>
        <w:t>，项目资金到位222.00万元，</w:t>
      </w:r>
      <w:r>
        <w:rPr>
          <w:rFonts w:hint="eastAsia" w:ascii="Times New Roman" w:hAnsi="Times New Roman" w:eastAsia="宋体" w:cs="Times New Roman"/>
          <w:color w:val="auto"/>
          <w:highlight w:val="none"/>
          <w:lang w:val="en-US" w:eastAsia="zh-CN"/>
        </w:rPr>
        <w:t>资金到位率为81.46%</w:t>
      </w:r>
      <w:r>
        <w:rPr>
          <w:rFonts w:hint="eastAsia" w:eastAsia="宋体" w:cs="Times New Roman"/>
          <w:color w:val="auto"/>
          <w:highlight w:val="none"/>
          <w:lang w:val="en-US" w:eastAsia="zh-CN"/>
        </w:rPr>
        <w:t>，其中：</w:t>
      </w:r>
      <w:r>
        <w:rPr>
          <w:rFonts w:hint="eastAsia" w:ascii="Times New Roman" w:hAnsi="Times New Roman" w:eastAsia="宋体" w:cs="Times New Roman"/>
          <w:color w:val="auto"/>
          <w:highlight w:val="none"/>
          <w:lang w:val="en-US" w:eastAsia="zh-CN"/>
        </w:rPr>
        <w:t>2024年中央对地方成品油改革转移支付资金</w:t>
      </w:r>
      <w:r>
        <w:rPr>
          <w:rFonts w:hint="eastAsia" w:eastAsia="宋体" w:cs="Times New Roman"/>
          <w:color w:val="auto"/>
          <w:highlight w:val="none"/>
          <w:lang w:val="en-US" w:eastAsia="zh-CN"/>
        </w:rPr>
        <w:t>到位222.00万元，</w:t>
      </w:r>
      <w:r>
        <w:rPr>
          <w:rFonts w:hint="eastAsia" w:ascii="Times New Roman" w:hAnsi="Times New Roman" w:eastAsia="宋体" w:cs="Times New Roman"/>
          <w:color w:val="auto"/>
          <w:highlight w:val="none"/>
          <w:lang w:val="en-US" w:eastAsia="zh-CN"/>
        </w:rPr>
        <w:t>县财政配套资金</w:t>
      </w:r>
      <w:r>
        <w:rPr>
          <w:rFonts w:hint="eastAsia" w:eastAsia="宋体" w:cs="Times New Roman"/>
          <w:color w:val="auto"/>
          <w:highlight w:val="none"/>
          <w:lang w:val="en-US" w:eastAsia="zh-CN"/>
        </w:rPr>
        <w:t>到位0.00万元</w:t>
      </w:r>
      <w:r>
        <w:rPr>
          <w:rFonts w:hint="eastAsia" w:ascii="Times New Roman" w:hAnsi="Times New Roman" w:eastAsia="宋体" w:cs="Times New Roman"/>
          <w:color w:val="auto"/>
          <w:highlight w:val="none"/>
          <w:lang w:val="en-US" w:eastAsia="zh-CN"/>
        </w:rPr>
        <w:t>；</w:t>
      </w:r>
      <w:r>
        <w:rPr>
          <w:rFonts w:hint="eastAsia" w:eastAsia="宋体" w:cs="Times New Roman"/>
          <w:color w:val="auto"/>
          <w:highlight w:val="none"/>
          <w:lang w:val="en-US" w:eastAsia="zh-CN"/>
        </w:rPr>
        <w:t>项目</w:t>
      </w:r>
      <w:r>
        <w:rPr>
          <w:rFonts w:hint="eastAsia" w:ascii="Times New Roman" w:hAnsi="Times New Roman" w:eastAsia="宋体" w:cs="Times New Roman"/>
          <w:color w:val="auto"/>
          <w:highlight w:val="none"/>
          <w:lang w:val="en-US" w:eastAsia="zh-CN"/>
        </w:rPr>
        <w:t>实际支出222.00万元，预算资金执行率为100.00%。</w:t>
      </w:r>
    </w:p>
    <w:p w14:paraId="163FF204">
      <w:pPr>
        <w:pageBreakBefore w:val="0"/>
        <w:kinsoku/>
        <w:wordWrap/>
        <w:overflowPunct/>
        <w:topLinePunct w:val="0"/>
        <w:autoSpaceDE/>
        <w:autoSpaceDN/>
        <w:bidi w:val="0"/>
        <w:snapToGrid w:val="0"/>
        <w:spacing w:line="360" w:lineRule="auto"/>
        <w:ind w:firstLine="422"/>
        <w:rPr>
          <w:rFonts w:ascii="Times New Roman" w:hAnsi="Times New Roman" w:eastAsia="宋体" w:cs="Times New Roman"/>
          <w:b/>
          <w:bCs/>
          <w:color w:val="auto"/>
          <w:highlight w:val="none"/>
        </w:rPr>
      </w:pPr>
      <w:r>
        <w:rPr>
          <w:rFonts w:hint="eastAsia" w:ascii="Times New Roman" w:hAnsi="Times New Roman" w:eastAsia="宋体" w:cs="Times New Roman"/>
          <w:b/>
          <w:bCs/>
          <w:color w:val="auto"/>
          <w:sz w:val="24"/>
          <w:szCs w:val="28"/>
          <w:highlight w:val="none"/>
          <w:lang w:val="en-US" w:eastAsia="zh-CN"/>
        </w:rPr>
        <w:t>二</w:t>
      </w:r>
      <w:r>
        <w:rPr>
          <w:rFonts w:ascii="Times New Roman" w:hAnsi="Times New Roman" w:eastAsia="宋体" w:cs="Times New Roman"/>
          <w:b/>
          <w:bCs/>
          <w:color w:val="auto"/>
          <w:sz w:val="24"/>
          <w:szCs w:val="28"/>
          <w:highlight w:val="none"/>
        </w:rPr>
        <w:t>、评价结论</w:t>
      </w:r>
    </w:p>
    <w:p w14:paraId="06809108">
      <w:pPr>
        <w:pageBreakBefore w:val="0"/>
        <w:kinsoku/>
        <w:wordWrap/>
        <w:overflowPunct/>
        <w:topLinePunct w:val="0"/>
        <w:autoSpaceDE/>
        <w:autoSpaceDN/>
        <w:bidi w:val="0"/>
        <w:snapToGrid w:val="0"/>
        <w:spacing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lang w:val="zh-TW" w:eastAsia="zh-TW"/>
        </w:rPr>
        <w:t>通过调研、数据分析、访谈等方式，根据工作方案确定的指标体系及评分标准，对“</w:t>
      </w:r>
      <w:r>
        <w:rPr>
          <w:rFonts w:hint="eastAsia" w:ascii="Times New Roman" w:hAnsi="Times New Roman" w:eastAsia="宋体" w:cs="Times New Roman"/>
          <w:color w:val="auto"/>
          <w:highlight w:val="none"/>
          <w:lang w:val="en-US" w:eastAsia="zh-CN"/>
        </w:rPr>
        <w:t>伊宁县</w:t>
      </w:r>
      <w:r>
        <w:rPr>
          <w:rFonts w:hint="default" w:ascii="Times New Roman" w:hAnsi="Times New Roman" w:eastAsia="宋体" w:cs="Times New Roman"/>
          <w:color w:val="auto"/>
          <w:highlight w:val="none"/>
          <w:lang w:val="en-US" w:eastAsia="zh-CN"/>
        </w:rPr>
        <w:t>成品油税费农村公路日常养护项目</w:t>
      </w:r>
      <w:r>
        <w:rPr>
          <w:rFonts w:ascii="Times New Roman" w:hAnsi="Times New Roman" w:eastAsia="宋体" w:cs="Times New Roman"/>
          <w:color w:val="auto"/>
          <w:highlight w:val="none"/>
          <w:lang w:val="zh-TW" w:eastAsia="zh-TW"/>
        </w:rPr>
        <w:t>”绩效进行客观评价</w:t>
      </w: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该</w:t>
      </w:r>
      <w:r>
        <w:rPr>
          <w:rFonts w:ascii="Times New Roman" w:hAnsi="Times New Roman" w:eastAsia="宋体" w:cs="Times New Roman"/>
          <w:color w:val="auto"/>
          <w:highlight w:val="none"/>
        </w:rPr>
        <w:t>项目最终得分为</w:t>
      </w:r>
      <w:r>
        <w:rPr>
          <w:rFonts w:hint="eastAsia" w:eastAsia="宋体" w:cs="Times New Roman"/>
          <w:color w:val="auto"/>
          <w:sz w:val="21"/>
          <w:szCs w:val="21"/>
          <w:highlight w:val="none"/>
          <w:lang w:val="en-US" w:eastAsia="zh-CN"/>
        </w:rPr>
        <w:t>88.50</w:t>
      </w:r>
      <w:r>
        <w:rPr>
          <w:rFonts w:ascii="Times New Roman" w:hAnsi="Times New Roman" w:eastAsia="宋体" w:cs="Times New Roman"/>
          <w:color w:val="auto"/>
          <w:highlight w:val="none"/>
        </w:rPr>
        <w:t>分，评价级别属于“</w:t>
      </w:r>
      <w:r>
        <w:rPr>
          <w:rFonts w:hint="eastAsia" w:ascii="Times New Roman" w:hAnsi="Times New Roman" w:eastAsia="宋体" w:cs="Times New Roman"/>
          <w:color w:val="auto"/>
          <w:highlight w:val="none"/>
          <w:lang w:val="en-US" w:eastAsia="zh-CN"/>
        </w:rPr>
        <w:t>良</w:t>
      </w: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rPr>
        <w:t>各部分权重和绩效分值如下表：</w:t>
      </w:r>
    </w:p>
    <w:p w14:paraId="3D84F3F9">
      <w:pPr>
        <w:pStyle w:val="29"/>
        <w:pageBreakBefore w:val="0"/>
        <w:kinsoku/>
        <w:wordWrap/>
        <w:overflowPunct/>
        <w:topLinePunct w:val="0"/>
        <w:autoSpaceDE/>
        <w:autoSpaceDN/>
        <w:bidi w:val="0"/>
        <w:snapToGrid w:val="0"/>
        <w:spacing w:before="0" w:after="0" w:line="360" w:lineRule="auto"/>
        <w:jc w:val="center"/>
        <w:rPr>
          <w:rFonts w:ascii="Times New Roman" w:hAnsi="Times New Roman" w:eastAsia="宋体" w:cs="Times New Roman"/>
          <w:bCs/>
          <w:color w:val="auto"/>
          <w:sz w:val="21"/>
          <w:szCs w:val="21"/>
          <w:highlight w:val="none"/>
        </w:rPr>
      </w:pPr>
      <w:r>
        <w:rPr>
          <w:rFonts w:hint="eastAsia" w:ascii="Times New Roman" w:hAnsi="Times New Roman" w:eastAsia="宋体" w:cs="Times New Roman"/>
          <w:b/>
          <w:bCs w:val="0"/>
          <w:color w:val="auto"/>
          <w:sz w:val="21"/>
          <w:szCs w:val="21"/>
          <w:highlight w:val="none"/>
          <w:lang w:val="zh-TW" w:eastAsia="zh-TW"/>
        </w:rPr>
        <w:t>表</w:t>
      </w:r>
      <w:r>
        <w:rPr>
          <w:rFonts w:hint="eastAsia" w:ascii="Times New Roman" w:hAnsi="Times New Roman" w:eastAsia="宋体" w:cs="Times New Roman"/>
          <w:b/>
          <w:bCs w:val="0"/>
          <w:color w:val="auto"/>
          <w:sz w:val="21"/>
          <w:szCs w:val="21"/>
          <w:highlight w:val="none"/>
          <w:lang w:val="en-US" w:eastAsia="zh-CN"/>
        </w:rPr>
        <w:t>4-1</w:t>
      </w:r>
      <w:r>
        <w:rPr>
          <w:rFonts w:hint="eastAsia" w:ascii="Times New Roman" w:hAnsi="Times New Roman" w:eastAsia="宋体" w:cs="Times New Roman"/>
          <w:b/>
          <w:bCs w:val="0"/>
          <w:color w:val="auto"/>
          <w:sz w:val="21"/>
          <w:szCs w:val="21"/>
          <w:highlight w:val="none"/>
          <w:lang w:val="zh-TW"/>
        </w:rPr>
        <w:t>：</w:t>
      </w:r>
      <w:r>
        <w:rPr>
          <w:rFonts w:hint="eastAsia" w:ascii="Times New Roman" w:hAnsi="Times New Roman" w:eastAsia="宋体" w:cs="Times New Roman"/>
          <w:b/>
          <w:bCs w:val="0"/>
          <w:color w:val="auto"/>
          <w:sz w:val="21"/>
          <w:szCs w:val="21"/>
          <w:highlight w:val="none"/>
          <w:lang w:val="zh-TW" w:eastAsia="zh-CN"/>
        </w:rPr>
        <w:t>伊宁县成品油税费农村公路日常养护项目</w:t>
      </w:r>
      <w:r>
        <w:rPr>
          <w:rFonts w:hint="eastAsia" w:ascii="Times New Roman" w:hAnsi="Times New Roman" w:eastAsia="宋体" w:cs="Times New Roman"/>
          <w:b/>
          <w:bCs w:val="0"/>
          <w:color w:val="auto"/>
          <w:sz w:val="21"/>
          <w:szCs w:val="21"/>
          <w:highlight w:val="none"/>
          <w:lang w:val="zh-TW"/>
        </w:rPr>
        <w:t>得分表</w:t>
      </w:r>
    </w:p>
    <w:tbl>
      <w:tblPr>
        <w:tblStyle w:val="18"/>
        <w:tblW w:w="5001"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4"/>
        <w:gridCol w:w="1615"/>
        <w:gridCol w:w="1615"/>
        <w:gridCol w:w="1615"/>
        <w:gridCol w:w="1615"/>
        <w:gridCol w:w="1130"/>
      </w:tblGrid>
      <w:tr w14:paraId="201838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1F562CDE">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72D67E5C">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618AAD74">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过程</w:t>
            </w:r>
            <w:r>
              <w:rPr>
                <w:rFonts w:ascii="Times New Roman" w:hAnsi="Times New Roman" w:eastAsia="宋体" w:cs="Times New Roman"/>
                <w:b/>
                <w:bCs/>
                <w:color w:val="auto"/>
                <w:sz w:val="21"/>
                <w:szCs w:val="21"/>
                <w:highlight w:val="none"/>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4BFB37C7">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产出</w:t>
            </w:r>
            <w:r>
              <w:rPr>
                <w:rFonts w:ascii="Times New Roman" w:hAnsi="Times New Roman" w:eastAsia="宋体" w:cs="Times New Roman"/>
                <w:b/>
                <w:bCs/>
                <w:color w:val="auto"/>
                <w:sz w:val="21"/>
                <w:szCs w:val="21"/>
                <w:highlight w:val="none"/>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0E35D429">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lang w:val="zh-TW" w:eastAsia="zh-TW"/>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效益</w:t>
            </w:r>
            <w:r>
              <w:rPr>
                <w:rFonts w:ascii="Times New Roman" w:hAnsi="Times New Roman" w:eastAsia="宋体" w:cs="Times New Roman"/>
                <w:b/>
                <w:bCs/>
                <w:color w:val="auto"/>
                <w:sz w:val="21"/>
                <w:szCs w:val="21"/>
                <w:highlight w:val="none"/>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2ADC7918">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合计分值</w:t>
            </w:r>
          </w:p>
        </w:tc>
      </w:tr>
      <w:tr w14:paraId="38B691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25E1CBE4">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权重</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4EA0AFE">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10.00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06B7FD3">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25.00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C1DC39B">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30.00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540876A">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35.00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3BB7BAB">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100.00</w:t>
            </w:r>
          </w:p>
        </w:tc>
      </w:tr>
      <w:tr w14:paraId="2650EC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787CA5C6">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得分</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A4D8CF4">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9.</w:t>
            </w:r>
            <w:r>
              <w:rPr>
                <w:rFonts w:hint="eastAsia" w:hAnsi="Times New Roman" w:eastAsia="宋体" w:cs="Times New Roman"/>
                <w:color w:val="auto"/>
                <w:sz w:val="21"/>
                <w:szCs w:val="21"/>
                <w:highlight w:val="none"/>
                <w:lang w:val="en-US" w:eastAsia="zh-CN"/>
              </w:rPr>
              <w:t>5</w:t>
            </w:r>
            <w:r>
              <w:rPr>
                <w:rFonts w:hint="eastAsia" w:ascii="Times New Roman" w:hAnsi="Times New Roman" w:eastAsia="宋体" w:cs="Times New Roman"/>
                <w:color w:val="auto"/>
                <w:sz w:val="21"/>
                <w:szCs w:val="21"/>
                <w:highlight w:val="none"/>
              </w:rPr>
              <w:t>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E5E3863">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1</w:t>
            </w:r>
            <w:r>
              <w:rPr>
                <w:rFonts w:hint="eastAsia" w:hAnsi="Times New Roman" w:eastAsia="宋体" w:cs="Times New Roman"/>
                <w:color w:val="auto"/>
                <w:sz w:val="21"/>
                <w:szCs w:val="21"/>
                <w:highlight w:val="none"/>
                <w:lang w:val="en-US" w:eastAsia="zh-CN"/>
              </w:rPr>
              <w:t>7</w:t>
            </w:r>
            <w:r>
              <w:rPr>
                <w:rFonts w:hint="eastAsia" w:ascii="Times New Roman" w:hAnsi="Times New Roman" w:eastAsia="宋体" w:cs="Times New Roman"/>
                <w:color w:val="auto"/>
                <w:sz w:val="21"/>
                <w:szCs w:val="21"/>
                <w:highlight w:val="none"/>
                <w:lang w:val="en-US" w:eastAsia="zh-CN"/>
              </w:rPr>
              <w:t>.00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DAEC700">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27</w:t>
            </w:r>
            <w:r>
              <w:rPr>
                <w:rFonts w:hint="eastAsia" w:ascii="Times New Roman" w:hAnsi="Times New Roman" w:eastAsia="宋体" w:cs="Times New Roman"/>
                <w:color w:val="auto"/>
                <w:sz w:val="21"/>
                <w:szCs w:val="21"/>
                <w:highlight w:val="none"/>
              </w:rPr>
              <w:t>.00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BC3D621">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35</w:t>
            </w:r>
            <w:r>
              <w:rPr>
                <w:rFonts w:hint="eastAsia" w:ascii="Times New Roman" w:hAnsi="Times New Roman" w:eastAsia="宋体" w:cs="Times New Roman"/>
                <w:color w:val="auto"/>
                <w:sz w:val="21"/>
                <w:szCs w:val="21"/>
                <w:highlight w:val="none"/>
              </w:rPr>
              <w:t>.00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C01179B">
            <w:pPr>
              <w:pStyle w:val="29"/>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highlight w:val="none"/>
                <w:lang w:val="en-US"/>
              </w:rPr>
            </w:pPr>
            <w:r>
              <w:rPr>
                <w:rFonts w:hint="eastAsia" w:hAnsi="Times New Roman" w:eastAsia="宋体" w:cs="Times New Roman"/>
                <w:color w:val="auto"/>
                <w:sz w:val="21"/>
                <w:szCs w:val="21"/>
                <w:highlight w:val="none"/>
                <w:lang w:val="en-US" w:eastAsia="zh-CN"/>
              </w:rPr>
              <w:t>88.50</w:t>
            </w:r>
          </w:p>
        </w:tc>
      </w:tr>
      <w:tr w14:paraId="5FFE08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18116664">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得分率</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8EC2897">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9</w:t>
            </w:r>
            <w:r>
              <w:rPr>
                <w:rFonts w:hint="eastAsia" w:hAnsi="Times New Roman" w:eastAsia="宋体" w:cs="Times New Roman"/>
                <w:color w:val="auto"/>
                <w:sz w:val="21"/>
                <w:szCs w:val="21"/>
                <w:highlight w:val="none"/>
                <w:lang w:val="en-US" w:eastAsia="zh-CN"/>
              </w:rPr>
              <w:t>5</w:t>
            </w:r>
            <w:r>
              <w:rPr>
                <w:rFonts w:hint="eastAsia" w:ascii="Times New Roman" w:hAnsi="Times New Roman" w:eastAsia="宋体" w:cs="Times New Roman"/>
                <w:color w:val="auto"/>
                <w:sz w:val="21"/>
                <w:szCs w:val="21"/>
                <w:highlight w:val="none"/>
              </w:rPr>
              <w:t>.00%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A9763B4">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6</w:t>
            </w:r>
            <w:r>
              <w:rPr>
                <w:rFonts w:hint="eastAsia" w:hAnsi="Times New Roman" w:eastAsia="宋体" w:cs="Times New Roman"/>
                <w:color w:val="auto"/>
                <w:sz w:val="21"/>
                <w:szCs w:val="21"/>
                <w:highlight w:val="none"/>
                <w:lang w:val="en-US" w:eastAsia="zh-CN"/>
              </w:rPr>
              <w:t>8</w:t>
            </w:r>
            <w:r>
              <w:rPr>
                <w:rFonts w:hint="eastAsia" w:ascii="Times New Roman" w:hAnsi="Times New Roman" w:eastAsia="宋体" w:cs="Times New Roman"/>
                <w:color w:val="auto"/>
                <w:sz w:val="21"/>
                <w:szCs w:val="21"/>
                <w:highlight w:val="none"/>
              </w:rPr>
              <w:t>.00%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68CDCF9">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90.00</w:t>
            </w:r>
            <w:r>
              <w:rPr>
                <w:rFonts w:hint="eastAsia" w:ascii="Times New Roman" w:hAnsi="Times New Roman" w:eastAsia="宋体" w:cs="Times New Roman"/>
                <w:color w:val="auto"/>
                <w:sz w:val="21"/>
                <w:szCs w:val="21"/>
                <w:highlight w:val="none"/>
              </w:rPr>
              <w:t>%</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AA63DBC">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100</w:t>
            </w:r>
            <w:r>
              <w:rPr>
                <w:rFonts w:hint="eastAsia" w:ascii="Times New Roman" w:hAnsi="Times New Roman" w:eastAsia="宋体" w:cs="Times New Roman"/>
                <w:color w:val="auto"/>
                <w:sz w:val="21"/>
                <w:szCs w:val="21"/>
                <w:highlight w:val="none"/>
              </w:rPr>
              <w:t>.00%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4F2D71F">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hAnsi="Times New Roman" w:eastAsia="宋体" w:cs="Times New Roman"/>
                <w:color w:val="auto"/>
                <w:sz w:val="21"/>
                <w:szCs w:val="21"/>
                <w:highlight w:val="none"/>
                <w:lang w:val="en-US" w:eastAsia="zh-CN"/>
              </w:rPr>
              <w:t>88.50</w:t>
            </w:r>
            <w:r>
              <w:rPr>
                <w:rFonts w:hint="eastAsia" w:ascii="Times New Roman" w:hAnsi="Times New Roman" w:eastAsia="宋体" w:cs="Times New Roman"/>
                <w:color w:val="auto"/>
                <w:sz w:val="21"/>
                <w:szCs w:val="21"/>
                <w:highlight w:val="none"/>
              </w:rPr>
              <w:t>%</w:t>
            </w:r>
          </w:p>
        </w:tc>
      </w:tr>
    </w:tbl>
    <w:p w14:paraId="36DCF6F6">
      <w:pPr>
        <w:pageBreakBefore w:val="0"/>
        <w:kinsoku/>
        <w:wordWrap/>
        <w:overflowPunct/>
        <w:topLinePunct w:val="0"/>
        <w:autoSpaceDE/>
        <w:autoSpaceDN/>
        <w:bidi w:val="0"/>
        <w:snapToGrid w:val="0"/>
        <w:spacing w:line="360" w:lineRule="auto"/>
        <w:ind w:firstLine="422"/>
        <w:rPr>
          <w:rFonts w:ascii="Times New Roman" w:hAnsi="Times New Roman" w:eastAsia="宋体" w:cs="Times New Roman"/>
          <w:b/>
          <w:bCs/>
          <w:color w:val="auto"/>
          <w:highlight w:val="none"/>
          <w:lang w:val="zh-TW"/>
        </w:rPr>
      </w:pPr>
    </w:p>
    <w:p w14:paraId="13F90668">
      <w:pPr>
        <w:pageBreakBefore w:val="0"/>
        <w:kinsoku/>
        <w:wordWrap/>
        <w:overflowPunct/>
        <w:topLinePunct w:val="0"/>
        <w:autoSpaceDE/>
        <w:autoSpaceDN/>
        <w:bidi w:val="0"/>
        <w:snapToGrid w:val="0"/>
        <w:spacing w:line="360" w:lineRule="auto"/>
        <w:ind w:firstLine="482"/>
        <w:rPr>
          <w:rFonts w:ascii="Times New Roman" w:hAnsi="Times New Roman" w:eastAsia="宋体" w:cs="Times New Roman"/>
          <w:color w:val="auto"/>
          <w:sz w:val="24"/>
          <w:szCs w:val="28"/>
          <w:highlight w:val="none"/>
        </w:rPr>
      </w:pPr>
      <w:r>
        <w:rPr>
          <w:rFonts w:hint="eastAsia" w:ascii="Times New Roman" w:hAnsi="Times New Roman" w:eastAsia="宋体" w:cs="Times New Roman"/>
          <w:b/>
          <w:bCs/>
          <w:color w:val="auto"/>
          <w:sz w:val="24"/>
          <w:szCs w:val="28"/>
          <w:highlight w:val="none"/>
          <w:lang w:val="en-US" w:eastAsia="zh-CN"/>
        </w:rPr>
        <w:t>三</w:t>
      </w:r>
      <w:r>
        <w:rPr>
          <w:rFonts w:ascii="Times New Roman" w:hAnsi="Times New Roman" w:eastAsia="宋体" w:cs="Times New Roman"/>
          <w:b/>
          <w:bCs/>
          <w:color w:val="auto"/>
          <w:sz w:val="24"/>
          <w:szCs w:val="28"/>
          <w:highlight w:val="none"/>
        </w:rPr>
        <w:t>、取得的业绩、存在的问题和改进的建议</w:t>
      </w:r>
    </w:p>
    <w:p w14:paraId="45B506DF">
      <w:pPr>
        <w:pStyle w:val="5"/>
        <w:pageBreakBefore w:val="0"/>
        <w:kinsoku/>
        <w:wordWrap/>
        <w:overflowPunct/>
        <w:topLinePunct w:val="0"/>
        <w:autoSpaceDE/>
        <w:autoSpaceDN/>
        <w:bidi w:val="0"/>
        <w:snapToGrid w:val="0"/>
        <w:spacing w:line="360" w:lineRule="auto"/>
        <w:ind w:firstLine="482"/>
        <w:rPr>
          <w:rFonts w:ascii="Times New Roman" w:hAnsi="Times New Roman" w:eastAsia="宋体" w:cs="Times New Roman"/>
          <w:color w:val="auto"/>
          <w:highlight w:val="none"/>
        </w:rPr>
      </w:pPr>
      <w:bookmarkStart w:id="10" w:name="_Toc4362"/>
      <w:r>
        <w:rPr>
          <w:rFonts w:ascii="Times New Roman" w:hAnsi="Times New Roman" w:eastAsia="宋体" w:cs="Times New Roman"/>
          <w:color w:val="auto"/>
          <w:highlight w:val="none"/>
        </w:rPr>
        <w:t>（一）主要经验及做法</w:t>
      </w:r>
      <w:bookmarkEnd w:id="10"/>
    </w:p>
    <w:p w14:paraId="59977A34">
      <w:pPr>
        <w:pStyle w:val="5"/>
        <w:pageBreakBefore w:val="0"/>
        <w:kinsoku/>
        <w:wordWrap/>
        <w:overflowPunct/>
        <w:topLinePunct w:val="0"/>
        <w:autoSpaceDE/>
        <w:autoSpaceDN/>
        <w:bidi w:val="0"/>
        <w:snapToGrid w:val="0"/>
        <w:spacing w:line="360" w:lineRule="auto"/>
        <w:ind w:firstLine="482"/>
        <w:rPr>
          <w:rFonts w:ascii="Times New Roman" w:hAnsi="Times New Roman" w:eastAsia="宋体" w:cs="Times New Roman"/>
          <w:b w:val="0"/>
          <w:bCs w:val="0"/>
          <w:color w:val="auto"/>
          <w:sz w:val="21"/>
          <w:szCs w:val="21"/>
          <w:highlight w:val="none"/>
        </w:rPr>
      </w:pPr>
      <w:r>
        <w:rPr>
          <w:rFonts w:hint="eastAsia" w:ascii="Times New Roman" w:hAnsi="Times New Roman" w:eastAsia="宋体" w:cs="Times New Roman"/>
          <w:b w:val="0"/>
          <w:bCs w:val="0"/>
          <w:color w:val="auto"/>
          <w:sz w:val="21"/>
          <w:szCs w:val="21"/>
          <w:highlight w:val="none"/>
          <w:lang w:val="en-US" w:eastAsia="zh-CN"/>
        </w:rPr>
        <w:t>伊宁县交通运输局根据农村公路管理要求，制定了《2024年伊宁县农村公路日常养护实施方案》《伊宁县2024年农村公路日常养护项目可行性研究报告》，具体明确各组织的责任，与发改部门对接，及时办理前期手续，推进项目工作；加强与设计单位对接，细化建设方案设计和施工图设计等施工准备工作，确保项目建设程序规范，保障公路养护任务落实到位，持续加快构建农村公路养护管理长效机制。</w:t>
      </w:r>
      <w:bookmarkStart w:id="11" w:name="_Toc27574"/>
    </w:p>
    <w:p w14:paraId="50A88EAF">
      <w:pPr>
        <w:pStyle w:val="5"/>
        <w:pageBreakBefore w:val="0"/>
        <w:kinsoku/>
        <w:wordWrap/>
        <w:overflowPunct/>
        <w:topLinePunct w:val="0"/>
        <w:autoSpaceDE/>
        <w:autoSpaceDN/>
        <w:bidi w:val="0"/>
        <w:snapToGrid w:val="0"/>
        <w:spacing w:line="360" w:lineRule="auto"/>
        <w:ind w:firstLine="482"/>
        <w:rPr>
          <w:rFonts w:ascii="Times New Roman" w:hAnsi="Times New Roman" w:eastAsia="宋体" w:cs="Times New Roman"/>
          <w:color w:val="auto"/>
          <w:highlight w:val="none"/>
        </w:rPr>
      </w:pPr>
      <w:r>
        <w:rPr>
          <w:rFonts w:ascii="Times New Roman" w:hAnsi="Times New Roman" w:eastAsia="宋体" w:cs="Times New Roman"/>
          <w:color w:val="auto"/>
          <w:highlight w:val="none"/>
        </w:rPr>
        <w:t>（二）存在的问题</w:t>
      </w:r>
      <w:bookmarkEnd w:id="11"/>
    </w:p>
    <w:p w14:paraId="1EFDE453">
      <w:pPr>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b/>
          <w:bCs/>
          <w:color w:val="auto"/>
          <w:highlight w:val="none"/>
          <w:lang w:val="en-US" w:eastAsia="zh-CN"/>
        </w:rPr>
        <w:t>1.</w:t>
      </w:r>
      <w:r>
        <w:rPr>
          <w:rFonts w:hint="default" w:ascii="Times New Roman" w:hAnsi="Times New Roman" w:eastAsia="宋体" w:cs="Times New Roman"/>
          <w:b/>
          <w:bCs/>
          <w:color w:val="auto"/>
          <w:highlight w:val="none"/>
        </w:rPr>
        <w:t>项目合同履约不到位</w:t>
      </w:r>
      <w:r>
        <w:rPr>
          <w:rFonts w:hint="eastAsia" w:ascii="Times New Roman" w:hAnsi="Times New Roman" w:eastAsia="宋体" w:cs="Times New Roman"/>
          <w:b/>
          <w:bCs/>
          <w:color w:val="auto"/>
          <w:highlight w:val="none"/>
          <w:lang w:eastAsia="zh-CN"/>
        </w:rPr>
        <w:t>，</w:t>
      </w:r>
      <w:r>
        <w:rPr>
          <w:rFonts w:hint="eastAsia" w:ascii="Times New Roman" w:hAnsi="Times New Roman" w:eastAsia="宋体" w:cs="Times New Roman"/>
          <w:b/>
          <w:bCs/>
          <w:color w:val="auto"/>
          <w:highlight w:val="none"/>
          <w:lang w:val="en-US" w:eastAsia="zh-CN"/>
        </w:rPr>
        <w:t>未按合同约定进度支付款项</w:t>
      </w:r>
    </w:p>
    <w:p w14:paraId="21186097">
      <w:pPr>
        <w:numPr>
          <w:ilvl w:val="0"/>
          <w:numId w:val="0"/>
        </w:numPr>
        <w:spacing w:line="360" w:lineRule="auto"/>
        <w:ind w:firstLine="420" w:firstLineChars="0"/>
        <w:rPr>
          <w:rFonts w:hint="eastAsia" w:eastAsia="宋体" w:cs="Times New Roman"/>
          <w:color w:val="auto"/>
          <w:highlight w:val="none"/>
          <w:lang w:eastAsia="zh-CN"/>
        </w:rPr>
      </w:pPr>
      <w:r>
        <w:rPr>
          <w:rFonts w:hint="eastAsia" w:eastAsia="宋体" w:cs="Times New Roman"/>
          <w:color w:val="auto"/>
          <w:highlight w:val="none"/>
          <w:lang w:val="en-US" w:eastAsia="zh-CN"/>
        </w:rPr>
        <w:t>（1）</w:t>
      </w:r>
      <w:r>
        <w:rPr>
          <w:rFonts w:hint="default" w:ascii="Times New Roman" w:hAnsi="Times New Roman" w:eastAsia="宋体" w:cs="Times New Roman"/>
          <w:color w:val="auto"/>
          <w:highlight w:val="none"/>
        </w:rPr>
        <w:t>该项目于202</w:t>
      </w:r>
      <w:r>
        <w:rPr>
          <w:rFonts w:hint="eastAsia" w:ascii="Times New Roman" w:hAnsi="Times New Roman" w:eastAsia="宋体" w:cs="Times New Roman"/>
          <w:color w:val="auto"/>
          <w:highlight w:val="none"/>
          <w:lang w:val="en-US" w:eastAsia="zh-CN"/>
        </w:rPr>
        <w:t>4</w:t>
      </w:r>
      <w:r>
        <w:rPr>
          <w:rFonts w:hint="default" w:ascii="Times New Roman" w:hAnsi="Times New Roman" w:eastAsia="宋体" w:cs="Times New Roman"/>
          <w:color w:val="auto"/>
          <w:highlight w:val="none"/>
        </w:rPr>
        <w:t>年9月</w:t>
      </w:r>
      <w:r>
        <w:rPr>
          <w:rFonts w:hint="eastAsia" w:ascii="Times New Roman" w:hAnsi="Times New Roman" w:eastAsia="宋体" w:cs="Times New Roman"/>
          <w:color w:val="auto"/>
          <w:highlight w:val="none"/>
          <w:lang w:val="en-US" w:eastAsia="zh-CN"/>
        </w:rPr>
        <w:t>9</w:t>
      </w:r>
      <w:r>
        <w:rPr>
          <w:rFonts w:hint="default" w:ascii="Times New Roman" w:hAnsi="Times New Roman" w:eastAsia="宋体" w:cs="Times New Roman"/>
          <w:color w:val="auto"/>
          <w:highlight w:val="none"/>
        </w:rPr>
        <w:t>日竣工验收通过，截至2024年1</w:t>
      </w:r>
      <w:r>
        <w:rPr>
          <w:rFonts w:hint="eastAsia" w:ascii="Times New Roman" w:hAnsi="Times New Roman" w:eastAsia="宋体" w:cs="Times New Roman"/>
          <w:color w:val="auto"/>
          <w:highlight w:val="none"/>
          <w:lang w:val="en-US" w:eastAsia="zh-CN"/>
        </w:rPr>
        <w:t>2</w:t>
      </w:r>
      <w:r>
        <w:rPr>
          <w:rFonts w:hint="default" w:ascii="Times New Roman" w:hAnsi="Times New Roman" w:eastAsia="宋体" w:cs="Times New Roman"/>
          <w:color w:val="auto"/>
          <w:highlight w:val="none"/>
        </w:rPr>
        <w:t>月30日，</w:t>
      </w:r>
      <w:r>
        <w:rPr>
          <w:rFonts w:hint="eastAsia" w:ascii="Times New Roman" w:hAnsi="Times New Roman" w:eastAsia="宋体" w:cs="Times New Roman"/>
          <w:color w:val="auto"/>
          <w:highlight w:val="none"/>
          <w:lang w:val="en-US" w:eastAsia="zh-CN"/>
        </w:rPr>
        <w:t>尚未</w:t>
      </w:r>
      <w:r>
        <w:rPr>
          <w:rFonts w:hint="default" w:ascii="Times New Roman" w:hAnsi="Times New Roman" w:eastAsia="宋体" w:cs="Times New Roman"/>
          <w:color w:val="auto"/>
          <w:highlight w:val="none"/>
          <w:lang w:val="en-US" w:eastAsia="zh-CN"/>
        </w:rPr>
        <w:t>根据项目</w:t>
      </w:r>
      <w:r>
        <w:rPr>
          <w:rFonts w:hint="eastAsia" w:ascii="Times New Roman" w:hAnsi="Times New Roman" w:eastAsia="宋体" w:cs="Times New Roman"/>
          <w:color w:val="auto"/>
          <w:highlight w:val="none"/>
          <w:lang w:val="en-US" w:eastAsia="zh-CN"/>
        </w:rPr>
        <w:t>《监理</w:t>
      </w:r>
      <w:r>
        <w:rPr>
          <w:rFonts w:hint="default" w:ascii="Times New Roman" w:hAnsi="Times New Roman" w:eastAsia="宋体" w:cs="Times New Roman"/>
          <w:color w:val="auto"/>
          <w:highlight w:val="none"/>
          <w:lang w:val="en-US" w:eastAsia="zh-CN"/>
        </w:rPr>
        <w:t>合同</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约定“监理人员进场后，支付合同总价的30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按工程进度支付至合同总价的90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工程经质量监督部门进行质量认证合格后，支付合同总价的10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支付</w:t>
      </w:r>
      <w:r>
        <w:rPr>
          <w:rFonts w:hint="default" w:ascii="Times New Roman" w:hAnsi="Times New Roman" w:eastAsia="宋体" w:cs="Times New Roman"/>
          <w:color w:val="auto"/>
          <w:highlight w:val="none"/>
        </w:rPr>
        <w:t>监理费用</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尚未按照《设计</w:t>
      </w:r>
      <w:r>
        <w:rPr>
          <w:rFonts w:hint="default" w:ascii="Times New Roman" w:hAnsi="Times New Roman" w:eastAsia="宋体" w:cs="Times New Roman"/>
          <w:color w:val="auto"/>
          <w:highlight w:val="none"/>
          <w:lang w:val="en-US" w:eastAsia="zh-CN"/>
        </w:rPr>
        <w:t>合同</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约定“设计人提交施工图设计文件后15天内，委托人支付设计人设计费总额的50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剩余设计费总额的50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待本项目投标完成后七天内一次性付清。”</w:t>
      </w:r>
      <w:r>
        <w:rPr>
          <w:rFonts w:hint="default" w:ascii="Times New Roman" w:hAnsi="Times New Roman" w:eastAsia="宋体" w:cs="Times New Roman"/>
          <w:color w:val="auto"/>
          <w:highlight w:val="none"/>
        </w:rPr>
        <w:t>支付</w:t>
      </w:r>
      <w:r>
        <w:rPr>
          <w:rFonts w:hint="eastAsia" w:ascii="Times New Roman" w:hAnsi="Times New Roman" w:eastAsia="宋体" w:cs="Times New Roman"/>
          <w:color w:val="auto"/>
          <w:highlight w:val="none"/>
          <w:lang w:val="en-US" w:eastAsia="zh-CN"/>
        </w:rPr>
        <w:t>设计</w:t>
      </w:r>
      <w:r>
        <w:rPr>
          <w:rFonts w:hint="default" w:ascii="Times New Roman" w:hAnsi="Times New Roman" w:eastAsia="宋体" w:cs="Times New Roman"/>
          <w:color w:val="auto"/>
          <w:highlight w:val="none"/>
        </w:rPr>
        <w:t>费用</w:t>
      </w:r>
      <w:r>
        <w:rPr>
          <w:rFonts w:hint="eastAsia" w:eastAsia="宋体" w:cs="Times New Roman"/>
          <w:color w:val="auto"/>
          <w:highlight w:val="none"/>
          <w:lang w:eastAsia="zh-CN"/>
        </w:rPr>
        <w:t>。</w:t>
      </w:r>
    </w:p>
    <w:p w14:paraId="13E2E37E">
      <w:pPr>
        <w:spacing w:line="360" w:lineRule="auto"/>
        <w:ind w:firstLine="422"/>
        <w:rPr>
          <w:rFonts w:hint="eastAsia" w:ascii="Times New Roman" w:hAnsi="Times New Roman" w:eastAsia="宋体" w:cs="Times New Roman"/>
          <w:b/>
          <w:bCs/>
          <w:color w:val="auto"/>
          <w:szCs w:val="21"/>
          <w:highlight w:val="none"/>
          <w:lang w:val="en-US" w:eastAsia="zh-CN"/>
        </w:rPr>
      </w:pPr>
      <w:r>
        <w:rPr>
          <w:rFonts w:hint="eastAsia" w:eastAsia="宋体" w:cs="Times New Roman"/>
          <w:color w:val="auto"/>
          <w:highlight w:val="none"/>
          <w:lang w:val="en-US" w:eastAsia="zh-CN"/>
        </w:rPr>
        <w:t>（2）</w:t>
      </w:r>
      <w:r>
        <w:rPr>
          <w:rFonts w:hint="default" w:ascii="Times New Roman" w:hAnsi="Times New Roman" w:eastAsia="宋体" w:cs="Times New Roman"/>
          <w:color w:val="auto"/>
          <w:highlight w:val="none"/>
        </w:rPr>
        <w:t>该项目于202</w:t>
      </w:r>
      <w:r>
        <w:rPr>
          <w:rFonts w:hint="eastAsia" w:ascii="Times New Roman" w:hAnsi="Times New Roman" w:eastAsia="宋体" w:cs="Times New Roman"/>
          <w:color w:val="auto"/>
          <w:highlight w:val="none"/>
          <w:lang w:val="en-US" w:eastAsia="zh-CN"/>
        </w:rPr>
        <w:t>4</w:t>
      </w:r>
      <w:r>
        <w:rPr>
          <w:rFonts w:hint="default" w:ascii="Times New Roman" w:hAnsi="Times New Roman" w:eastAsia="宋体" w:cs="Times New Roman"/>
          <w:color w:val="auto"/>
          <w:highlight w:val="none"/>
        </w:rPr>
        <w:t>年9月</w:t>
      </w:r>
      <w:r>
        <w:rPr>
          <w:rFonts w:hint="eastAsia" w:ascii="Times New Roman" w:hAnsi="Times New Roman" w:eastAsia="宋体" w:cs="Times New Roman"/>
          <w:color w:val="auto"/>
          <w:highlight w:val="none"/>
          <w:lang w:val="en-US" w:eastAsia="zh-CN"/>
        </w:rPr>
        <w:t>9</w:t>
      </w:r>
      <w:r>
        <w:rPr>
          <w:rFonts w:hint="default" w:ascii="Times New Roman" w:hAnsi="Times New Roman" w:eastAsia="宋体" w:cs="Times New Roman"/>
          <w:color w:val="auto"/>
          <w:highlight w:val="none"/>
        </w:rPr>
        <w:t>日竣工验收通过</w:t>
      </w:r>
      <w:r>
        <w:rPr>
          <w:rFonts w:hint="eastAsia" w:ascii="Times New Roman" w:hAnsi="Times New Roman" w:eastAsia="宋体" w:cs="Times New Roman"/>
          <w:color w:val="auto"/>
          <w:highlight w:val="none"/>
          <w:lang w:val="en-US" w:eastAsia="zh-CN"/>
        </w:rPr>
        <w:t>，工程结算审核金额为222.05万元，</w:t>
      </w:r>
      <w:r>
        <w:rPr>
          <w:rFonts w:hint="default" w:ascii="Times New Roman" w:hAnsi="Times New Roman" w:eastAsia="宋体" w:cs="Times New Roman"/>
          <w:color w:val="auto"/>
          <w:highlight w:val="none"/>
          <w:lang w:val="en-US" w:eastAsia="zh-CN"/>
        </w:rPr>
        <w:t>项目实施单位已完成支付施工费用</w:t>
      </w:r>
      <w:r>
        <w:rPr>
          <w:rFonts w:hint="eastAsia" w:ascii="Times New Roman" w:hAnsi="Times New Roman" w:eastAsia="宋体" w:cs="Times New Roman"/>
          <w:color w:val="auto"/>
          <w:highlight w:val="none"/>
          <w:lang w:val="en-US" w:eastAsia="zh-CN"/>
        </w:rPr>
        <w:t>222.00</w:t>
      </w:r>
      <w:r>
        <w:rPr>
          <w:rFonts w:hint="default" w:ascii="Times New Roman" w:hAnsi="Times New Roman" w:eastAsia="宋体" w:cs="Times New Roman"/>
          <w:color w:val="auto"/>
          <w:highlight w:val="none"/>
          <w:lang w:val="en-US" w:eastAsia="zh-CN"/>
        </w:rPr>
        <w:t>万元，合同支付比例为</w:t>
      </w:r>
      <w:r>
        <w:rPr>
          <w:rFonts w:hint="eastAsia" w:ascii="Times New Roman" w:hAnsi="Times New Roman" w:eastAsia="宋体" w:cs="Times New Roman"/>
          <w:color w:val="auto"/>
          <w:highlight w:val="none"/>
          <w:lang w:val="en-US" w:eastAsia="zh-CN"/>
        </w:rPr>
        <w:t>99.98</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与</w:t>
      </w:r>
      <w:r>
        <w:rPr>
          <w:rFonts w:hint="default" w:ascii="Times New Roman" w:hAnsi="Times New Roman" w:eastAsia="宋体" w:cs="Times New Roman"/>
          <w:color w:val="auto"/>
          <w:highlight w:val="none"/>
          <w:lang w:val="en-US" w:eastAsia="zh-CN"/>
        </w:rPr>
        <w:t>项目施工合同约定“本次签订合同完，工程机械进场后支付工程价款的30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按工程进度付款</w:t>
      </w:r>
      <w:r>
        <w:rPr>
          <w:rFonts w:hint="eastAsia" w:ascii="Times New Roman" w:hAnsi="Times New Roman" w:eastAsia="宋体" w:cs="Times New Roman"/>
          <w:color w:val="auto"/>
          <w:highlight w:val="none"/>
          <w:lang w:val="en-US" w:eastAsia="zh-CN"/>
        </w:rPr>
        <w:t>达到</w:t>
      </w:r>
      <w:r>
        <w:rPr>
          <w:rFonts w:hint="default" w:ascii="Times New Roman" w:hAnsi="Times New Roman" w:eastAsia="宋体" w:cs="Times New Roman"/>
          <w:color w:val="auto"/>
          <w:highlight w:val="none"/>
          <w:lang w:val="en-US" w:eastAsia="zh-CN"/>
        </w:rPr>
        <w:t>90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项目工程竣工结算审核后，支付至结算审核价的97</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缺陷责任期2年，预留3</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%作为工程质量保证金</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待缺陷责任期结束后，</w:t>
      </w:r>
      <w:r>
        <w:rPr>
          <w:rFonts w:hint="eastAsia" w:ascii="Times New Roman" w:hAnsi="Times New Roman" w:eastAsia="宋体" w:cs="Times New Roman"/>
          <w:color w:val="auto"/>
          <w:highlight w:val="none"/>
          <w:lang w:val="en-US" w:eastAsia="zh-CN"/>
        </w:rPr>
        <w:t>一次性全部支付给承包人</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等付款</w:t>
      </w:r>
      <w:r>
        <w:rPr>
          <w:rFonts w:hint="eastAsia" w:eastAsia="宋体" w:cs="Times New Roman"/>
          <w:color w:val="auto"/>
          <w:highlight w:val="none"/>
          <w:lang w:val="en-US" w:eastAsia="zh-CN"/>
        </w:rPr>
        <w:t>要求</w:t>
      </w:r>
      <w:r>
        <w:rPr>
          <w:rFonts w:hint="eastAsia" w:ascii="Times New Roman" w:hAnsi="Times New Roman" w:eastAsia="宋体" w:cs="Times New Roman"/>
          <w:color w:val="auto"/>
          <w:highlight w:val="none"/>
          <w:lang w:val="en-US" w:eastAsia="zh-CN"/>
        </w:rPr>
        <w:t>不相符</w:t>
      </w:r>
      <w:r>
        <w:rPr>
          <w:rFonts w:hint="default" w:ascii="Times New Roman" w:hAnsi="Times New Roman" w:eastAsia="宋体" w:cs="Times New Roman"/>
          <w:color w:val="auto"/>
          <w:highlight w:val="none"/>
          <w:lang w:val="en-US" w:eastAsia="zh-CN"/>
        </w:rPr>
        <w:t>。</w:t>
      </w:r>
    </w:p>
    <w:p w14:paraId="2319E1C1">
      <w:pPr>
        <w:pageBreakBefore w:val="0"/>
        <w:numPr>
          <w:ilvl w:val="0"/>
          <w:numId w:val="0"/>
        </w:numPr>
        <w:kinsoku/>
        <w:wordWrap/>
        <w:overflowPunct/>
        <w:topLinePunct w:val="0"/>
        <w:autoSpaceDE/>
        <w:autoSpaceDN/>
        <w:bidi w:val="0"/>
        <w:snapToGrid w:val="0"/>
        <w:spacing w:before="0" w:after="0" w:line="360" w:lineRule="auto"/>
        <w:ind w:firstLine="420" w:firstLineChars="0"/>
        <w:outlineLvl w:val="9"/>
        <w:rPr>
          <w:rFonts w:hint="eastAsia" w:ascii="Times New Roman" w:hAnsi="Times New Roman" w:eastAsia="宋体" w:cs="Times New Roman"/>
          <w:color w:val="auto"/>
          <w:highlight w:val="none"/>
          <w:lang w:val="en-US" w:eastAsia="zh-CN"/>
        </w:rPr>
      </w:pPr>
      <w:r>
        <w:rPr>
          <w:rFonts w:hint="eastAsia" w:eastAsia="宋体" w:cs="Times New Roman"/>
          <w:b/>
          <w:bCs/>
          <w:color w:val="auto"/>
          <w:kern w:val="2"/>
          <w:sz w:val="21"/>
          <w:szCs w:val="21"/>
          <w:highlight w:val="none"/>
          <w:lang w:val="en-US" w:eastAsia="zh-CN" w:bidi="ar-SA"/>
        </w:rPr>
        <w:t>2</w:t>
      </w:r>
      <w:r>
        <w:rPr>
          <w:rFonts w:hint="eastAsia" w:eastAsia="宋体" w:cs="Times New Roman"/>
          <w:b/>
          <w:bCs/>
          <w:color w:val="auto"/>
          <w:highlight w:val="none"/>
          <w:lang w:val="en-US" w:eastAsia="zh-CN"/>
        </w:rPr>
        <w:t>.项目采购管理及项目档案管理不规范</w:t>
      </w:r>
    </w:p>
    <w:p w14:paraId="61EFFAD2">
      <w:pPr>
        <w:pageBreakBefore w:val="0"/>
        <w:kinsoku/>
        <w:wordWrap/>
        <w:overflowPunct/>
        <w:topLinePunct w:val="0"/>
        <w:autoSpaceDE/>
        <w:autoSpaceDN/>
        <w:bidi w:val="0"/>
        <w:snapToGrid w:val="0"/>
        <w:spacing w:before="0" w:after="0" w:line="360" w:lineRule="auto"/>
        <w:ind w:firstLine="560"/>
        <w:outlineLvl w:val="9"/>
        <w:rPr>
          <w:rFonts w:hint="eastAsia" w:ascii="Times New Roman" w:hAnsi="Times New Roman" w:eastAsia="宋体" w:cs="Times New Roman"/>
          <w:b w:val="0"/>
          <w:bCs w:val="0"/>
          <w:color w:val="auto"/>
          <w:kern w:val="2"/>
          <w:sz w:val="21"/>
          <w:szCs w:val="21"/>
          <w:highlight w:val="none"/>
          <w:lang w:val="en-US" w:eastAsia="zh-CN" w:bidi="ar-SA"/>
        </w:rPr>
      </w:pPr>
      <w:r>
        <w:rPr>
          <w:rFonts w:hint="eastAsia" w:eastAsia="宋体" w:cs="Times New Roman"/>
          <w:b w:val="0"/>
          <w:bCs w:val="0"/>
          <w:color w:val="auto"/>
          <w:sz w:val="21"/>
          <w:szCs w:val="21"/>
          <w:highlight w:val="none"/>
          <w:lang w:val="en-US" w:eastAsia="zh-CN"/>
        </w:rPr>
        <w:t>（1）</w:t>
      </w:r>
      <w:r>
        <w:rPr>
          <w:rFonts w:hint="eastAsia" w:ascii="Times New Roman" w:hAnsi="Times New Roman" w:eastAsia="宋体" w:cs="Times New Roman"/>
          <w:b w:val="0"/>
          <w:bCs w:val="0"/>
          <w:color w:val="auto"/>
          <w:sz w:val="21"/>
          <w:szCs w:val="21"/>
          <w:highlight w:val="none"/>
          <w:lang w:val="en-US" w:eastAsia="zh-CN"/>
        </w:rPr>
        <w:t>该项目</w:t>
      </w:r>
      <w:r>
        <w:rPr>
          <w:rFonts w:hint="eastAsia" w:ascii="Times New Roman" w:hAnsi="Times New Roman" w:eastAsia="宋体" w:cs="Times New Roman"/>
          <w:b w:val="0"/>
          <w:bCs w:val="0"/>
          <w:color w:val="auto"/>
          <w:kern w:val="2"/>
          <w:sz w:val="21"/>
          <w:szCs w:val="21"/>
          <w:highlight w:val="none"/>
          <w:lang w:val="en-US" w:eastAsia="zh-CN" w:bidi="ar-SA"/>
        </w:rPr>
        <w:t>实施单位通过直接采购的方式确定项目的监理单位、设计单位和审计结算单位等合作单位，但未按照</w:t>
      </w:r>
      <w:r>
        <w:rPr>
          <w:rFonts w:hint="eastAsia" w:ascii="Times New Roman" w:hAnsi="Times New Roman" w:eastAsia="宋体" w:cs="Times New Roman"/>
          <w:color w:val="auto"/>
          <w:szCs w:val="21"/>
          <w:highlight w:val="none"/>
          <w:lang w:val="en-US" w:eastAsia="zh-CN"/>
        </w:rPr>
        <w:t>《</w:t>
      </w:r>
      <w:r>
        <w:rPr>
          <w:rFonts w:hint="eastAsia" w:ascii="Times New Roman" w:hAnsi="Times New Roman" w:eastAsia="宋体" w:cs="Times New Roman"/>
          <w:color w:val="auto"/>
          <w:sz w:val="21"/>
          <w:szCs w:val="21"/>
          <w:highlight w:val="none"/>
          <w:lang w:val="en-US" w:eastAsia="zh-CN"/>
        </w:rPr>
        <w:t>伊宁县交通运输局采购管理制度》规定</w:t>
      </w:r>
      <w:r>
        <w:rPr>
          <w:rFonts w:hint="eastAsia" w:ascii="Times New Roman" w:hAnsi="Times New Roman" w:eastAsia="宋体" w:cs="Times New Roman"/>
          <w:color w:val="auto"/>
          <w:szCs w:val="21"/>
          <w:highlight w:val="none"/>
          <w:lang w:val="en-US" w:eastAsia="zh-CN"/>
        </w:rPr>
        <w:t>“单位</w:t>
      </w:r>
      <w:r>
        <w:rPr>
          <w:rFonts w:hint="eastAsia" w:ascii="Times New Roman" w:hAnsi="Times New Roman" w:eastAsia="宋体" w:cs="Times New Roman"/>
          <w:color w:val="auto"/>
          <w:sz w:val="21"/>
          <w:szCs w:val="21"/>
          <w:highlight w:val="none"/>
          <w:lang w:val="en-US" w:eastAsia="zh-CN"/>
        </w:rPr>
        <w:t>使用财政性资金采购货物、工程和服务的活动。可选择</w:t>
      </w:r>
      <w:r>
        <w:rPr>
          <w:rFonts w:hint="eastAsia" w:ascii="Times New Roman" w:hAnsi="Times New Roman" w:eastAsia="宋体" w:cs="Times New Roman"/>
          <w:b w:val="0"/>
          <w:bCs w:val="0"/>
          <w:color w:val="auto"/>
          <w:sz w:val="21"/>
          <w:szCs w:val="21"/>
          <w:highlight w:val="none"/>
          <w:lang w:val="en-US" w:eastAsia="zh-CN"/>
        </w:rPr>
        <w:t>公开招标、邀请招标、竞争性谈判、询价、单一来源采购方式</w:t>
      </w:r>
      <w:r>
        <w:rPr>
          <w:rFonts w:hint="eastAsia" w:ascii="Times New Roman" w:hAnsi="Times New Roman" w:eastAsia="宋体" w:cs="Times New Roman"/>
          <w:color w:val="auto"/>
          <w:szCs w:val="21"/>
          <w:highlight w:val="none"/>
          <w:lang w:val="en-US" w:eastAsia="zh-CN"/>
        </w:rPr>
        <w:t>”</w:t>
      </w:r>
      <w:r>
        <w:rPr>
          <w:rFonts w:hint="eastAsia" w:ascii="Times New Roman" w:hAnsi="Times New Roman" w:eastAsia="宋体" w:cs="Times New Roman"/>
          <w:b w:val="0"/>
          <w:bCs w:val="0"/>
          <w:color w:val="auto"/>
          <w:sz w:val="21"/>
          <w:szCs w:val="21"/>
          <w:highlight w:val="none"/>
          <w:lang w:val="en-US" w:eastAsia="zh-CN"/>
        </w:rPr>
        <w:t>等要求提供</w:t>
      </w:r>
      <w:r>
        <w:rPr>
          <w:rFonts w:hint="eastAsia" w:ascii="Times New Roman" w:hAnsi="Times New Roman" w:eastAsia="宋体" w:cs="Times New Roman"/>
          <w:b w:val="0"/>
          <w:bCs w:val="0"/>
          <w:color w:val="auto"/>
          <w:kern w:val="2"/>
          <w:sz w:val="21"/>
          <w:szCs w:val="21"/>
          <w:highlight w:val="none"/>
          <w:lang w:val="en-US" w:eastAsia="zh-CN" w:bidi="ar-SA"/>
        </w:rPr>
        <w:t>开展采购活动的相关资料。</w:t>
      </w:r>
    </w:p>
    <w:p w14:paraId="1D7D361E">
      <w:pPr>
        <w:spacing w:line="360" w:lineRule="auto"/>
        <w:ind w:firstLine="422"/>
        <w:rPr>
          <w:rFonts w:hint="eastAsia" w:ascii="Times New Roman" w:hAnsi="Times New Roman" w:eastAsia="宋体" w:cs="Times New Roman"/>
          <w:b w:val="0"/>
          <w:bCs w:val="0"/>
          <w:color w:val="auto"/>
          <w:kern w:val="2"/>
          <w:sz w:val="21"/>
          <w:szCs w:val="21"/>
          <w:highlight w:val="none"/>
          <w:lang w:val="en-US" w:eastAsia="zh-CN" w:bidi="ar-SA"/>
        </w:rPr>
      </w:pPr>
      <w:r>
        <w:rPr>
          <w:rFonts w:hint="eastAsia" w:eastAsia="宋体" w:cs="Times New Roman"/>
          <w:color w:val="auto"/>
          <w:highlight w:val="none"/>
          <w:lang w:val="en-US" w:eastAsia="zh-CN"/>
        </w:rPr>
        <w:t>（2）</w:t>
      </w:r>
      <w:r>
        <w:rPr>
          <w:rFonts w:hint="eastAsia" w:ascii="Times New Roman" w:hAnsi="Times New Roman" w:eastAsia="宋体" w:cs="Times New Roman"/>
          <w:color w:val="auto"/>
          <w:highlight w:val="none"/>
          <w:lang w:val="en-US" w:eastAsia="zh-CN"/>
        </w:rPr>
        <w:t>经查看伊犁州公共资源交易网，</w:t>
      </w:r>
      <w:r>
        <w:rPr>
          <w:rFonts w:hint="eastAsia" w:ascii="Times New Roman" w:hAnsi="Times New Roman" w:eastAsia="宋体" w:cs="Times New Roman"/>
          <w:b w:val="0"/>
          <w:bCs w:val="0"/>
          <w:color w:val="auto"/>
          <w:kern w:val="2"/>
          <w:sz w:val="21"/>
          <w:szCs w:val="21"/>
          <w:highlight w:val="none"/>
          <w:lang w:val="en-US" w:eastAsia="zh-CN" w:bidi="ar-SA"/>
        </w:rPr>
        <w:t>2024年5月29日通过伊犁州公共资源交易网发布公开招标公告，招标控制价</w:t>
      </w:r>
      <w:r>
        <w:rPr>
          <w:rFonts w:hint="eastAsia" w:eastAsia="宋体" w:cs="Times New Roman"/>
          <w:b w:val="0"/>
          <w:bCs w:val="0"/>
          <w:color w:val="auto"/>
          <w:kern w:val="2"/>
          <w:sz w:val="21"/>
          <w:szCs w:val="21"/>
          <w:highlight w:val="none"/>
          <w:lang w:val="en-US" w:eastAsia="zh-CN" w:bidi="ar-SA"/>
        </w:rPr>
        <w:t>为</w:t>
      </w:r>
      <w:r>
        <w:rPr>
          <w:rFonts w:hint="eastAsia" w:ascii="Times New Roman" w:hAnsi="Times New Roman" w:eastAsia="宋体" w:cs="Times New Roman"/>
          <w:b w:val="0"/>
          <w:bCs w:val="0"/>
          <w:color w:val="auto"/>
          <w:kern w:val="2"/>
          <w:sz w:val="21"/>
          <w:szCs w:val="21"/>
          <w:highlight w:val="none"/>
          <w:lang w:val="en-US" w:eastAsia="zh-CN" w:bidi="ar-SA"/>
        </w:rPr>
        <w:t>225.00万元</w:t>
      </w:r>
      <w:r>
        <w:rPr>
          <w:rFonts w:hint="eastAsia" w:eastAsia="宋体" w:cs="Times New Roman"/>
          <w:b w:val="0"/>
          <w:bCs w:val="0"/>
          <w:color w:val="auto"/>
          <w:kern w:val="2"/>
          <w:sz w:val="21"/>
          <w:szCs w:val="21"/>
          <w:highlight w:val="none"/>
          <w:lang w:val="en-US" w:eastAsia="zh-CN" w:bidi="ar-SA"/>
        </w:rPr>
        <w:t>，</w:t>
      </w:r>
      <w:r>
        <w:rPr>
          <w:rFonts w:hint="eastAsia" w:ascii="Times New Roman" w:hAnsi="Times New Roman" w:eastAsia="宋体" w:cs="Times New Roman"/>
          <w:b w:val="0"/>
          <w:bCs w:val="0"/>
          <w:color w:val="auto"/>
          <w:kern w:val="2"/>
          <w:sz w:val="21"/>
          <w:szCs w:val="21"/>
          <w:highlight w:val="none"/>
          <w:lang w:val="en-US" w:eastAsia="zh-CN" w:bidi="ar-SA"/>
        </w:rPr>
        <w:t>于2024年6月6日在原发布平台发布变更公告，招标控制价调整变更为226.29万元</w:t>
      </w:r>
      <w:r>
        <w:rPr>
          <w:rFonts w:hint="eastAsia" w:eastAsia="宋体" w:cs="Times New Roman"/>
          <w:b w:val="0"/>
          <w:bCs w:val="0"/>
          <w:color w:val="auto"/>
          <w:kern w:val="2"/>
          <w:sz w:val="21"/>
          <w:szCs w:val="21"/>
          <w:highlight w:val="none"/>
          <w:lang w:val="en-US" w:eastAsia="zh-CN" w:bidi="ar-SA"/>
        </w:rPr>
        <w:t>。经沟通反馈</w:t>
      </w:r>
      <w:r>
        <w:rPr>
          <w:rFonts w:hint="eastAsia" w:ascii="Times New Roman" w:hAnsi="Times New Roman" w:eastAsia="宋体" w:cs="Times New Roman"/>
          <w:b w:val="0"/>
          <w:bCs w:val="0"/>
          <w:color w:val="auto"/>
          <w:kern w:val="2"/>
          <w:sz w:val="21"/>
          <w:szCs w:val="21"/>
          <w:highlight w:val="none"/>
          <w:lang w:val="en-US" w:eastAsia="zh-CN" w:bidi="ar-SA"/>
        </w:rPr>
        <w:t>，因</w:t>
      </w:r>
      <w:r>
        <w:rPr>
          <w:rFonts w:hint="eastAsia" w:eastAsia="宋体" w:cs="Times New Roman"/>
          <w:b w:val="0"/>
          <w:bCs w:val="0"/>
          <w:color w:val="auto"/>
          <w:kern w:val="2"/>
          <w:sz w:val="21"/>
          <w:szCs w:val="21"/>
          <w:highlight w:val="none"/>
          <w:lang w:val="en-US" w:eastAsia="zh-CN" w:bidi="ar-SA"/>
        </w:rPr>
        <w:t>项目前期</w:t>
      </w:r>
      <w:r>
        <w:rPr>
          <w:rFonts w:hint="eastAsia" w:ascii="Times New Roman" w:hAnsi="Times New Roman" w:eastAsia="宋体" w:cs="Times New Roman"/>
          <w:b w:val="0"/>
          <w:bCs w:val="0"/>
          <w:color w:val="auto"/>
          <w:kern w:val="2"/>
          <w:sz w:val="21"/>
          <w:szCs w:val="21"/>
          <w:highlight w:val="none"/>
          <w:lang w:val="en-US" w:eastAsia="zh-CN" w:bidi="ar-SA"/>
        </w:rPr>
        <w:t>设计复查报告提交滞后导致的招标控制价未及时调整</w:t>
      </w:r>
      <w:r>
        <w:rPr>
          <w:rFonts w:hint="eastAsia" w:eastAsia="宋体" w:cs="Times New Roman"/>
          <w:b w:val="0"/>
          <w:bCs w:val="0"/>
          <w:color w:val="auto"/>
          <w:kern w:val="2"/>
          <w:sz w:val="21"/>
          <w:szCs w:val="21"/>
          <w:highlight w:val="none"/>
          <w:lang w:val="en-US" w:eastAsia="zh-CN" w:bidi="ar-SA"/>
        </w:rPr>
        <w:t>，故按照</w:t>
      </w:r>
      <w:r>
        <w:rPr>
          <w:rFonts w:hint="eastAsia" w:ascii="Times New Roman" w:hAnsi="Times New Roman" w:eastAsia="宋体" w:cs="Times New Roman"/>
          <w:b w:val="0"/>
          <w:bCs w:val="0"/>
          <w:color w:val="auto"/>
          <w:kern w:val="2"/>
          <w:sz w:val="21"/>
          <w:szCs w:val="21"/>
          <w:highlight w:val="none"/>
          <w:lang w:val="en-US" w:eastAsia="zh-CN" w:bidi="ar-SA"/>
        </w:rPr>
        <w:t>《关于伊宁县2024年农村公路日常养护项目施工图设计文件的批复》（伊县交发〔2024〕7号）</w:t>
      </w:r>
      <w:r>
        <w:rPr>
          <w:rFonts w:hint="eastAsia" w:eastAsia="宋体" w:cs="Times New Roman"/>
          <w:b w:val="0"/>
          <w:bCs w:val="0"/>
          <w:color w:val="auto"/>
          <w:kern w:val="2"/>
          <w:sz w:val="21"/>
          <w:szCs w:val="21"/>
          <w:highlight w:val="none"/>
          <w:lang w:val="en-US" w:eastAsia="zh-CN" w:bidi="ar-SA"/>
        </w:rPr>
        <w:t>的批复施工预算价予以调整</w:t>
      </w:r>
      <w:r>
        <w:rPr>
          <w:rFonts w:hint="eastAsia" w:ascii="Times New Roman" w:hAnsi="Times New Roman" w:eastAsia="宋体" w:cs="Times New Roman"/>
          <w:color w:val="auto"/>
          <w:highlight w:val="none"/>
          <w:lang w:val="en-US" w:eastAsia="zh-CN"/>
        </w:rPr>
        <w:t>，</w:t>
      </w:r>
      <w:r>
        <w:rPr>
          <w:rFonts w:hint="eastAsia" w:eastAsia="宋体" w:cs="Times New Roman"/>
          <w:color w:val="auto"/>
          <w:highlight w:val="none"/>
          <w:lang w:val="en-US" w:eastAsia="zh-CN"/>
        </w:rPr>
        <w:t>但项目实施单位未提供采购前期招标控制价的审核备案手续以及招标控制价的变更审核手续</w:t>
      </w:r>
      <w:r>
        <w:rPr>
          <w:rFonts w:hint="eastAsia" w:ascii="Times New Roman" w:hAnsi="Times New Roman" w:eastAsia="宋体" w:cs="Times New Roman"/>
          <w:color w:val="auto"/>
          <w:highlight w:val="none"/>
          <w:lang w:val="en-US" w:eastAsia="zh-CN"/>
        </w:rPr>
        <w:t>。</w:t>
      </w:r>
    </w:p>
    <w:p w14:paraId="3E4DE0EC">
      <w:pPr>
        <w:spacing w:line="360" w:lineRule="auto"/>
        <w:ind w:firstLine="422"/>
        <w:rPr>
          <w:rFonts w:hint="default" w:ascii="Times New Roman" w:hAnsi="Times New Roman" w:eastAsia="宋体" w:cs="Times New Roman"/>
          <w:b/>
          <w:bCs/>
          <w:color w:val="auto"/>
          <w:highlight w:val="none"/>
        </w:rPr>
      </w:pPr>
      <w:r>
        <w:rPr>
          <w:rFonts w:hint="eastAsia" w:eastAsia="宋体" w:cs="Times New Roman"/>
          <w:b/>
          <w:bCs/>
          <w:color w:val="auto"/>
          <w:szCs w:val="21"/>
          <w:highlight w:val="none"/>
          <w:lang w:val="en-US" w:eastAsia="zh-CN"/>
        </w:rPr>
        <w:t>3</w:t>
      </w:r>
      <w:r>
        <w:rPr>
          <w:rFonts w:hint="default" w:ascii="Times New Roman" w:hAnsi="Times New Roman" w:eastAsia="宋体" w:cs="Times New Roman"/>
          <w:b/>
          <w:bCs/>
          <w:color w:val="auto"/>
          <w:szCs w:val="21"/>
          <w:highlight w:val="none"/>
          <w:lang w:val="en-US" w:eastAsia="zh-CN"/>
        </w:rPr>
        <w:t>.</w:t>
      </w:r>
      <w:r>
        <w:rPr>
          <w:rFonts w:hint="default" w:ascii="Times New Roman" w:hAnsi="Times New Roman" w:eastAsia="宋体" w:cs="Times New Roman"/>
          <w:b/>
          <w:bCs/>
          <w:color w:val="auto"/>
          <w:highlight w:val="none"/>
        </w:rPr>
        <w:t>未及时开展竣工财务决算审计</w:t>
      </w:r>
    </w:p>
    <w:p w14:paraId="31BB3C04">
      <w:pPr>
        <w:numPr>
          <w:ilvl w:val="0"/>
          <w:numId w:val="0"/>
        </w:numPr>
        <w:spacing w:line="360" w:lineRule="auto"/>
        <w:ind w:firstLine="420" w:firstLineChars="0"/>
        <w:rPr>
          <w:rFonts w:hint="default"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highlight w:val="none"/>
          <w:lang w:val="en-US" w:eastAsia="zh-CN"/>
        </w:rPr>
        <w:t>该</w:t>
      </w:r>
      <w:r>
        <w:rPr>
          <w:rFonts w:hint="default" w:ascii="Times New Roman" w:hAnsi="Times New Roman" w:eastAsia="宋体" w:cs="Times New Roman"/>
          <w:color w:val="auto"/>
          <w:highlight w:val="none"/>
        </w:rPr>
        <w:t>项目已于2024年</w:t>
      </w:r>
      <w:r>
        <w:rPr>
          <w:rFonts w:hint="default" w:ascii="Times New Roman" w:hAnsi="Times New Roman" w:eastAsia="宋体" w:cs="Times New Roman"/>
          <w:color w:val="auto"/>
          <w:highlight w:val="none"/>
          <w:lang w:val="en-US" w:eastAsia="zh-CN"/>
        </w:rPr>
        <w:t>9</w:t>
      </w:r>
      <w:r>
        <w:rPr>
          <w:rFonts w:hint="default" w:ascii="Times New Roman" w:hAnsi="Times New Roman" w:eastAsia="宋体" w:cs="Times New Roman"/>
          <w:color w:val="auto"/>
          <w:highlight w:val="none"/>
        </w:rPr>
        <w:t>月</w:t>
      </w:r>
      <w:r>
        <w:rPr>
          <w:rFonts w:hint="default" w:ascii="Times New Roman" w:hAnsi="Times New Roman" w:eastAsia="宋体" w:cs="Times New Roman"/>
          <w:color w:val="auto"/>
          <w:highlight w:val="none"/>
          <w:lang w:val="en-US" w:eastAsia="zh-CN"/>
        </w:rPr>
        <w:t>9</w:t>
      </w:r>
      <w:r>
        <w:rPr>
          <w:rFonts w:hint="default" w:ascii="Times New Roman" w:hAnsi="Times New Roman" w:eastAsia="宋体" w:cs="Times New Roman"/>
          <w:color w:val="auto"/>
          <w:highlight w:val="none"/>
        </w:rPr>
        <w:t>日完成</w:t>
      </w:r>
      <w:r>
        <w:rPr>
          <w:rFonts w:hint="default" w:ascii="Times New Roman" w:hAnsi="Times New Roman" w:eastAsia="宋体" w:cs="Times New Roman"/>
          <w:color w:val="auto"/>
          <w:highlight w:val="none"/>
          <w:lang w:val="en-US" w:eastAsia="zh-CN"/>
        </w:rPr>
        <w:t>交</w:t>
      </w:r>
      <w:r>
        <w:rPr>
          <w:rFonts w:hint="default" w:ascii="Times New Roman" w:hAnsi="Times New Roman" w:eastAsia="宋体" w:cs="Times New Roman"/>
          <w:color w:val="auto"/>
          <w:highlight w:val="none"/>
        </w:rPr>
        <w:t>工验收，</w:t>
      </w:r>
      <w:r>
        <w:rPr>
          <w:rFonts w:hint="default" w:ascii="Times New Roman" w:hAnsi="Times New Roman" w:eastAsia="宋体" w:cs="Times New Roman"/>
          <w:color w:val="auto"/>
          <w:highlight w:val="none"/>
          <w:lang w:val="en-US" w:eastAsia="zh-CN"/>
        </w:rPr>
        <w:t>2024年10月21日完成</w:t>
      </w:r>
      <w:r>
        <w:rPr>
          <w:rFonts w:hint="default" w:ascii="Times New Roman" w:hAnsi="Times New Roman" w:eastAsia="宋体" w:cs="Times New Roman"/>
          <w:color w:val="auto"/>
          <w:highlight w:val="none"/>
        </w:rPr>
        <w:t>竣工</w:t>
      </w:r>
      <w:r>
        <w:rPr>
          <w:rFonts w:hint="default" w:ascii="Times New Roman" w:hAnsi="Times New Roman" w:eastAsia="宋体" w:cs="Times New Roman"/>
          <w:color w:val="auto"/>
          <w:highlight w:val="none"/>
          <w:lang w:val="en-US" w:eastAsia="zh-CN"/>
        </w:rPr>
        <w:t>结算审核工作</w:t>
      </w:r>
      <w:r>
        <w:rPr>
          <w:rFonts w:hint="eastAsia" w:ascii="Times New Roman" w:hAnsi="Times New Roman" w:eastAsia="宋体" w:cs="Times New Roman"/>
          <w:color w:val="auto"/>
          <w:highlight w:val="none"/>
          <w:lang w:val="en-US" w:eastAsia="zh-CN"/>
        </w:rPr>
        <w:t>，但尚未开展竣工财务决算审计编制工作，与</w:t>
      </w:r>
      <w:r>
        <w:rPr>
          <w:rFonts w:hint="default" w:ascii="Times New Roman" w:hAnsi="Times New Roman" w:eastAsia="宋体" w:cs="Times New Roman"/>
          <w:color w:val="auto"/>
          <w:highlight w:val="none"/>
        </w:rPr>
        <w:t>《关于印发〈基本建设项目竣工财务决算管理暂行办法〉的通知》（财建〔2016〕503号）规定“第二条基本建设项目，完工可投入使用或者试运行合格后，应当在3个月内编报竣工财务决算，特殊情况确需延长的，不得超过2个月，大型项目不得超过6个月”</w:t>
      </w:r>
      <w:r>
        <w:rPr>
          <w:rFonts w:hint="eastAsia" w:ascii="Times New Roman" w:hAnsi="Times New Roman" w:eastAsia="宋体" w:cs="Times New Roman"/>
          <w:color w:val="auto"/>
          <w:highlight w:val="none"/>
          <w:lang w:val="en-US" w:eastAsia="zh-CN"/>
        </w:rPr>
        <w:t>等相关规定不相符。</w:t>
      </w:r>
    </w:p>
    <w:p w14:paraId="3E948A2F">
      <w:pPr>
        <w:pStyle w:val="4"/>
        <w:pageBreakBefore w:val="0"/>
        <w:kinsoku/>
        <w:wordWrap/>
        <w:overflowPunct/>
        <w:topLinePunct w:val="0"/>
        <w:autoSpaceDE/>
        <w:autoSpaceDN/>
        <w:bidi w:val="0"/>
        <w:snapToGrid w:val="0"/>
        <w:spacing w:line="360" w:lineRule="auto"/>
        <w:ind w:firstLine="482"/>
        <w:rPr>
          <w:rFonts w:ascii="Times New Roman" w:hAnsi="Times New Roman" w:eastAsia="宋体" w:cs="Times New Roman"/>
          <w:color w:val="auto"/>
          <w:highlight w:val="none"/>
        </w:rPr>
      </w:pPr>
      <w:bookmarkStart w:id="12" w:name="_Toc23564"/>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三</w:t>
      </w:r>
      <w:r>
        <w:rPr>
          <w:rFonts w:hint="eastAsia" w:ascii="Times New Roman" w:hAnsi="Times New Roman" w:eastAsia="宋体" w:cs="Times New Roman"/>
          <w:color w:val="auto"/>
          <w:highlight w:val="none"/>
          <w:lang w:eastAsia="zh-CN"/>
        </w:rPr>
        <w:t>）</w:t>
      </w:r>
      <w:r>
        <w:rPr>
          <w:rFonts w:ascii="Times New Roman" w:hAnsi="Times New Roman" w:eastAsia="宋体" w:cs="Times New Roman"/>
          <w:color w:val="auto"/>
          <w:highlight w:val="none"/>
        </w:rPr>
        <w:t>有关建议</w:t>
      </w:r>
      <w:bookmarkEnd w:id="12"/>
    </w:p>
    <w:p w14:paraId="2649BBD5">
      <w:pPr>
        <w:numPr>
          <w:ilvl w:val="-1"/>
          <w:numId w:val="0"/>
        </w:numPr>
        <w:adjustRightInd/>
        <w:snapToGrid/>
        <w:spacing w:line="360" w:lineRule="auto"/>
        <w:ind w:firstLine="422" w:firstLineChars="0"/>
        <w:rPr>
          <w:rFonts w:hint="default" w:ascii="Times New Roman" w:hAnsi="Times New Roman" w:eastAsia="宋体" w:cs="Times New Roman"/>
          <w:b/>
          <w:bCs/>
          <w:color w:val="auto"/>
          <w:highlight w:val="none"/>
        </w:rPr>
      </w:pPr>
      <w:r>
        <w:rPr>
          <w:rFonts w:hint="eastAsia" w:ascii="Times New Roman" w:hAnsi="Times New Roman" w:eastAsia="宋体" w:cs="Times New Roman"/>
          <w:b/>
          <w:bCs/>
          <w:color w:val="auto"/>
          <w:kern w:val="2"/>
          <w:sz w:val="21"/>
          <w:szCs w:val="21"/>
          <w:highlight w:val="none"/>
          <w:lang w:val="en-US" w:eastAsia="zh-CN" w:bidi="ar-SA"/>
        </w:rPr>
        <w:t>1</w:t>
      </w:r>
      <w:r>
        <w:rPr>
          <w:rFonts w:hint="default" w:ascii="Times New Roman" w:hAnsi="Times New Roman" w:eastAsia="宋体" w:cs="Times New Roman"/>
          <w:b/>
          <w:bCs/>
          <w:color w:val="auto"/>
          <w:kern w:val="2"/>
          <w:sz w:val="21"/>
          <w:szCs w:val="21"/>
          <w:highlight w:val="none"/>
          <w:lang w:val="en-US" w:eastAsia="zh-CN" w:bidi="ar-SA"/>
        </w:rPr>
        <w:t>.</w:t>
      </w:r>
      <w:r>
        <w:rPr>
          <w:rFonts w:hint="default" w:ascii="Times New Roman" w:hAnsi="Times New Roman" w:eastAsia="宋体" w:cs="Times New Roman"/>
          <w:b/>
          <w:bCs/>
          <w:color w:val="auto"/>
          <w:highlight w:val="none"/>
        </w:rPr>
        <w:t>加强项目</w:t>
      </w:r>
      <w:r>
        <w:rPr>
          <w:rFonts w:hint="eastAsia" w:eastAsia="宋体" w:cs="Times New Roman"/>
          <w:b/>
          <w:bCs/>
          <w:color w:val="auto"/>
          <w:highlight w:val="none"/>
          <w:lang w:val="en-US" w:eastAsia="zh-CN"/>
        </w:rPr>
        <w:t>投资管理，强化财务支出审批责任</w:t>
      </w:r>
      <w:r>
        <w:rPr>
          <w:rFonts w:hint="default" w:ascii="Times New Roman" w:hAnsi="Times New Roman" w:eastAsia="宋体" w:cs="Times New Roman"/>
          <w:b/>
          <w:bCs/>
          <w:color w:val="auto"/>
          <w:highlight w:val="none"/>
        </w:rPr>
        <w:t>，提高合同履约能力</w:t>
      </w:r>
    </w:p>
    <w:p w14:paraId="4338AC30">
      <w:pPr>
        <w:spacing w:line="360" w:lineRule="auto"/>
        <w:ind w:left="0" w:leftChars="0" w:firstLine="420" w:firstLineChars="200"/>
        <w:rPr>
          <w:rFonts w:hint="default" w:ascii="Times New Roman" w:hAnsi="Times New Roman" w:eastAsia="宋体" w:cs="Times New Roman"/>
          <w:color w:val="auto"/>
          <w:highlight w:val="none"/>
        </w:rPr>
      </w:pPr>
      <w:r>
        <w:rPr>
          <w:rFonts w:hint="eastAsia" w:ascii="Times New Roman" w:hAnsi="Times New Roman" w:cs="Times New Roman"/>
          <w:color w:val="auto"/>
          <w:highlight w:val="none"/>
          <w:lang w:val="en-US" w:eastAsia="zh-CN"/>
        </w:rPr>
        <w:t>建议项目实施单位会同主管部门根据《政府投资条例》（国务院令第712号）等政策法规要求，统筹项目资金筹措方案，</w:t>
      </w:r>
      <w:r>
        <w:rPr>
          <w:rFonts w:hint="eastAsia" w:ascii="Times New Roman" w:hAnsi="Times New Roman" w:cs="Times New Roman"/>
          <w:b w:val="0"/>
          <w:bCs w:val="0"/>
          <w:color w:val="auto"/>
          <w:kern w:val="2"/>
          <w:sz w:val="21"/>
          <w:szCs w:val="21"/>
          <w:highlight w:val="none"/>
          <w:lang w:val="en-US" w:eastAsia="zh-CN" w:bidi="ar-SA"/>
        </w:rPr>
        <w:t>结合</w:t>
      </w:r>
      <w:r>
        <w:rPr>
          <w:rFonts w:hint="default" w:ascii="Times New Roman" w:hAnsi="Times New Roman" w:cs="Times New Roman" w:eastAsiaTheme="minorEastAsia"/>
          <w:b w:val="0"/>
          <w:bCs w:val="0"/>
          <w:color w:val="auto"/>
          <w:kern w:val="2"/>
          <w:sz w:val="21"/>
          <w:szCs w:val="21"/>
          <w:highlight w:val="none"/>
          <w:lang w:val="en-US" w:eastAsia="zh-CN" w:bidi="ar-SA"/>
        </w:rPr>
        <w:t>项目建设需求合理安排项目建设资金</w:t>
      </w:r>
      <w:r>
        <w:rPr>
          <w:rFonts w:hint="eastAsia" w:ascii="Times New Roman" w:hAnsi="Times New Roman" w:cs="Times New Roman"/>
          <w:b w:val="0"/>
          <w:bCs w:val="0"/>
          <w:color w:val="auto"/>
          <w:kern w:val="2"/>
          <w:sz w:val="21"/>
          <w:szCs w:val="21"/>
          <w:highlight w:val="none"/>
          <w:lang w:val="en-US" w:eastAsia="zh-CN" w:bidi="ar-SA"/>
        </w:rPr>
        <w:t>，加强项目资金投入保障。落实项目实施单位财务支出审批责任</w:t>
      </w:r>
      <w:r>
        <w:rPr>
          <w:rFonts w:hint="eastAsia" w:ascii="Times New Roman" w:hAnsi="Times New Roman" w:cs="Times New Roman"/>
          <w:color w:val="auto"/>
          <w:highlight w:val="none"/>
          <w:lang w:val="en-US" w:eastAsia="zh-CN"/>
        </w:rPr>
        <w:t>，</w:t>
      </w:r>
      <w:r>
        <w:rPr>
          <w:rFonts w:hint="eastAsia" w:ascii="Times New Roman" w:hAnsi="Times New Roman" w:cs="Times New Roman"/>
          <w:color w:val="auto"/>
          <w:highlight w:val="none"/>
        </w:rPr>
        <w:t>严格按照项目实施进度和合同约定及时支付资金，</w:t>
      </w:r>
      <w:r>
        <w:rPr>
          <w:rFonts w:hint="eastAsia" w:ascii="Times New Roman" w:hAnsi="Times New Roman" w:cs="Times New Roman"/>
          <w:color w:val="auto"/>
          <w:highlight w:val="none"/>
          <w:lang w:val="en-US" w:eastAsia="zh-CN"/>
        </w:rPr>
        <w:t>确保资金管理使用规范；并</w:t>
      </w:r>
      <w:r>
        <w:rPr>
          <w:rFonts w:hint="eastAsia" w:ascii="Times New Roman" w:hAnsi="Times New Roman" w:cs="Times New Roman"/>
          <w:color w:val="auto"/>
          <w:highlight w:val="none"/>
        </w:rPr>
        <w:t>定期对合同履约情况进行</w:t>
      </w:r>
      <w:r>
        <w:rPr>
          <w:rFonts w:hint="eastAsia" w:ascii="Times New Roman" w:hAnsi="Times New Roman" w:cs="Times New Roman"/>
          <w:color w:val="auto"/>
          <w:highlight w:val="none"/>
          <w:lang w:val="en-US" w:eastAsia="zh-CN"/>
        </w:rPr>
        <w:t>检查</w:t>
      </w:r>
      <w:r>
        <w:rPr>
          <w:rFonts w:hint="eastAsia" w:ascii="Times New Roman" w:hAnsi="Times New Roman" w:cs="Times New Roman"/>
          <w:color w:val="auto"/>
          <w:highlight w:val="none"/>
        </w:rPr>
        <w:t>，</w:t>
      </w:r>
      <w:r>
        <w:rPr>
          <w:rFonts w:hint="default" w:ascii="Times New Roman" w:hAnsi="Times New Roman" w:cs="Times New Roman" w:eastAsiaTheme="minorEastAsia"/>
          <w:color w:val="auto"/>
          <w:sz w:val="21"/>
          <w:szCs w:val="21"/>
          <w:highlight w:val="none"/>
        </w:rPr>
        <w:t>全面、适当地履行合同责任，</w:t>
      </w:r>
      <w:r>
        <w:rPr>
          <w:rFonts w:hint="eastAsia" w:ascii="Times New Roman" w:hAnsi="Times New Roman" w:cs="Times New Roman"/>
          <w:color w:val="auto"/>
          <w:highlight w:val="none"/>
        </w:rPr>
        <w:t>保证</w:t>
      </w:r>
      <w:r>
        <w:rPr>
          <w:rFonts w:hint="eastAsia" w:cs="Times New Roman"/>
          <w:color w:val="auto"/>
          <w:highlight w:val="none"/>
          <w:lang w:val="en-US" w:eastAsia="zh-CN"/>
        </w:rPr>
        <w:t>合同</w:t>
      </w:r>
      <w:r>
        <w:rPr>
          <w:rFonts w:hint="eastAsia" w:ascii="Times New Roman" w:hAnsi="Times New Roman" w:cs="Times New Roman"/>
          <w:color w:val="auto"/>
          <w:highlight w:val="none"/>
        </w:rPr>
        <w:t>履约质量</w:t>
      </w:r>
      <w:r>
        <w:rPr>
          <w:rFonts w:hint="default" w:ascii="Times New Roman" w:hAnsi="Times New Roman" w:eastAsia="宋体" w:cs="Times New Roman"/>
          <w:color w:val="auto"/>
          <w:highlight w:val="none"/>
        </w:rPr>
        <w:t>。</w:t>
      </w:r>
    </w:p>
    <w:p w14:paraId="7A9916B3">
      <w:pPr>
        <w:keepNext w:val="0"/>
        <w:keepLines w:val="0"/>
        <w:pageBreakBefore w:val="0"/>
        <w:widowControl w:val="0"/>
        <w:kinsoku/>
        <w:wordWrap/>
        <w:overflowPunct/>
        <w:topLinePunct w:val="0"/>
        <w:autoSpaceDE/>
        <w:autoSpaceDN/>
        <w:bidi w:val="0"/>
        <w:adjustRightInd w:val="0"/>
        <w:snapToGrid w:val="0"/>
        <w:spacing w:before="0" w:after="0" w:line="360" w:lineRule="auto"/>
        <w:ind w:firstLine="420"/>
        <w:textAlignment w:val="auto"/>
        <w:rPr>
          <w:rFonts w:hint="eastAsia" w:eastAsia="宋体" w:cs="Times New Roman"/>
          <w:color w:val="auto"/>
          <w:sz w:val="21"/>
          <w:szCs w:val="21"/>
          <w:highlight w:val="none"/>
          <w:lang w:val="en-US" w:eastAsia="zh-CN"/>
        </w:rPr>
      </w:pPr>
      <w:r>
        <w:rPr>
          <w:rFonts w:hint="eastAsia" w:eastAsia="宋体" w:cs="Times New Roman"/>
          <w:b/>
          <w:bCs/>
          <w:color w:val="auto"/>
          <w:sz w:val="21"/>
          <w:szCs w:val="21"/>
          <w:highlight w:val="none"/>
          <w:lang w:val="en-US" w:eastAsia="zh-CN"/>
        </w:rPr>
        <w:t>2</w:t>
      </w:r>
      <w:r>
        <w:rPr>
          <w:rFonts w:hint="eastAsia" w:ascii="Times New Roman" w:hAnsi="Times New Roman" w:eastAsia="宋体" w:cs="Times New Roman"/>
          <w:b/>
          <w:bCs/>
          <w:color w:val="auto"/>
          <w:sz w:val="21"/>
          <w:szCs w:val="21"/>
          <w:highlight w:val="none"/>
          <w:lang w:val="en-US" w:eastAsia="zh-CN"/>
        </w:rPr>
        <w:t>.加强项目</w:t>
      </w:r>
      <w:r>
        <w:rPr>
          <w:rFonts w:hint="eastAsia" w:eastAsia="宋体" w:cs="Times New Roman"/>
          <w:b/>
          <w:bCs/>
          <w:color w:val="auto"/>
          <w:sz w:val="21"/>
          <w:szCs w:val="21"/>
          <w:highlight w:val="none"/>
          <w:lang w:val="en-US" w:eastAsia="zh-CN"/>
        </w:rPr>
        <w:t>采购管理</w:t>
      </w:r>
      <w:r>
        <w:rPr>
          <w:rFonts w:hint="default" w:ascii="Times New Roman" w:hAnsi="Times New Roman" w:eastAsia="宋体" w:cs="Times New Roman"/>
          <w:b/>
          <w:bCs/>
          <w:color w:val="auto"/>
          <w:sz w:val="21"/>
          <w:szCs w:val="21"/>
          <w:highlight w:val="none"/>
          <w:lang w:val="en-US" w:eastAsia="zh-CN"/>
        </w:rPr>
        <w:t>规范性</w:t>
      </w:r>
    </w:p>
    <w:p w14:paraId="0BCD9B11">
      <w:pPr>
        <w:pStyle w:val="2"/>
        <w:spacing w:line="360" w:lineRule="auto"/>
        <w:rPr>
          <w:color w:val="auto"/>
          <w:highlight w:val="none"/>
        </w:rPr>
      </w:pPr>
      <w:r>
        <w:rPr>
          <w:rFonts w:hint="eastAsia" w:ascii="Times New Roman" w:hAnsi="Times New Roman" w:cs="Times New Roman" w:eastAsiaTheme="minorEastAsia"/>
          <w:color w:val="auto"/>
          <w:sz w:val="21"/>
          <w:szCs w:val="21"/>
          <w:highlight w:val="none"/>
        </w:rPr>
        <w:t>建议项目实施单位</w:t>
      </w:r>
      <w:r>
        <w:rPr>
          <w:rFonts w:hint="eastAsia" w:cs="Times New Roman"/>
          <w:color w:val="auto"/>
          <w:sz w:val="21"/>
          <w:szCs w:val="21"/>
          <w:highlight w:val="none"/>
          <w:lang w:eastAsia="zh-CN"/>
        </w:rPr>
        <w:t>：</w:t>
      </w:r>
      <w:r>
        <w:rPr>
          <w:rFonts w:hint="eastAsia" w:cs="Times New Roman"/>
          <w:color w:val="auto"/>
          <w:sz w:val="21"/>
          <w:szCs w:val="21"/>
          <w:highlight w:val="none"/>
          <w:lang w:val="en-US" w:eastAsia="zh-CN"/>
        </w:rPr>
        <w:t>一是</w:t>
      </w:r>
      <w:r>
        <w:rPr>
          <w:rFonts w:hint="eastAsia" w:ascii="Times New Roman" w:hAnsi="Times New Roman" w:cs="Times New Roman" w:eastAsiaTheme="minorEastAsia"/>
          <w:color w:val="auto"/>
          <w:sz w:val="21"/>
          <w:szCs w:val="21"/>
          <w:highlight w:val="none"/>
        </w:rPr>
        <w:t>加强采购管理，按照单位采购管理办法与政府采购法的相关规定选定合适的采购方式，按规定</w:t>
      </w:r>
      <w:r>
        <w:rPr>
          <w:rFonts w:hint="eastAsia" w:ascii="Times New Roman" w:hAnsi="Times New Roman" w:cs="Times New Roman"/>
          <w:color w:val="auto"/>
          <w:sz w:val="21"/>
          <w:szCs w:val="21"/>
          <w:highlight w:val="none"/>
          <w:lang w:val="en-US" w:eastAsia="zh-CN"/>
        </w:rPr>
        <w:t>开展采购招标控制价编制、采购申报审批以及选择供应商等采购实施过程</w:t>
      </w:r>
      <w:r>
        <w:rPr>
          <w:rFonts w:hint="eastAsia" w:ascii="Times New Roman" w:hAnsi="Times New Roman" w:cs="Times New Roman" w:eastAsiaTheme="minorEastAsia"/>
          <w:color w:val="auto"/>
          <w:sz w:val="21"/>
          <w:szCs w:val="21"/>
          <w:highlight w:val="none"/>
        </w:rPr>
        <w:t>，确保政府采购活动完整规范。</w:t>
      </w:r>
      <w:r>
        <w:rPr>
          <w:rFonts w:hint="eastAsia" w:cs="Times New Roman"/>
          <w:color w:val="auto"/>
          <w:sz w:val="21"/>
          <w:szCs w:val="21"/>
          <w:highlight w:val="none"/>
          <w:lang w:val="en-US" w:eastAsia="zh-CN"/>
        </w:rPr>
        <w:t>二是加强项目采购档案管理，</w:t>
      </w:r>
      <w:r>
        <w:rPr>
          <w:rFonts w:hint="eastAsia"/>
          <w:color w:val="auto"/>
          <w:highlight w:val="none"/>
        </w:rPr>
        <w:t>设置</w:t>
      </w:r>
      <w:r>
        <w:rPr>
          <w:rFonts w:hint="eastAsia"/>
          <w:color w:val="auto"/>
          <w:highlight w:val="none"/>
          <w:lang w:val="en-US" w:eastAsia="zh-CN"/>
        </w:rPr>
        <w:t>专人负责</w:t>
      </w:r>
      <w:r>
        <w:rPr>
          <w:rFonts w:hint="eastAsia"/>
          <w:color w:val="auto"/>
          <w:highlight w:val="none"/>
        </w:rPr>
        <w:t>档案</w:t>
      </w:r>
      <w:r>
        <w:rPr>
          <w:rFonts w:hint="eastAsia"/>
          <w:color w:val="auto"/>
          <w:highlight w:val="none"/>
          <w:lang w:eastAsia="zh-CN"/>
        </w:rPr>
        <w:t>的</w:t>
      </w:r>
      <w:r>
        <w:rPr>
          <w:rFonts w:hint="eastAsia"/>
          <w:color w:val="auto"/>
          <w:highlight w:val="none"/>
          <w:lang w:val="en-US" w:eastAsia="zh-CN"/>
        </w:rPr>
        <w:t>归档</w:t>
      </w:r>
      <w:r>
        <w:rPr>
          <w:rFonts w:hint="eastAsia"/>
          <w:color w:val="auto"/>
          <w:highlight w:val="none"/>
        </w:rPr>
        <w:t>，</w:t>
      </w:r>
      <w:r>
        <w:rPr>
          <w:rFonts w:hint="eastAsia"/>
          <w:color w:val="auto"/>
          <w:highlight w:val="none"/>
          <w:lang w:val="en-US" w:eastAsia="zh-CN"/>
        </w:rPr>
        <w:t>并</w:t>
      </w:r>
      <w:r>
        <w:rPr>
          <w:rFonts w:hint="eastAsia"/>
          <w:color w:val="auto"/>
          <w:highlight w:val="none"/>
        </w:rPr>
        <w:t>定期对档案完整性、存放规范性进行检查，确保项目档案的完整性和可追溯性</w:t>
      </w:r>
      <w:r>
        <w:rPr>
          <w:rFonts w:hint="eastAsia" w:ascii="Times New Roman" w:hAnsi="Times New Roman" w:eastAsia="宋体" w:cs="Times New Roman"/>
          <w:b w:val="0"/>
          <w:bCs w:val="0"/>
          <w:color w:val="auto"/>
          <w:highlight w:val="none"/>
          <w:lang w:val="en-US" w:eastAsia="zh-CN"/>
        </w:rPr>
        <w:t>。</w:t>
      </w:r>
    </w:p>
    <w:p w14:paraId="39A8634C">
      <w:pPr>
        <w:keepNext w:val="0"/>
        <w:keepLines w:val="0"/>
        <w:pageBreakBefore w:val="0"/>
        <w:widowControl w:val="0"/>
        <w:kinsoku/>
        <w:wordWrap/>
        <w:overflowPunct/>
        <w:topLinePunct w:val="0"/>
        <w:autoSpaceDE/>
        <w:autoSpaceDN/>
        <w:bidi w:val="0"/>
        <w:adjustRightInd w:val="0"/>
        <w:snapToGrid w:val="0"/>
        <w:spacing w:before="0" w:after="0" w:line="360" w:lineRule="auto"/>
        <w:ind w:firstLine="420"/>
        <w:textAlignment w:val="auto"/>
        <w:rPr>
          <w:rFonts w:hint="eastAsia" w:ascii="Times New Roman" w:hAnsi="Times New Roman" w:eastAsia="宋体" w:cs="Times New Roman"/>
          <w:b/>
          <w:bCs/>
          <w:color w:val="auto"/>
          <w:sz w:val="21"/>
          <w:szCs w:val="21"/>
          <w:highlight w:val="none"/>
          <w:lang w:val="en-US" w:eastAsia="zh-CN"/>
        </w:rPr>
      </w:pPr>
      <w:r>
        <w:rPr>
          <w:rFonts w:hint="eastAsia" w:eastAsia="宋体" w:cs="Times New Roman"/>
          <w:b/>
          <w:bCs/>
          <w:color w:val="auto"/>
          <w:sz w:val="21"/>
          <w:szCs w:val="21"/>
          <w:highlight w:val="none"/>
          <w:lang w:val="en-US" w:eastAsia="zh-CN"/>
        </w:rPr>
        <w:t>3</w:t>
      </w:r>
      <w:r>
        <w:rPr>
          <w:rFonts w:hint="eastAsia" w:ascii="Times New Roman" w:hAnsi="Times New Roman" w:eastAsia="宋体" w:cs="Times New Roman"/>
          <w:b/>
          <w:bCs/>
          <w:color w:val="auto"/>
          <w:sz w:val="21"/>
          <w:szCs w:val="21"/>
          <w:highlight w:val="none"/>
          <w:lang w:val="en-US" w:eastAsia="zh-CN"/>
        </w:rPr>
        <w:t>.</w:t>
      </w:r>
      <w:r>
        <w:rPr>
          <w:rFonts w:hint="default" w:ascii="Times New Roman" w:hAnsi="Times New Roman" w:cs="Times New Roman"/>
          <w:b/>
          <w:bCs/>
          <w:color w:val="auto"/>
          <w:highlight w:val="none"/>
        </w:rPr>
        <w:t>加快开展竣工财务决算审计工作</w:t>
      </w:r>
    </w:p>
    <w:p w14:paraId="01403A76">
      <w:pPr>
        <w:widowControl/>
        <w:numPr>
          <w:ilvl w:val="0"/>
          <w:numId w:val="0"/>
        </w:numPr>
        <w:spacing w:line="360" w:lineRule="auto"/>
        <w:ind w:firstLine="420" w:firstLineChars="200"/>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kern w:val="2"/>
          <w:highlight w:val="none"/>
        </w:rPr>
        <w:t>建议项目实施单位按照《关于印发〈基本建设项目竣工财务决算管理暂行办法〉的通知》（财建〔2016〕503号）等政策规定，</w:t>
      </w:r>
      <w:r>
        <w:rPr>
          <w:rFonts w:hint="eastAsia" w:ascii="Times New Roman" w:hAnsi="Times New Roman" w:eastAsia="宋体" w:cs="Times New Roman"/>
          <w:color w:val="auto"/>
          <w:kern w:val="2"/>
          <w:highlight w:val="none"/>
          <w:lang w:val="en-US" w:eastAsia="zh-CN"/>
        </w:rPr>
        <w:t>及时</w:t>
      </w:r>
      <w:r>
        <w:rPr>
          <w:rFonts w:hint="default" w:ascii="Times New Roman" w:hAnsi="Times New Roman" w:eastAsia="宋体" w:cs="Times New Roman"/>
          <w:color w:val="auto"/>
          <w:kern w:val="2"/>
          <w:highlight w:val="none"/>
        </w:rPr>
        <w:t>开展项目竣工财务决算，总结分析建设过程的经验教训，提高工程造价管理水平及积累技术经济资料，有效控制项目成本，提高经济效益。</w:t>
      </w:r>
      <w:r>
        <w:rPr>
          <w:rFonts w:hint="eastAsia" w:ascii="Times New Roman" w:hAnsi="Times New Roman" w:cs="Times New Roman"/>
          <w:color w:val="auto"/>
          <w:highlight w:val="none"/>
          <w:lang w:val="en-US" w:eastAsia="zh-CN"/>
        </w:rPr>
        <w:t>在完成</w:t>
      </w:r>
      <w:r>
        <w:rPr>
          <w:rFonts w:hint="eastAsia"/>
          <w:color w:val="auto"/>
          <w:highlight w:val="none"/>
          <w:lang w:val="en-US" w:eastAsia="zh-CN"/>
        </w:rPr>
        <w:t>项目竣工财务决算报告后及时做好有关资产入账工作，确保</w:t>
      </w:r>
      <w:r>
        <w:rPr>
          <w:rFonts w:hint="default" w:ascii="Times New Roman" w:hAnsi="Times New Roman" w:cs="Times New Roman" w:eastAsiaTheme="minorEastAsia"/>
          <w:color w:val="auto"/>
          <w:kern w:val="2"/>
          <w:sz w:val="21"/>
          <w:szCs w:val="21"/>
          <w:highlight w:val="none"/>
          <w:lang w:val="en-US" w:eastAsia="zh-CN" w:bidi="ar-SA"/>
        </w:rPr>
        <w:t>资产管理</w:t>
      </w:r>
      <w:r>
        <w:rPr>
          <w:rFonts w:hint="eastAsia" w:ascii="Times New Roman" w:hAnsi="Times New Roman" w:cs="Times New Roman"/>
          <w:color w:val="auto"/>
          <w:kern w:val="2"/>
          <w:sz w:val="21"/>
          <w:szCs w:val="21"/>
          <w:highlight w:val="none"/>
          <w:lang w:val="en-US" w:eastAsia="zh-CN" w:bidi="ar-SA"/>
        </w:rPr>
        <w:t>及</w:t>
      </w:r>
      <w:r>
        <w:rPr>
          <w:rFonts w:hint="eastAsia" w:asciiTheme="minorEastAsia" w:hAnsiTheme="minorEastAsia" w:eastAsiaTheme="minorEastAsia" w:cstheme="minorEastAsia"/>
          <w:color w:val="auto"/>
          <w:kern w:val="2"/>
          <w:sz w:val="21"/>
          <w:szCs w:val="21"/>
          <w:highlight w:val="none"/>
          <w:lang w:val="en-US" w:eastAsia="zh-CN" w:bidi="ar-SA"/>
        </w:rPr>
        <w:t>运营</w:t>
      </w:r>
      <w:r>
        <w:rPr>
          <w:rFonts w:hint="eastAsia" w:asciiTheme="minorEastAsia" w:hAnsiTheme="minorEastAsia" w:cstheme="minorEastAsia"/>
          <w:color w:val="auto"/>
          <w:kern w:val="2"/>
          <w:sz w:val="21"/>
          <w:szCs w:val="21"/>
          <w:highlight w:val="none"/>
          <w:lang w:val="en-US" w:eastAsia="zh-CN" w:bidi="ar-SA"/>
        </w:rPr>
        <w:t>维护的完整性和规范性</w:t>
      </w:r>
      <w:r>
        <w:rPr>
          <w:rFonts w:hint="eastAsia"/>
          <w:color w:val="auto"/>
          <w:highlight w:val="none"/>
          <w:lang w:val="en-US" w:eastAsia="zh-CN"/>
        </w:rPr>
        <w:t>。</w:t>
      </w:r>
    </w:p>
    <w:p w14:paraId="1753D991">
      <w:pPr>
        <w:pageBreakBefore w:val="0"/>
        <w:numPr>
          <w:ilvl w:val="0"/>
          <w:numId w:val="0"/>
        </w:numPr>
        <w:tabs>
          <w:tab w:val="right" w:leader="dot" w:pos="8879"/>
        </w:tabs>
        <w:kinsoku/>
        <w:wordWrap/>
        <w:overflowPunct/>
        <w:topLinePunct w:val="0"/>
        <w:autoSpaceDE/>
        <w:autoSpaceDN/>
        <w:bidi w:val="0"/>
        <w:adjustRightInd/>
        <w:snapToGrid/>
        <w:spacing w:line="360" w:lineRule="auto"/>
        <w:ind w:firstLine="0" w:firstLineChars="0"/>
        <w:rPr>
          <w:rFonts w:ascii="Times New Roman" w:hAnsi="Times New Roman" w:eastAsia="宋体" w:cs="Times New Roman"/>
          <w:color w:val="auto"/>
          <w:highlight w:val="none"/>
        </w:rPr>
        <w:sectPr>
          <w:headerReference r:id="rId11" w:type="default"/>
          <w:footerReference r:id="rId12" w:type="default"/>
          <w:pgSz w:w="11906" w:h="16838"/>
          <w:pgMar w:top="1440" w:right="1797" w:bottom="1440" w:left="1797" w:header="850" w:footer="907" w:gutter="0"/>
          <w:pgNumType w:fmt="upperRoman" w:start="1"/>
          <w:cols w:space="720" w:num="1"/>
          <w:docGrid w:type="lines" w:linePitch="312" w:charSpace="0"/>
        </w:sectPr>
      </w:pPr>
    </w:p>
    <w:sdt>
      <w:sdtPr>
        <w:rPr>
          <w:rFonts w:ascii="Times New Roman" w:hAnsi="Times New Roman" w:eastAsia="宋体" w:cs="Times New Roman"/>
          <w:bCs w:val="0"/>
          <w:color w:val="auto"/>
          <w:sz w:val="21"/>
          <w:szCs w:val="21"/>
          <w:highlight w:val="none"/>
        </w:rPr>
        <w:id w:val="147469479"/>
        <w:docPartObj>
          <w:docPartGallery w:val="Table of Contents"/>
          <w:docPartUnique/>
        </w:docPartObj>
      </w:sdtPr>
      <w:sdtEndPr>
        <w:rPr>
          <w:rFonts w:ascii="Times New Roman" w:hAnsi="Times New Roman" w:eastAsia="宋体" w:cs="Times New Roman"/>
          <w:b/>
          <w:bCs w:val="0"/>
          <w:color w:val="auto"/>
          <w:sz w:val="21"/>
          <w:szCs w:val="21"/>
          <w:highlight w:val="none"/>
        </w:rPr>
      </w:sdtEndPr>
      <w:sdtContent>
        <w:p w14:paraId="2EA6AE75">
          <w:pPr>
            <w:keepNext w:val="0"/>
            <w:keepLines w:val="0"/>
            <w:pageBreakBefore w:val="0"/>
            <w:widowControl w:val="0"/>
            <w:kinsoku/>
            <w:wordWrap/>
            <w:overflowPunct/>
            <w:topLinePunct w:val="0"/>
            <w:autoSpaceDE/>
            <w:autoSpaceDN/>
            <w:bidi w:val="0"/>
            <w:adjustRightInd w:val="0"/>
            <w:snapToGrid w:val="0"/>
            <w:spacing w:line="380" w:lineRule="exact"/>
            <w:ind w:firstLine="0" w:firstLineChars="0"/>
            <w:jc w:val="center"/>
            <w:textAlignment w:val="auto"/>
            <w:rPr>
              <w:rFonts w:ascii="Times New Roman" w:hAnsi="Times New Roman" w:eastAsia="宋体" w:cs="Times New Roman"/>
              <w:b/>
              <w:bCs w:val="0"/>
              <w:color w:val="auto"/>
              <w:kern w:val="2"/>
              <w:sz w:val="21"/>
              <w:szCs w:val="21"/>
              <w:highlight w:val="none"/>
              <w:lang w:val="en-US" w:eastAsia="zh-CN" w:bidi="ar-SA"/>
            </w:rPr>
          </w:pPr>
          <w:r>
            <w:rPr>
              <w:rFonts w:ascii="Times New Roman" w:hAnsi="Times New Roman" w:eastAsia="宋体" w:cs="Times New Roman"/>
              <w:b/>
              <w:bCs w:val="0"/>
              <w:color w:val="auto"/>
              <w:sz w:val="32"/>
              <w:szCs w:val="32"/>
              <w:highlight w:val="none"/>
            </w:rPr>
            <w:t>目录</w:t>
          </w:r>
          <w:r>
            <w:rPr>
              <w:rFonts w:ascii="Times New Roman" w:hAnsi="Times New Roman" w:eastAsia="宋体" w:cs="Times New Roman"/>
              <w:bCs w:val="0"/>
              <w:color w:val="auto"/>
              <w:sz w:val="21"/>
              <w:szCs w:val="21"/>
              <w:highlight w:val="none"/>
            </w:rPr>
            <w:fldChar w:fldCharType="begin"/>
          </w:r>
          <w:r>
            <w:rPr>
              <w:rFonts w:ascii="Times New Roman" w:hAnsi="Times New Roman" w:eastAsia="宋体" w:cs="Times New Roman"/>
              <w:bCs w:val="0"/>
              <w:color w:val="auto"/>
              <w:sz w:val="21"/>
              <w:szCs w:val="21"/>
              <w:highlight w:val="none"/>
            </w:rPr>
            <w:instrText xml:space="preserve">TOC \o "1-2" \h \u </w:instrText>
          </w:r>
          <w:r>
            <w:rPr>
              <w:rFonts w:ascii="Times New Roman" w:hAnsi="Times New Roman" w:eastAsia="宋体" w:cs="Times New Roman"/>
              <w:bCs w:val="0"/>
              <w:color w:val="auto"/>
              <w:sz w:val="21"/>
              <w:szCs w:val="21"/>
              <w:highlight w:val="none"/>
            </w:rPr>
            <w:fldChar w:fldCharType="separate"/>
          </w:r>
        </w:p>
        <w:p w14:paraId="40858C12">
          <w:pPr>
            <w:pStyle w:val="15"/>
            <w:tabs>
              <w:tab w:val="right" w:leader="dot" w:pos="8306"/>
              <w:tab w:val="clear" w:pos="9356"/>
            </w:tabs>
            <w:spacing w:line="380" w:lineRule="exact"/>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_Toc4365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lang w:val="en-US" w:eastAsia="zh-CN"/>
            </w:rPr>
            <w:t>一、基本情况</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_Toc4365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5953AABB">
          <w:pPr>
            <w:pStyle w:val="15"/>
            <w:tabs>
              <w:tab w:val="right" w:leader="dot" w:pos="8306"/>
              <w:tab w:val="clear" w:pos="9356"/>
            </w:tabs>
            <w:spacing w:line="38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_Toc20449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rPr>
            <w:t>（一）</w:t>
          </w:r>
          <w:r>
            <w:rPr>
              <w:rFonts w:hint="default" w:ascii="Times New Roman" w:hAnsi="Times New Roman" w:eastAsia="宋体" w:cs="Times New Roman"/>
              <w:bCs w:val="0"/>
              <w:color w:val="auto"/>
              <w:kern w:val="2"/>
              <w:sz w:val="21"/>
              <w:szCs w:val="21"/>
              <w:highlight w:val="none"/>
              <w:lang w:val="en-US" w:eastAsia="zh-CN"/>
            </w:rPr>
            <w:t>项目概况</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_Toc20449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71AB4C74">
          <w:pPr>
            <w:pStyle w:val="15"/>
            <w:tabs>
              <w:tab w:val="right" w:leader="dot" w:pos="8306"/>
              <w:tab w:val="clear" w:pos="9356"/>
            </w:tabs>
            <w:spacing w:line="38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_Toc11213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rPr>
            <w:t>（二）</w:t>
          </w:r>
          <w:r>
            <w:rPr>
              <w:rFonts w:ascii="Times New Roman" w:hAnsi="Times New Roman" w:eastAsia="宋体" w:cs="Times New Roman"/>
              <w:bCs w:val="0"/>
              <w:color w:val="auto"/>
              <w:kern w:val="2"/>
              <w:sz w:val="21"/>
              <w:szCs w:val="21"/>
              <w:highlight w:val="none"/>
            </w:rPr>
            <w:t>资金投入和使用情况</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_Toc11213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2</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456461C8">
          <w:pPr>
            <w:pStyle w:val="15"/>
            <w:tabs>
              <w:tab w:val="right" w:leader="dot" w:pos="8306"/>
              <w:tab w:val="clear" w:pos="9356"/>
            </w:tabs>
            <w:spacing w:line="38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_Toc24552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rPr>
            <w:t>（三）</w:t>
          </w:r>
          <w:r>
            <w:rPr>
              <w:rFonts w:ascii="Times New Roman" w:hAnsi="Times New Roman" w:eastAsia="宋体" w:cs="Times New Roman"/>
              <w:bCs w:val="0"/>
              <w:color w:val="auto"/>
              <w:kern w:val="2"/>
              <w:sz w:val="21"/>
              <w:szCs w:val="21"/>
              <w:highlight w:val="none"/>
            </w:rPr>
            <w:t>项目实施情况</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_Toc24552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3</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02DEAB24">
          <w:pPr>
            <w:pStyle w:val="15"/>
            <w:tabs>
              <w:tab w:val="right" w:leader="dot" w:pos="8306"/>
              <w:tab w:val="clear" w:pos="9356"/>
            </w:tabs>
            <w:spacing w:line="38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_Toc14174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rPr>
            <w:t>（四）</w:t>
          </w:r>
          <w:r>
            <w:rPr>
              <w:rFonts w:ascii="Times New Roman" w:hAnsi="Times New Roman" w:eastAsia="宋体" w:cs="Times New Roman"/>
              <w:bCs w:val="0"/>
              <w:color w:val="auto"/>
              <w:kern w:val="2"/>
              <w:sz w:val="21"/>
              <w:szCs w:val="21"/>
              <w:highlight w:val="none"/>
            </w:rPr>
            <w:t>项目组织管理</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_Toc14174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4</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72C2CA45">
          <w:pPr>
            <w:pStyle w:val="15"/>
            <w:tabs>
              <w:tab w:val="right" w:leader="dot" w:pos="8306"/>
              <w:tab w:val="clear" w:pos="9356"/>
            </w:tabs>
            <w:spacing w:line="380" w:lineRule="exact"/>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_Toc25965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rPr>
            <w:t>二、</w:t>
          </w:r>
          <w:r>
            <w:rPr>
              <w:rFonts w:ascii="Times New Roman" w:hAnsi="Times New Roman" w:eastAsia="宋体" w:cs="Times New Roman"/>
              <w:bCs w:val="0"/>
              <w:color w:val="auto"/>
              <w:kern w:val="2"/>
              <w:sz w:val="21"/>
              <w:szCs w:val="21"/>
              <w:highlight w:val="none"/>
            </w:rPr>
            <w:t>项目绩效目标</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_Toc25965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4</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58CE2289">
          <w:pPr>
            <w:pStyle w:val="15"/>
            <w:tabs>
              <w:tab w:val="right" w:leader="dot" w:pos="8306"/>
              <w:tab w:val="clear" w:pos="9356"/>
            </w:tabs>
            <w:spacing w:line="38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_Toc24866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rPr>
            <w:t>（一）</w:t>
          </w:r>
          <w:r>
            <w:rPr>
              <w:rFonts w:ascii="Times New Roman" w:hAnsi="Times New Roman" w:eastAsia="宋体" w:cs="Times New Roman"/>
              <w:bCs w:val="0"/>
              <w:color w:val="auto"/>
              <w:kern w:val="2"/>
              <w:sz w:val="21"/>
              <w:szCs w:val="21"/>
              <w:highlight w:val="none"/>
            </w:rPr>
            <w:t>项目绩效总目标</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_Toc24866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4</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10B7B406">
          <w:pPr>
            <w:pStyle w:val="15"/>
            <w:tabs>
              <w:tab w:val="right" w:leader="dot" w:pos="8306"/>
              <w:tab w:val="clear" w:pos="9356"/>
            </w:tabs>
            <w:spacing w:line="38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_Toc13000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rPr>
            <w:t>（二）年度绩效</w:t>
          </w:r>
          <w:r>
            <w:rPr>
              <w:rFonts w:ascii="Times New Roman" w:hAnsi="Times New Roman" w:eastAsia="宋体" w:cs="Times New Roman"/>
              <w:bCs w:val="0"/>
              <w:color w:val="auto"/>
              <w:kern w:val="2"/>
              <w:sz w:val="21"/>
              <w:szCs w:val="21"/>
              <w:highlight w:val="none"/>
            </w:rPr>
            <w:t>目标</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_Toc13000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4</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7CEB8FF9">
          <w:pPr>
            <w:pStyle w:val="15"/>
            <w:tabs>
              <w:tab w:val="right" w:leader="dot" w:pos="8306"/>
              <w:tab w:val="clear" w:pos="9356"/>
            </w:tabs>
            <w:spacing w:line="380" w:lineRule="exact"/>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_Toc11312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rPr>
            <w:t>三</w:t>
          </w:r>
          <w:r>
            <w:rPr>
              <w:rFonts w:ascii="Times New Roman" w:hAnsi="Times New Roman" w:eastAsia="宋体" w:cs="Times New Roman"/>
              <w:bCs w:val="0"/>
              <w:color w:val="auto"/>
              <w:kern w:val="2"/>
              <w:sz w:val="21"/>
              <w:szCs w:val="21"/>
              <w:highlight w:val="none"/>
            </w:rPr>
            <w:t>、绩效评价工作开展情况</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_Toc11312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5</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2EE2D9CF">
          <w:pPr>
            <w:pStyle w:val="15"/>
            <w:tabs>
              <w:tab w:val="right" w:leader="dot" w:pos="8306"/>
              <w:tab w:val="clear" w:pos="9356"/>
            </w:tabs>
            <w:spacing w:line="38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_Toc32475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rPr>
            <w:t>（一</w:t>
          </w:r>
          <w:r>
            <w:rPr>
              <w:rFonts w:ascii="Times New Roman" w:hAnsi="Times New Roman" w:eastAsia="宋体" w:cs="Times New Roman"/>
              <w:bCs w:val="0"/>
              <w:color w:val="auto"/>
              <w:kern w:val="2"/>
              <w:sz w:val="21"/>
              <w:szCs w:val="21"/>
              <w:highlight w:val="none"/>
            </w:rPr>
            <w:t>）绩效评价</w:t>
          </w:r>
          <w:r>
            <w:rPr>
              <w:rFonts w:hint="default" w:ascii="Times New Roman" w:hAnsi="Times New Roman" w:eastAsia="宋体" w:cs="Times New Roman"/>
              <w:bCs w:val="0"/>
              <w:color w:val="auto"/>
              <w:kern w:val="2"/>
              <w:sz w:val="21"/>
              <w:szCs w:val="21"/>
              <w:highlight w:val="none"/>
            </w:rPr>
            <w:t>依据</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_Toc32475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5</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3D5CB99F">
          <w:pPr>
            <w:pStyle w:val="15"/>
            <w:tabs>
              <w:tab w:val="right" w:leader="dot" w:pos="8306"/>
              <w:tab w:val="clear" w:pos="9356"/>
            </w:tabs>
            <w:spacing w:line="38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_Toc27746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w:t>
          </w:r>
          <w:r>
            <w:rPr>
              <w:rFonts w:hint="default" w:ascii="Times New Roman" w:hAnsi="Times New Roman" w:eastAsia="宋体" w:cs="Times New Roman"/>
              <w:bCs w:val="0"/>
              <w:color w:val="auto"/>
              <w:kern w:val="2"/>
              <w:sz w:val="21"/>
              <w:szCs w:val="21"/>
              <w:highlight w:val="none"/>
            </w:rPr>
            <w:t>二</w:t>
          </w:r>
          <w:r>
            <w:rPr>
              <w:rFonts w:ascii="Times New Roman" w:hAnsi="Times New Roman" w:eastAsia="宋体" w:cs="Times New Roman"/>
              <w:bCs w:val="0"/>
              <w:color w:val="auto"/>
              <w:kern w:val="2"/>
              <w:sz w:val="21"/>
              <w:szCs w:val="21"/>
              <w:highlight w:val="none"/>
            </w:rPr>
            <w:t>）绩效评价目的、对象和范围</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_Toc27746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6</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7A5B0891">
          <w:pPr>
            <w:pStyle w:val="15"/>
            <w:tabs>
              <w:tab w:val="right" w:leader="dot" w:pos="8306"/>
              <w:tab w:val="clear" w:pos="9356"/>
            </w:tabs>
            <w:spacing w:line="38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_Toc19624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w:t>
          </w:r>
          <w:r>
            <w:rPr>
              <w:rFonts w:hint="default" w:ascii="Times New Roman" w:hAnsi="Times New Roman" w:eastAsia="宋体" w:cs="Times New Roman"/>
              <w:bCs w:val="0"/>
              <w:color w:val="auto"/>
              <w:kern w:val="2"/>
              <w:sz w:val="21"/>
              <w:szCs w:val="21"/>
              <w:highlight w:val="none"/>
            </w:rPr>
            <w:t>三</w:t>
          </w:r>
          <w:r>
            <w:rPr>
              <w:rFonts w:ascii="Times New Roman" w:hAnsi="Times New Roman" w:eastAsia="宋体" w:cs="Times New Roman"/>
              <w:bCs w:val="0"/>
              <w:color w:val="auto"/>
              <w:kern w:val="2"/>
              <w:sz w:val="21"/>
              <w:szCs w:val="21"/>
              <w:highlight w:val="none"/>
            </w:rPr>
            <w:t>）绩效评价原则</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_Toc19624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6</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321567CF">
          <w:pPr>
            <w:pStyle w:val="15"/>
            <w:tabs>
              <w:tab w:val="right" w:leader="dot" w:pos="8306"/>
              <w:tab w:val="clear" w:pos="9356"/>
            </w:tabs>
            <w:spacing w:line="38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_Toc25849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lang w:eastAsia="zh-CN"/>
            </w:rPr>
            <w:t>（</w:t>
          </w:r>
          <w:r>
            <w:rPr>
              <w:rFonts w:hint="default" w:ascii="Times New Roman" w:hAnsi="Times New Roman" w:eastAsia="宋体" w:cs="Times New Roman"/>
              <w:bCs w:val="0"/>
              <w:color w:val="auto"/>
              <w:kern w:val="2"/>
              <w:sz w:val="21"/>
              <w:szCs w:val="21"/>
              <w:highlight w:val="none"/>
              <w:lang w:val="en-US" w:eastAsia="zh-CN"/>
            </w:rPr>
            <w:t>四</w:t>
          </w:r>
          <w:r>
            <w:rPr>
              <w:rFonts w:hint="default" w:ascii="Times New Roman" w:hAnsi="Times New Roman" w:eastAsia="宋体" w:cs="Times New Roman"/>
              <w:bCs w:val="0"/>
              <w:color w:val="auto"/>
              <w:kern w:val="2"/>
              <w:sz w:val="21"/>
              <w:szCs w:val="21"/>
              <w:highlight w:val="none"/>
              <w:lang w:eastAsia="zh-CN"/>
            </w:rPr>
            <w:t>）</w:t>
          </w:r>
          <w:r>
            <w:rPr>
              <w:rFonts w:hint="default" w:ascii="Times New Roman" w:hAnsi="Times New Roman" w:eastAsia="宋体" w:cs="Times New Roman"/>
              <w:bCs w:val="0"/>
              <w:color w:val="auto"/>
              <w:kern w:val="2"/>
              <w:sz w:val="21"/>
              <w:szCs w:val="21"/>
              <w:highlight w:val="none"/>
              <w:lang w:val="en-US" w:eastAsia="zh-CN"/>
            </w:rPr>
            <w:t>绩效评价标准</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_Toc25849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6</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314AE226">
          <w:pPr>
            <w:pStyle w:val="15"/>
            <w:tabs>
              <w:tab w:val="right" w:leader="dot" w:pos="8306"/>
              <w:tab w:val="clear" w:pos="9356"/>
            </w:tabs>
            <w:spacing w:line="38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_Toc5514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rPr>
            <w:t>（</w:t>
          </w:r>
          <w:r>
            <w:rPr>
              <w:rFonts w:hint="default" w:ascii="Times New Roman" w:hAnsi="Times New Roman" w:eastAsia="宋体" w:cs="Times New Roman"/>
              <w:bCs w:val="0"/>
              <w:color w:val="auto"/>
              <w:kern w:val="2"/>
              <w:sz w:val="21"/>
              <w:szCs w:val="21"/>
              <w:highlight w:val="none"/>
              <w:lang w:val="en-US" w:eastAsia="zh-CN"/>
            </w:rPr>
            <w:t>五</w:t>
          </w:r>
          <w:r>
            <w:rPr>
              <w:rFonts w:hint="default" w:ascii="Times New Roman" w:hAnsi="Times New Roman" w:eastAsia="宋体" w:cs="Times New Roman"/>
              <w:bCs w:val="0"/>
              <w:color w:val="auto"/>
              <w:kern w:val="2"/>
              <w:sz w:val="21"/>
              <w:szCs w:val="21"/>
              <w:highlight w:val="none"/>
            </w:rPr>
            <w:t>）</w:t>
          </w:r>
          <w:r>
            <w:rPr>
              <w:rFonts w:ascii="Times New Roman" w:hAnsi="Times New Roman" w:eastAsia="宋体" w:cs="Times New Roman"/>
              <w:bCs w:val="0"/>
              <w:color w:val="auto"/>
              <w:kern w:val="2"/>
              <w:sz w:val="21"/>
              <w:szCs w:val="21"/>
              <w:highlight w:val="none"/>
            </w:rPr>
            <w:t>绩效评价</w:t>
          </w:r>
          <w:r>
            <w:rPr>
              <w:rFonts w:hint="default" w:ascii="Times New Roman" w:hAnsi="Times New Roman" w:eastAsia="宋体" w:cs="Times New Roman"/>
              <w:bCs w:val="0"/>
              <w:color w:val="auto"/>
              <w:kern w:val="2"/>
              <w:sz w:val="21"/>
              <w:szCs w:val="21"/>
              <w:highlight w:val="none"/>
            </w:rPr>
            <w:t>方法</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_Toc5514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7</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1CB39347">
          <w:pPr>
            <w:pStyle w:val="15"/>
            <w:tabs>
              <w:tab w:val="right" w:leader="dot" w:pos="8306"/>
              <w:tab w:val="clear" w:pos="9356"/>
            </w:tabs>
            <w:spacing w:line="38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_Toc26751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rPr>
            <w:t>（</w:t>
          </w:r>
          <w:r>
            <w:rPr>
              <w:rFonts w:hint="default" w:ascii="Times New Roman" w:hAnsi="Times New Roman" w:eastAsia="宋体" w:cs="Times New Roman"/>
              <w:bCs w:val="0"/>
              <w:color w:val="auto"/>
              <w:kern w:val="2"/>
              <w:sz w:val="21"/>
              <w:szCs w:val="21"/>
              <w:highlight w:val="none"/>
              <w:lang w:val="en-US" w:eastAsia="zh-CN"/>
            </w:rPr>
            <w:t>六</w:t>
          </w:r>
          <w:r>
            <w:rPr>
              <w:rFonts w:hint="default" w:ascii="Times New Roman" w:hAnsi="Times New Roman" w:eastAsia="宋体" w:cs="Times New Roman"/>
              <w:bCs w:val="0"/>
              <w:color w:val="auto"/>
              <w:kern w:val="2"/>
              <w:sz w:val="21"/>
              <w:szCs w:val="21"/>
              <w:highlight w:val="none"/>
            </w:rPr>
            <w:t>）</w:t>
          </w:r>
          <w:r>
            <w:rPr>
              <w:rFonts w:ascii="Times New Roman" w:hAnsi="Times New Roman" w:eastAsia="宋体" w:cs="Times New Roman"/>
              <w:bCs w:val="0"/>
              <w:color w:val="auto"/>
              <w:kern w:val="2"/>
              <w:sz w:val="21"/>
              <w:szCs w:val="21"/>
              <w:highlight w:val="none"/>
            </w:rPr>
            <w:t>绩效评价指标体系</w:t>
          </w:r>
          <w:r>
            <w:rPr>
              <w:rFonts w:hint="default" w:ascii="Times New Roman" w:hAnsi="Times New Roman" w:eastAsia="宋体" w:cs="Times New Roman"/>
              <w:bCs w:val="0"/>
              <w:color w:val="auto"/>
              <w:kern w:val="2"/>
              <w:sz w:val="21"/>
              <w:szCs w:val="21"/>
              <w:highlight w:val="none"/>
            </w:rPr>
            <w:t>设计</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_Toc26751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8</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70483AED">
          <w:pPr>
            <w:pStyle w:val="15"/>
            <w:tabs>
              <w:tab w:val="right" w:leader="dot" w:pos="8306"/>
              <w:tab w:val="clear" w:pos="9356"/>
            </w:tabs>
            <w:spacing w:line="380" w:lineRule="exact"/>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_Toc3606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rPr>
            <w:t>四</w:t>
          </w:r>
          <w:r>
            <w:rPr>
              <w:rFonts w:ascii="Times New Roman" w:hAnsi="Times New Roman" w:eastAsia="宋体" w:cs="Times New Roman"/>
              <w:bCs w:val="0"/>
              <w:color w:val="auto"/>
              <w:kern w:val="2"/>
              <w:sz w:val="21"/>
              <w:szCs w:val="21"/>
              <w:highlight w:val="none"/>
            </w:rPr>
            <w:t>、综合评价情况及评价结论</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_Toc3606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11</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3C70AB1A">
          <w:pPr>
            <w:pStyle w:val="15"/>
            <w:tabs>
              <w:tab w:val="right" w:leader="dot" w:pos="8306"/>
              <w:tab w:val="clear" w:pos="9356"/>
            </w:tabs>
            <w:spacing w:line="38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_Toc7325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rPr>
            <w:t>（一）评价得分情况</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_Toc7325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11</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70D238DE">
          <w:pPr>
            <w:pStyle w:val="15"/>
            <w:tabs>
              <w:tab w:val="right" w:leader="dot" w:pos="8306"/>
              <w:tab w:val="clear" w:pos="9356"/>
            </w:tabs>
            <w:spacing w:line="38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_Toc8980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rPr>
            <w:t>（二）综合评价结论</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_Toc8980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11</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4BCB3F31">
          <w:pPr>
            <w:pStyle w:val="15"/>
            <w:tabs>
              <w:tab w:val="right" w:leader="dot" w:pos="8306"/>
              <w:tab w:val="clear" w:pos="9356"/>
            </w:tabs>
            <w:spacing w:line="380" w:lineRule="exact"/>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_Toc10676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rPr>
            <w:t>五</w:t>
          </w:r>
          <w:r>
            <w:rPr>
              <w:rFonts w:ascii="Times New Roman" w:hAnsi="Times New Roman" w:eastAsia="宋体" w:cs="Times New Roman"/>
              <w:bCs w:val="0"/>
              <w:color w:val="auto"/>
              <w:kern w:val="2"/>
              <w:sz w:val="21"/>
              <w:szCs w:val="21"/>
              <w:highlight w:val="none"/>
            </w:rPr>
            <w:t>、绩效评价指标分析</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_Toc10676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12</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5CCD7469">
          <w:pPr>
            <w:pStyle w:val="15"/>
            <w:tabs>
              <w:tab w:val="right" w:leader="dot" w:pos="8306"/>
              <w:tab w:val="clear" w:pos="9356"/>
            </w:tabs>
            <w:spacing w:line="38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_Toc30518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（一）项目决策情况</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_Toc30518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12</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78B9978A">
          <w:pPr>
            <w:pStyle w:val="15"/>
            <w:tabs>
              <w:tab w:val="right" w:leader="dot" w:pos="8306"/>
              <w:tab w:val="clear" w:pos="9356"/>
            </w:tabs>
            <w:spacing w:line="38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_Toc7231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（二）项目过程情况</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_Toc7231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14</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6EA75AD2">
          <w:pPr>
            <w:pStyle w:val="15"/>
            <w:tabs>
              <w:tab w:val="right" w:leader="dot" w:pos="8306"/>
              <w:tab w:val="clear" w:pos="9356"/>
            </w:tabs>
            <w:spacing w:line="38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_Toc12138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（三）项目产出情况</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_Toc12138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16</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0700201B">
          <w:pPr>
            <w:pStyle w:val="15"/>
            <w:tabs>
              <w:tab w:val="right" w:leader="dot" w:pos="8306"/>
              <w:tab w:val="clear" w:pos="9356"/>
            </w:tabs>
            <w:spacing w:line="38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_Toc11846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（四）项目效益情况</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_Toc11846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18</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5491907D">
          <w:pPr>
            <w:pStyle w:val="15"/>
            <w:tabs>
              <w:tab w:val="right" w:leader="dot" w:pos="8306"/>
              <w:tab w:val="clear" w:pos="9356"/>
            </w:tabs>
            <w:spacing w:line="380" w:lineRule="exact"/>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_Toc2825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rPr>
            <w:t>六</w:t>
          </w:r>
          <w:r>
            <w:rPr>
              <w:rFonts w:ascii="Times New Roman" w:hAnsi="Times New Roman" w:eastAsia="宋体" w:cs="Times New Roman"/>
              <w:bCs w:val="0"/>
              <w:color w:val="auto"/>
              <w:kern w:val="2"/>
              <w:sz w:val="21"/>
              <w:szCs w:val="21"/>
              <w:highlight w:val="none"/>
            </w:rPr>
            <w:t>、主要经验及做法、存在的问题及原因分析</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_Toc2825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19</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5EE32CF9">
          <w:pPr>
            <w:pStyle w:val="15"/>
            <w:tabs>
              <w:tab w:val="right" w:leader="dot" w:pos="8306"/>
              <w:tab w:val="clear" w:pos="9356"/>
            </w:tabs>
            <w:spacing w:line="38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_Toc8556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（一）主要经验及做法</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_Toc8556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19</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31547344">
          <w:pPr>
            <w:pStyle w:val="15"/>
            <w:tabs>
              <w:tab w:val="right" w:leader="dot" w:pos="8306"/>
              <w:tab w:val="clear" w:pos="9356"/>
            </w:tabs>
            <w:spacing w:line="38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_Toc28206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（二）存在的问题</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_Toc28206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20</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63115A22">
          <w:pPr>
            <w:pStyle w:val="15"/>
            <w:tabs>
              <w:tab w:val="right" w:leader="dot" w:pos="8306"/>
              <w:tab w:val="clear" w:pos="9356"/>
            </w:tabs>
            <w:spacing w:line="380" w:lineRule="exact"/>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_Toc22106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rPr>
            <w:t>七</w:t>
          </w:r>
          <w:r>
            <w:rPr>
              <w:rFonts w:ascii="Times New Roman" w:hAnsi="Times New Roman" w:eastAsia="宋体" w:cs="Times New Roman"/>
              <w:bCs w:val="0"/>
              <w:color w:val="auto"/>
              <w:kern w:val="2"/>
              <w:sz w:val="21"/>
              <w:szCs w:val="21"/>
              <w:highlight w:val="none"/>
            </w:rPr>
            <w:t>、有关建议</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_Toc22106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21</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3BD831DD">
          <w:pPr>
            <w:pStyle w:val="15"/>
            <w:tabs>
              <w:tab w:val="right" w:leader="dot" w:pos="8306"/>
              <w:tab w:val="clear" w:pos="9356"/>
            </w:tabs>
            <w:spacing w:line="380" w:lineRule="exact"/>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_Toc30703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lang w:val="en-US" w:eastAsia="zh-CN"/>
            </w:rPr>
            <w:t>八、绩效评价结果应用建议</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_Toc30703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21</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49329CFB">
          <w:pPr>
            <w:pStyle w:val="15"/>
            <w:tabs>
              <w:tab w:val="right" w:leader="dot" w:pos="8306"/>
              <w:tab w:val="clear" w:pos="9356"/>
            </w:tabs>
            <w:spacing w:line="380" w:lineRule="exact"/>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_Toc29845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lang w:val="en-US" w:eastAsia="zh-CN"/>
            </w:rPr>
            <w:t>九</w:t>
          </w:r>
          <w:r>
            <w:rPr>
              <w:rFonts w:ascii="Times New Roman" w:hAnsi="Times New Roman" w:eastAsia="宋体" w:cs="Times New Roman"/>
              <w:bCs w:val="0"/>
              <w:color w:val="auto"/>
              <w:kern w:val="2"/>
              <w:sz w:val="21"/>
              <w:szCs w:val="21"/>
              <w:highlight w:val="none"/>
            </w:rPr>
            <w:t>、其他需要说明的问题</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_Toc29845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22</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118B2645">
          <w:pPr>
            <w:pStyle w:val="15"/>
            <w:tabs>
              <w:tab w:val="right" w:leader="dot" w:pos="8306"/>
              <w:tab w:val="clear" w:pos="9356"/>
            </w:tabs>
            <w:spacing w:line="380" w:lineRule="exact"/>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_Toc19293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rPr>
            <w:t>附件1：绩效评价指标体系及综合评价表</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_Toc19293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23</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2FF01330">
          <w:pPr>
            <w:pStyle w:val="15"/>
            <w:tabs>
              <w:tab w:val="right" w:leader="dot" w:pos="8306"/>
              <w:tab w:val="clear" w:pos="9356"/>
            </w:tabs>
            <w:spacing w:line="380" w:lineRule="exact"/>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_Toc19977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附件2：基础表</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_Toc19977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28</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32076ECA">
          <w:pPr>
            <w:pStyle w:val="15"/>
            <w:tabs>
              <w:tab w:val="right" w:leader="dot" w:pos="8306"/>
              <w:tab w:val="clear" w:pos="9356"/>
            </w:tabs>
            <w:spacing w:line="380" w:lineRule="exact"/>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_Toc10603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附件</w:t>
          </w:r>
          <w:r>
            <w:rPr>
              <w:rFonts w:hint="default" w:ascii="Times New Roman" w:hAnsi="Times New Roman" w:eastAsia="宋体" w:cs="Times New Roman"/>
              <w:bCs w:val="0"/>
              <w:color w:val="auto"/>
              <w:kern w:val="2"/>
              <w:sz w:val="21"/>
              <w:szCs w:val="21"/>
              <w:highlight w:val="none"/>
              <w:lang w:val="en-US" w:eastAsia="zh-CN"/>
            </w:rPr>
            <w:t>3</w:t>
          </w:r>
          <w:r>
            <w:rPr>
              <w:rFonts w:ascii="Times New Roman" w:hAnsi="Times New Roman" w:eastAsia="宋体" w:cs="Times New Roman"/>
              <w:bCs w:val="0"/>
              <w:color w:val="auto"/>
              <w:kern w:val="2"/>
              <w:sz w:val="21"/>
              <w:szCs w:val="21"/>
              <w:highlight w:val="none"/>
            </w:rPr>
            <w:t>：问卷调查分析报告</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_Toc10603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29</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21559C44">
          <w:pPr>
            <w:pStyle w:val="15"/>
            <w:tabs>
              <w:tab w:val="right" w:leader="dot" w:pos="8306"/>
              <w:tab w:val="clear" w:pos="9356"/>
            </w:tabs>
            <w:spacing w:line="380" w:lineRule="exact"/>
            <w:rPr>
              <w:rFonts w:ascii="Times New Roman" w:hAnsi="Times New Roman" w:eastAsia="宋体" w:cs="Times New Roman"/>
              <w:color w:val="auto"/>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_Toc11057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附件</w:t>
          </w:r>
          <w:r>
            <w:rPr>
              <w:rFonts w:hint="eastAsia" w:ascii="Times New Roman" w:hAnsi="Times New Roman" w:eastAsia="宋体" w:cs="Times New Roman"/>
              <w:bCs w:val="0"/>
              <w:color w:val="auto"/>
              <w:kern w:val="2"/>
              <w:sz w:val="21"/>
              <w:szCs w:val="21"/>
              <w:highlight w:val="none"/>
              <w:lang w:val="en-US" w:eastAsia="zh-CN"/>
            </w:rPr>
            <w:t>4</w:t>
          </w:r>
          <w:r>
            <w:rPr>
              <w:rFonts w:ascii="Times New Roman" w:hAnsi="Times New Roman" w:eastAsia="宋体" w:cs="Times New Roman"/>
              <w:bCs w:val="0"/>
              <w:color w:val="auto"/>
              <w:kern w:val="2"/>
              <w:sz w:val="21"/>
              <w:szCs w:val="21"/>
              <w:highlight w:val="none"/>
            </w:rPr>
            <w:t>：绩效评价</w:t>
          </w:r>
          <w:r>
            <w:rPr>
              <w:rFonts w:hint="default" w:ascii="Times New Roman" w:hAnsi="Times New Roman" w:eastAsia="宋体" w:cs="Times New Roman"/>
              <w:bCs w:val="0"/>
              <w:color w:val="auto"/>
              <w:kern w:val="2"/>
              <w:sz w:val="21"/>
              <w:szCs w:val="21"/>
              <w:highlight w:val="none"/>
            </w:rPr>
            <w:t>工作沟通</w:t>
          </w:r>
          <w:r>
            <w:rPr>
              <w:rFonts w:ascii="Times New Roman" w:hAnsi="Times New Roman" w:eastAsia="宋体" w:cs="Times New Roman"/>
              <w:bCs w:val="0"/>
              <w:color w:val="auto"/>
              <w:kern w:val="2"/>
              <w:sz w:val="21"/>
              <w:szCs w:val="21"/>
              <w:highlight w:val="none"/>
            </w:rPr>
            <w:t>反馈</w:t>
          </w:r>
          <w:r>
            <w:rPr>
              <w:rFonts w:hint="default" w:ascii="Times New Roman" w:hAnsi="Times New Roman" w:eastAsia="宋体" w:cs="Times New Roman"/>
              <w:bCs w:val="0"/>
              <w:color w:val="auto"/>
              <w:kern w:val="2"/>
              <w:sz w:val="21"/>
              <w:szCs w:val="21"/>
              <w:highlight w:val="none"/>
            </w:rPr>
            <w:t>结果</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_Toc11057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32</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21D01172">
          <w:pPr>
            <w:keepNext w:val="0"/>
            <w:keepLines w:val="0"/>
            <w:pageBreakBefore w:val="0"/>
            <w:widowControl w:val="0"/>
            <w:kinsoku/>
            <w:wordWrap/>
            <w:overflowPunct/>
            <w:topLinePunct w:val="0"/>
            <w:autoSpaceDE/>
            <w:autoSpaceDN/>
            <w:bidi w:val="0"/>
            <w:adjustRightInd w:val="0"/>
            <w:snapToGrid w:val="0"/>
            <w:spacing w:line="380" w:lineRule="exact"/>
            <w:ind w:firstLine="0" w:firstLineChars="0"/>
            <w:jc w:val="center"/>
            <w:textAlignment w:val="auto"/>
            <w:rPr>
              <w:rFonts w:ascii="Times New Roman" w:hAnsi="Times New Roman" w:eastAsia="宋体" w:cs="Times New Roman"/>
              <w:color w:val="auto"/>
              <w:highlight w:val="none"/>
            </w:rPr>
          </w:pPr>
          <w:r>
            <w:rPr>
              <w:rFonts w:ascii="Times New Roman" w:hAnsi="Times New Roman" w:eastAsia="宋体" w:cs="Times New Roman"/>
              <w:b/>
              <w:bCs w:val="0"/>
              <w:color w:val="auto"/>
              <w:sz w:val="21"/>
              <w:szCs w:val="21"/>
              <w:highlight w:val="none"/>
            </w:rPr>
            <w:fldChar w:fldCharType="end"/>
          </w:r>
        </w:p>
      </w:sdtContent>
    </w:sdt>
    <w:p w14:paraId="24C1013E">
      <w:pPr>
        <w:pageBreakBefore w:val="0"/>
        <w:kinsoku/>
        <w:wordWrap/>
        <w:overflowPunct/>
        <w:topLinePunct w:val="0"/>
        <w:autoSpaceDE/>
        <w:autoSpaceDN/>
        <w:bidi w:val="0"/>
        <w:snapToGrid w:val="0"/>
        <w:spacing w:line="360" w:lineRule="auto"/>
        <w:ind w:firstLine="0" w:firstLineChars="0"/>
        <w:rPr>
          <w:rFonts w:ascii="Times New Roman" w:hAnsi="Times New Roman" w:eastAsia="宋体" w:cs="Times New Roman"/>
          <w:color w:val="auto"/>
          <w:highlight w:val="none"/>
        </w:rPr>
        <w:sectPr>
          <w:footerReference r:id="rId13" w:type="default"/>
          <w:pgSz w:w="11906" w:h="16838"/>
          <w:pgMar w:top="1440" w:right="1800" w:bottom="1440" w:left="1800" w:header="850" w:footer="907" w:gutter="0"/>
          <w:pgNumType w:start="1"/>
          <w:cols w:space="425" w:num="1"/>
          <w:docGrid w:type="lines" w:linePitch="312" w:charSpace="0"/>
        </w:sectPr>
      </w:pPr>
    </w:p>
    <w:p w14:paraId="6E51001A">
      <w:pPr>
        <w:pageBreakBefore w:val="0"/>
        <w:kinsoku/>
        <w:wordWrap/>
        <w:overflowPunct/>
        <w:topLinePunct w:val="0"/>
        <w:autoSpaceDE/>
        <w:autoSpaceDN/>
        <w:bidi w:val="0"/>
        <w:snapToGrid w:val="0"/>
        <w:spacing w:line="360" w:lineRule="auto"/>
        <w:ind w:firstLine="0" w:firstLineChars="0"/>
        <w:rPr>
          <w:rFonts w:ascii="Times New Roman" w:hAnsi="Times New Roman" w:eastAsia="宋体" w:cs="Times New Roman"/>
          <w:color w:val="auto"/>
          <w:highlight w:val="none"/>
        </w:rPr>
      </w:pPr>
    </w:p>
    <w:p w14:paraId="34C186FD">
      <w:pPr>
        <w:pageBreakBefore w:val="0"/>
        <w:kinsoku/>
        <w:wordWrap/>
        <w:overflowPunct/>
        <w:topLinePunct w:val="0"/>
        <w:autoSpaceDE/>
        <w:autoSpaceDN/>
        <w:bidi w:val="0"/>
        <w:adjustRightInd/>
        <w:snapToGrid w:val="0"/>
        <w:spacing w:line="360" w:lineRule="auto"/>
        <w:ind w:left="-178" w:leftChars="-85" w:firstLine="0" w:firstLineChars="0"/>
        <w:jc w:val="center"/>
        <w:outlineLvl w:val="0"/>
        <w:rPr>
          <w:rFonts w:ascii="Times New Roman" w:hAnsi="Times New Roman" w:eastAsia="宋体" w:cs="Times New Roman"/>
          <w:b/>
          <w:color w:val="auto"/>
          <w:sz w:val="48"/>
          <w:szCs w:val="48"/>
          <w:highlight w:val="none"/>
        </w:rPr>
      </w:pPr>
      <w:bookmarkStart w:id="13" w:name="_Toc815237457"/>
      <w:bookmarkStart w:id="14" w:name="_Toc1861376465"/>
      <w:bookmarkStart w:id="15" w:name="_Toc25378"/>
      <w:bookmarkStart w:id="16" w:name="_Toc428"/>
      <w:bookmarkStart w:id="17" w:name="_Toc17971"/>
      <w:bookmarkStart w:id="18" w:name="_Toc26455"/>
      <w:bookmarkStart w:id="19" w:name="_Toc5622"/>
      <w:r>
        <w:rPr>
          <w:rFonts w:ascii="Times New Roman" w:hAnsi="Times New Roman" w:eastAsia="宋体" w:cs="Times New Roman"/>
          <w:b/>
          <w:color w:val="auto"/>
          <w:sz w:val="48"/>
          <w:szCs w:val="48"/>
          <w:highlight w:val="none"/>
        </w:rPr>
        <w:t>新疆驰远天合有限责任会计师事务所</w:t>
      </w:r>
      <w:bookmarkEnd w:id="13"/>
      <w:bookmarkEnd w:id="14"/>
      <w:bookmarkEnd w:id="15"/>
      <w:bookmarkEnd w:id="16"/>
      <w:bookmarkEnd w:id="17"/>
      <w:bookmarkEnd w:id="18"/>
      <w:bookmarkEnd w:id="19"/>
    </w:p>
    <w:p w14:paraId="409B0B44">
      <w:pPr>
        <w:pageBreakBefore w:val="0"/>
        <w:kinsoku/>
        <w:wordWrap/>
        <w:overflowPunct/>
        <w:topLinePunct w:val="0"/>
        <w:autoSpaceDE/>
        <w:autoSpaceDN/>
        <w:bidi w:val="0"/>
        <w:adjustRightInd/>
        <w:snapToGrid w:val="0"/>
        <w:spacing w:line="360" w:lineRule="auto"/>
        <w:ind w:firstLine="0" w:firstLineChars="0"/>
        <w:jc w:val="center"/>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XinjiangChiyuantianheCertifiedPublicAccountantsCo.,Ltd.</w:t>
      </w:r>
    </w:p>
    <w:p w14:paraId="2B0C9F46">
      <w:pPr>
        <w:pageBreakBefore w:val="0"/>
        <w:kinsoku/>
        <w:wordWrap/>
        <w:overflowPunct/>
        <w:topLinePunct w:val="0"/>
        <w:autoSpaceDE/>
        <w:autoSpaceDN/>
        <w:bidi w:val="0"/>
        <w:adjustRightInd/>
        <w:snapToGrid w:val="0"/>
        <w:spacing w:line="360" w:lineRule="auto"/>
        <w:ind w:firstLine="0" w:firstLineChars="0"/>
        <w:jc w:val="center"/>
        <w:outlineLvl w:val="0"/>
        <w:rPr>
          <w:rFonts w:ascii="Times New Roman" w:hAnsi="Times New Roman" w:eastAsia="宋体" w:cs="Times New Roman"/>
          <w:color w:val="auto"/>
          <w:highlight w:val="none"/>
        </w:rPr>
      </w:pPr>
      <w:bookmarkStart w:id="20" w:name="_Toc11722"/>
      <w:bookmarkStart w:id="21" w:name="_Toc1496"/>
      <w:bookmarkStart w:id="22" w:name="_Toc1759961406"/>
      <w:bookmarkStart w:id="23" w:name="_Toc750271939"/>
      <w:bookmarkStart w:id="24" w:name="_Toc4177"/>
      <w:bookmarkStart w:id="25" w:name="_Toc21607"/>
      <w:bookmarkStart w:id="26" w:name="_Toc23718"/>
      <w:r>
        <w:rPr>
          <w:rFonts w:ascii="Times New Roman" w:hAnsi="Times New Roman" w:eastAsia="宋体" w:cs="Times New Roman"/>
          <w:b/>
          <w:color w:val="auto"/>
          <w:spacing w:val="66"/>
          <w:kern w:val="0"/>
          <w:sz w:val="44"/>
          <w:szCs w:val="44"/>
          <w:highlight w:val="none"/>
          <w:fitText w:val="3300" w:id="1424759405"/>
        </w:rPr>
        <w:t>绩效评价报</w:t>
      </w:r>
      <w:r>
        <w:rPr>
          <w:rFonts w:ascii="Times New Roman" w:hAnsi="Times New Roman" w:eastAsia="宋体" w:cs="Times New Roman"/>
          <w:b/>
          <w:color w:val="auto"/>
          <w:spacing w:val="0"/>
          <w:kern w:val="0"/>
          <w:sz w:val="44"/>
          <w:szCs w:val="44"/>
          <w:highlight w:val="none"/>
          <w:fitText w:val="3300" w:id="1424759405"/>
        </w:rPr>
        <w:t>告</w:t>
      </w:r>
      <w:bookmarkEnd w:id="20"/>
      <w:bookmarkEnd w:id="21"/>
      <w:bookmarkEnd w:id="22"/>
      <w:bookmarkEnd w:id="23"/>
      <w:bookmarkEnd w:id="24"/>
      <w:bookmarkEnd w:id="25"/>
      <w:bookmarkEnd w:id="26"/>
    </w:p>
    <w:p w14:paraId="28823909">
      <w:pPr>
        <w:pageBreakBefore w:val="0"/>
        <w:kinsoku/>
        <w:wordWrap/>
        <w:overflowPunct/>
        <w:topLinePunct w:val="0"/>
        <w:autoSpaceDE/>
        <w:autoSpaceDN/>
        <w:bidi w:val="0"/>
        <w:adjustRightInd/>
        <w:snapToGrid w:val="0"/>
        <w:spacing w:line="360" w:lineRule="auto"/>
        <w:ind w:firstLine="0" w:firstLineChars="0"/>
        <w:jc w:val="center"/>
        <w:outlineLvl w:val="0"/>
        <w:rPr>
          <w:rFonts w:ascii="Times New Roman" w:hAnsi="Times New Roman" w:eastAsia="宋体" w:cs="Times New Roman"/>
          <w:color w:val="auto"/>
          <w:highlight w:val="none"/>
        </w:rPr>
      </w:pPr>
      <w:bookmarkStart w:id="27" w:name="_Toc20321"/>
      <w:r>
        <w:rPr>
          <w:rFonts w:hint="default" w:ascii="Times New Roman" w:hAnsi="Times New Roman" w:eastAsia="宋体" w:cs="Times New Roman"/>
          <w:color w:val="auto"/>
          <w:szCs w:val="21"/>
          <w:highlight w:val="none"/>
        </w:rPr>
        <w:t>驰天会咨字[2025]1-0132号</w:t>
      </w:r>
      <w:bookmarkEnd w:id="27"/>
    </w:p>
    <w:p w14:paraId="003CC7EC">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Times New Roman" w:hAnsi="Times New Roman" w:eastAsia="宋体" w:cs="Times New Roman"/>
          <w:color w:val="auto"/>
          <w:highlight w:val="none"/>
          <w:lang w:val="en-US" w:eastAsia="zh-CN"/>
        </w:rPr>
      </w:pPr>
    </w:p>
    <w:p w14:paraId="6D958C1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伊宁县财政局</w:t>
      </w:r>
      <w:r>
        <w:rPr>
          <w:rFonts w:hint="eastAsia" w:ascii="Times New Roman" w:hAnsi="Times New Roman" w:eastAsia="宋体" w:cs="Times New Roman"/>
          <w:color w:val="auto"/>
          <w:highlight w:val="none"/>
        </w:rPr>
        <w:t>：</w:t>
      </w:r>
    </w:p>
    <w:p w14:paraId="4458A1F5">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rPr>
        <w:t>为贯彻落实全面推进预算绩效管理工作的要求，完善部门预算管理，强化预算支出责任，提高财政资金的使用效益，根据《中共中央国务院关于全面实施预算绩效管理的意见》（中发〔2018〕34号）、《项目支出绩效评价管理办法》（财预〔2020〕10号）、《关于进一步加强和规范第三方机构参与预算绩效管理的通知》（新财预〔2021〕49号）等系列文件的要求，受</w:t>
      </w:r>
      <w:r>
        <w:rPr>
          <w:rFonts w:hint="eastAsia" w:ascii="Times New Roman" w:hAnsi="Times New Roman" w:eastAsia="宋体" w:cs="Times New Roman"/>
          <w:color w:val="auto"/>
          <w:highlight w:val="none"/>
          <w:lang w:val="en-US" w:eastAsia="zh-CN"/>
        </w:rPr>
        <w:t>伊宁县财政局</w:t>
      </w:r>
      <w:r>
        <w:rPr>
          <w:rFonts w:hint="eastAsia" w:ascii="Times New Roman" w:hAnsi="Times New Roman" w:eastAsia="宋体" w:cs="Times New Roman"/>
          <w:color w:val="auto"/>
          <w:highlight w:val="none"/>
        </w:rPr>
        <w:t>的委托，新疆驰远天合有限责任会计师事务所以第三方社会评价机构的身份，承担了</w:t>
      </w:r>
      <w:r>
        <w:rPr>
          <w:rFonts w:hint="eastAsia" w:ascii="Times New Roman" w:hAnsi="Times New Roman" w:eastAsia="宋体" w:cs="Times New Roman"/>
          <w:color w:val="auto"/>
          <w:highlight w:val="none"/>
          <w:lang w:val="en-US" w:eastAsia="zh-CN"/>
        </w:rPr>
        <w:t>伊宁县成品油税费农村公路日常养护项目</w:t>
      </w:r>
      <w:r>
        <w:rPr>
          <w:rFonts w:hint="eastAsia" w:ascii="Times New Roman" w:hAnsi="Times New Roman" w:eastAsia="宋体" w:cs="Times New Roman"/>
          <w:color w:val="auto"/>
          <w:highlight w:val="none"/>
        </w:rPr>
        <w:t>的绩效评价工作并形成绩效评价报告</w:t>
      </w:r>
      <w:r>
        <w:rPr>
          <w:rFonts w:hint="eastAsia" w:ascii="Times New Roman" w:hAnsi="Times New Roman" w:eastAsia="宋体" w:cs="Times New Roman"/>
          <w:color w:val="auto"/>
          <w:highlight w:val="none"/>
          <w:lang w:eastAsia="zh-CN"/>
        </w:rPr>
        <w:t>。伊宁县</w:t>
      </w:r>
      <w:r>
        <w:rPr>
          <w:rFonts w:hint="eastAsia" w:ascii="Times New Roman" w:hAnsi="Times New Roman" w:eastAsia="宋体" w:cs="Times New Roman"/>
          <w:color w:val="auto"/>
          <w:highlight w:val="none"/>
          <w:lang w:val="en-US" w:eastAsia="zh-CN"/>
        </w:rPr>
        <w:t>交通运输局</w:t>
      </w:r>
      <w:r>
        <w:rPr>
          <w:rFonts w:hint="eastAsia" w:ascii="Times New Roman" w:hAnsi="Times New Roman" w:eastAsia="宋体" w:cs="Times New Roman"/>
          <w:color w:val="auto"/>
          <w:highlight w:val="none"/>
        </w:rPr>
        <w:t>负责提供与本次绩效评价相关的项目资料并保证项目资料的真实、合法、准确和完整，现将项目绩效评价情况报告如下：</w:t>
      </w:r>
    </w:p>
    <w:p w14:paraId="3FDA7063">
      <w:pPr>
        <w:pStyle w:val="4"/>
        <w:keepNext/>
        <w:keepLines/>
        <w:pageBreakBefore w:val="0"/>
        <w:widowControl w:val="0"/>
        <w:kinsoku/>
        <w:wordWrap/>
        <w:overflowPunct/>
        <w:topLinePunct w:val="0"/>
        <w:autoSpaceDE/>
        <w:autoSpaceDN/>
        <w:bidi w:val="0"/>
        <w:adjustRightInd w:val="0"/>
        <w:snapToGrid w:val="0"/>
        <w:spacing w:before="0" w:after="0" w:line="360" w:lineRule="auto"/>
        <w:textAlignment w:val="auto"/>
        <w:rPr>
          <w:rFonts w:hint="eastAsia" w:ascii="Times New Roman" w:hAnsi="Times New Roman" w:eastAsia="宋体" w:cs="Times New Roman"/>
          <w:color w:val="auto"/>
          <w:highlight w:val="none"/>
          <w:lang w:eastAsia="zh-CN"/>
        </w:rPr>
      </w:pPr>
      <w:bookmarkStart w:id="28" w:name="_Toc4365"/>
      <w:bookmarkStart w:id="29" w:name="_Toc777269994"/>
      <w:r>
        <w:rPr>
          <w:rFonts w:hint="eastAsia" w:ascii="Times New Roman" w:hAnsi="Times New Roman" w:eastAsia="宋体" w:cs="Times New Roman"/>
          <w:color w:val="auto"/>
          <w:highlight w:val="none"/>
          <w:lang w:val="en-US" w:eastAsia="zh-CN"/>
        </w:rPr>
        <w:t>一、基本情况</w:t>
      </w:r>
      <w:bookmarkEnd w:id="28"/>
      <w:bookmarkEnd w:id="29"/>
    </w:p>
    <w:p w14:paraId="23627638">
      <w:pPr>
        <w:pStyle w:val="5"/>
        <w:pageBreakBefore w:val="0"/>
        <w:widowControl w:val="0"/>
        <w:kinsoku/>
        <w:wordWrap/>
        <w:overflowPunct/>
        <w:topLinePunct w:val="0"/>
        <w:autoSpaceDE/>
        <w:autoSpaceDN/>
        <w:bidi w:val="0"/>
        <w:adjustRightInd w:val="0"/>
        <w:snapToGrid w:val="0"/>
        <w:spacing w:before="0" w:after="0" w:line="360" w:lineRule="auto"/>
        <w:ind w:firstLine="667"/>
        <w:textAlignment w:val="auto"/>
        <w:rPr>
          <w:rFonts w:hint="default" w:ascii="Times New Roman" w:hAnsi="Times New Roman" w:eastAsia="宋体" w:cs="Times New Roman"/>
          <w:color w:val="auto"/>
          <w:highlight w:val="none"/>
        </w:rPr>
      </w:pPr>
      <w:bookmarkStart w:id="30" w:name="_Toc20449"/>
      <w:bookmarkStart w:id="31" w:name="_Toc5761"/>
      <w:bookmarkStart w:id="32" w:name="_Toc433764457"/>
      <w:bookmarkStart w:id="33" w:name="_Toc19237"/>
      <w:bookmarkStart w:id="34" w:name="_Toc327"/>
      <w:r>
        <w:rPr>
          <w:rFonts w:hint="default" w:ascii="Times New Roman" w:hAnsi="Times New Roman" w:eastAsia="宋体" w:cs="Times New Roman"/>
          <w:color w:val="auto"/>
          <w:highlight w:val="none"/>
        </w:rPr>
        <w:t>（一）</w:t>
      </w:r>
      <w:r>
        <w:rPr>
          <w:rFonts w:hint="default" w:ascii="Times New Roman" w:hAnsi="Times New Roman" w:eastAsia="宋体" w:cs="Times New Roman"/>
          <w:color w:val="auto"/>
          <w:highlight w:val="none"/>
          <w:lang w:val="en-US" w:eastAsia="zh-CN"/>
        </w:rPr>
        <w:t>项目概况</w:t>
      </w:r>
      <w:bookmarkEnd w:id="30"/>
      <w:bookmarkEnd w:id="31"/>
      <w:bookmarkEnd w:id="32"/>
      <w:bookmarkEnd w:id="33"/>
      <w:bookmarkEnd w:id="34"/>
    </w:p>
    <w:p w14:paraId="5965819C">
      <w:pPr>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Times New Roman"/>
          <w:b/>
          <w:bCs/>
          <w:color w:val="auto"/>
          <w:highlight w:val="none"/>
          <w:lang w:val="en-US" w:eastAsia="zh-CN"/>
        </w:rPr>
      </w:pPr>
      <w:r>
        <w:rPr>
          <w:rFonts w:hint="eastAsia" w:ascii="Times New Roman" w:hAnsi="Times New Roman" w:eastAsia="宋体" w:cs="Times New Roman"/>
          <w:b/>
          <w:bCs/>
          <w:color w:val="auto"/>
          <w:highlight w:val="none"/>
        </w:rPr>
        <w:t>1.</w:t>
      </w:r>
      <w:r>
        <w:rPr>
          <w:rFonts w:hint="eastAsia" w:ascii="Times New Roman" w:hAnsi="Times New Roman" w:eastAsia="宋体" w:cs="Times New Roman"/>
          <w:b/>
          <w:bCs/>
          <w:color w:val="auto"/>
          <w:highlight w:val="none"/>
          <w:lang w:val="en-US" w:eastAsia="zh-CN"/>
        </w:rPr>
        <w:t>项目立项背景及目的</w:t>
      </w:r>
    </w:p>
    <w:p w14:paraId="12F28586">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党的十八大以来，习近平总书记高度重视农村公路工作，多次对“四好农村路”（建设好、管理好、养护好、运营好）作出重要指示批示。为贯彻落实好习近平总书记重要指示批示精神，切实解决好养护、管理的短板问题，2019年9月5日，国务院办公厅印发了《关于深化农村公路管理养护体制改革的意见》（国办发〔2019〕45号），重点提出三方面政策举措：一是完善农村公路管理养护体制；二是强化农村公路管理养护资金保障；三是建立农村公路管理养护长效机制。为深入贯彻习近平总书记关于“四好农村路”重要指示精神，认真落实《国务院办公厅关于深化农村公路管理养护体制改革的意见》（国办发〔2019〕45号）《新疆维吾尔自治区深化农村公路管理养护体制改革实施方案的通知》（新政办发〔2020〕24号），进一步加强伊宁县农村公路管理养护工作，促进农村公路持续健康发展，伊宁县交通运输局结合地区实际情况，认真组织农村公路日常养护工作，及时对辖区农村公路开展摸底排查，制定2024年度农村公路日常养护计划，申请实施农村公路日常养护项目，改善农村交通运输状况、农村居住生活环境和乡村面貌，促进城乡交流、资源转换、农村传统产业快速升级，带动乡村旅游，促进地区经济的发展。</w:t>
      </w:r>
    </w:p>
    <w:p w14:paraId="3C37D24F">
      <w:pPr>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Times New Roman"/>
          <w:b/>
          <w:bCs/>
          <w:color w:val="auto"/>
          <w:highlight w:val="none"/>
          <w:lang w:val="en-US" w:eastAsia="zh-CN"/>
        </w:rPr>
      </w:pPr>
    </w:p>
    <w:p w14:paraId="482BE626">
      <w:pPr>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Times New Roman"/>
          <w:b/>
          <w:bCs/>
          <w:color w:val="auto"/>
          <w:highlight w:val="none"/>
          <w:lang w:val="en-US" w:eastAsia="zh-CN"/>
        </w:rPr>
      </w:pPr>
      <w:r>
        <w:rPr>
          <w:rFonts w:hint="eastAsia" w:ascii="Times New Roman" w:hAnsi="Times New Roman" w:eastAsia="宋体" w:cs="Times New Roman"/>
          <w:b/>
          <w:bCs/>
          <w:color w:val="auto"/>
          <w:highlight w:val="none"/>
          <w:lang w:val="en-US" w:eastAsia="zh-CN"/>
        </w:rPr>
        <w:t>2</w:t>
      </w:r>
      <w:r>
        <w:rPr>
          <w:rFonts w:hint="eastAsia" w:ascii="Times New Roman" w:hAnsi="Times New Roman" w:eastAsia="宋体" w:cs="Times New Roman"/>
          <w:b/>
          <w:bCs/>
          <w:color w:val="auto"/>
          <w:highlight w:val="none"/>
        </w:rPr>
        <w:t>.</w:t>
      </w:r>
      <w:r>
        <w:rPr>
          <w:rFonts w:hint="eastAsia" w:ascii="Times New Roman" w:hAnsi="Times New Roman" w:eastAsia="宋体" w:cs="Times New Roman"/>
          <w:b/>
          <w:bCs/>
          <w:color w:val="auto"/>
          <w:highlight w:val="none"/>
          <w:lang w:val="en-US" w:eastAsia="zh-CN"/>
        </w:rPr>
        <w:t>项目基本情况</w:t>
      </w:r>
    </w:p>
    <w:p w14:paraId="799FDE00">
      <w:pPr>
        <w:pageBreakBefore w:val="0"/>
        <w:kinsoku/>
        <w:wordWrap/>
        <w:overflowPunct/>
        <w:topLinePunct w:val="0"/>
        <w:autoSpaceDE/>
        <w:autoSpaceDN/>
        <w:bidi w:val="0"/>
        <w:snapToGrid w:val="0"/>
        <w:spacing w:line="360" w:lineRule="auto"/>
        <w:rPr>
          <w:rFonts w:hint="eastAsia" w:ascii="Times New Roman" w:hAnsi="Times New Roman" w:eastAsia="宋体" w:cs="Times New Roman"/>
          <w:color w:val="auto"/>
          <w:highlight w:val="none"/>
          <w:lang w:val="en-US" w:eastAsia="zh-CN"/>
        </w:rPr>
      </w:pPr>
      <w:bookmarkStart w:id="35" w:name="_Toc1719730881"/>
      <w:r>
        <w:rPr>
          <w:rFonts w:hint="eastAsia" w:ascii="Times New Roman" w:hAnsi="Times New Roman" w:eastAsia="宋体" w:cs="Times New Roman"/>
          <w:color w:val="auto"/>
          <w:highlight w:val="none"/>
          <w:lang w:val="en-US" w:eastAsia="zh-CN"/>
        </w:rPr>
        <w:t>项目名称：伊宁县成品油税费农村公路日常养护项目（以下简称“该项目”或“项目”）</w:t>
      </w:r>
    </w:p>
    <w:p w14:paraId="347A5F2D">
      <w:pPr>
        <w:pageBreakBefore w:val="0"/>
        <w:kinsoku/>
        <w:wordWrap/>
        <w:overflowPunct/>
        <w:topLinePunct w:val="0"/>
        <w:autoSpaceDE/>
        <w:autoSpaceDN/>
        <w:bidi w:val="0"/>
        <w:snapToGrid w:val="0"/>
        <w:spacing w:line="360" w:lineRule="auto"/>
        <w:ind w:firstLine="420"/>
        <w:rPr>
          <w:rFonts w:hint="eastAsia" w:ascii="Times New Roman" w:hAnsi="Times New Roman" w:eastAsia="宋体" w:cs="Times New Roman"/>
          <w:color w:val="auto"/>
          <w:highlight w:val="none"/>
          <w:lang w:val="en-US" w:eastAsia="zh-Hans"/>
        </w:rPr>
      </w:pPr>
      <w:r>
        <w:rPr>
          <w:rFonts w:hint="eastAsia" w:ascii="Times New Roman" w:hAnsi="Times New Roman" w:eastAsia="宋体" w:cs="Times New Roman"/>
          <w:color w:val="auto"/>
          <w:highlight w:val="none"/>
          <w:lang w:val="en-US" w:eastAsia="zh-CN"/>
        </w:rPr>
        <w:t>项目实施单位：伊宁县交通运输局</w:t>
      </w:r>
    </w:p>
    <w:p w14:paraId="70EFC4C2">
      <w:pPr>
        <w:pageBreakBefore w:val="0"/>
        <w:kinsoku/>
        <w:wordWrap/>
        <w:overflowPunct/>
        <w:topLinePunct w:val="0"/>
        <w:autoSpaceDE/>
        <w:autoSpaceDN/>
        <w:bidi w:val="0"/>
        <w:snapToGrid w:val="0"/>
        <w:spacing w:line="360" w:lineRule="auto"/>
        <w:ind w:firstLine="420"/>
        <w:rPr>
          <w:rFonts w:hint="eastAsia" w:ascii="Times New Roman" w:hAnsi="Times New Roman" w:eastAsia="宋体" w:cs="Times New Roman"/>
          <w:color w:val="auto"/>
          <w:highlight w:val="none"/>
          <w:lang w:val="en-US" w:eastAsia="zh-Hans"/>
        </w:rPr>
      </w:pPr>
      <w:r>
        <w:rPr>
          <w:rFonts w:hint="eastAsia" w:ascii="Times New Roman" w:hAnsi="Times New Roman" w:eastAsia="宋体" w:cs="Times New Roman"/>
          <w:color w:val="auto"/>
          <w:highlight w:val="none"/>
          <w:lang w:val="en-US" w:eastAsia="zh-Hans"/>
        </w:rPr>
        <w:t>项目</w:t>
      </w:r>
      <w:r>
        <w:rPr>
          <w:rFonts w:hint="eastAsia" w:ascii="Times New Roman" w:hAnsi="Times New Roman" w:eastAsia="宋体" w:cs="Times New Roman"/>
          <w:color w:val="auto"/>
          <w:highlight w:val="none"/>
          <w:lang w:val="en-US" w:eastAsia="zh-CN"/>
        </w:rPr>
        <w:t>实施</w:t>
      </w:r>
      <w:r>
        <w:rPr>
          <w:rFonts w:hint="eastAsia" w:ascii="Times New Roman" w:hAnsi="Times New Roman" w:eastAsia="宋体" w:cs="Times New Roman"/>
          <w:color w:val="auto"/>
          <w:highlight w:val="none"/>
          <w:lang w:val="en-US" w:eastAsia="zh-Hans"/>
        </w:rPr>
        <w:t>内容：</w:t>
      </w:r>
      <w:r>
        <w:rPr>
          <w:rFonts w:hint="eastAsia" w:ascii="Times New Roman" w:hAnsi="Times New Roman" w:eastAsia="宋体" w:cs="Times New Roman"/>
          <w:color w:val="auto"/>
          <w:highlight w:val="none"/>
          <w:lang w:val="en-US" w:eastAsia="zh-CN"/>
        </w:rPr>
        <w:t>对伊宁县27条县乡村道路合计</w:t>
      </w:r>
      <w:r>
        <w:rPr>
          <w:rFonts w:hint="eastAsia" w:eastAsia="宋体" w:cs="Times New Roman"/>
          <w:color w:val="auto"/>
          <w:highlight w:val="none"/>
          <w:lang w:val="en-US" w:eastAsia="zh-CN"/>
        </w:rPr>
        <w:t>214.2</w:t>
      </w:r>
      <w:r>
        <w:rPr>
          <w:rFonts w:hint="eastAsia" w:ascii="Times New Roman" w:hAnsi="Times New Roman" w:eastAsia="宋体" w:cs="Times New Roman"/>
          <w:color w:val="auto"/>
          <w:highlight w:val="none"/>
          <w:lang w:val="en-US" w:eastAsia="zh-CN"/>
        </w:rPr>
        <w:t>公里进行路基路面日常养护。</w:t>
      </w:r>
      <w:r>
        <w:rPr>
          <w:rFonts w:hint="eastAsia" w:ascii="Times New Roman" w:hAnsi="Times New Roman" w:eastAsia="宋体" w:cs="Times New Roman"/>
          <w:color w:val="auto"/>
          <w:highlight w:val="none"/>
        </w:rPr>
        <w:t>具体</w:t>
      </w:r>
      <w:r>
        <w:rPr>
          <w:rFonts w:hint="eastAsia" w:ascii="Times New Roman" w:hAnsi="Times New Roman" w:eastAsia="宋体" w:cs="Times New Roman"/>
          <w:color w:val="auto"/>
          <w:highlight w:val="none"/>
          <w:lang w:val="en-US" w:eastAsia="zh-CN"/>
        </w:rPr>
        <w:t>包括</w:t>
      </w:r>
      <w:r>
        <w:rPr>
          <w:rFonts w:hint="eastAsia" w:ascii="Times New Roman" w:hAnsi="Times New Roman" w:eastAsia="宋体" w:cs="Times New Roman"/>
          <w:color w:val="auto"/>
          <w:highlight w:val="none"/>
        </w:rPr>
        <w:t>县道</w:t>
      </w:r>
      <w:r>
        <w:rPr>
          <w:rFonts w:hint="eastAsia" w:ascii="Times New Roman" w:hAnsi="Times New Roman" w:eastAsia="宋体" w:cs="Times New Roman"/>
          <w:color w:val="auto"/>
          <w:highlight w:val="none"/>
          <w:lang w:val="en-US" w:eastAsia="zh-CN"/>
        </w:rPr>
        <w:t>6</w:t>
      </w:r>
      <w:r>
        <w:rPr>
          <w:rFonts w:hint="eastAsia" w:ascii="Times New Roman" w:hAnsi="Times New Roman" w:eastAsia="宋体" w:cs="Times New Roman"/>
          <w:color w:val="auto"/>
          <w:highlight w:val="none"/>
        </w:rPr>
        <w:t>条合计</w:t>
      </w:r>
      <w:r>
        <w:rPr>
          <w:rFonts w:hint="eastAsia" w:ascii="Times New Roman" w:hAnsi="Times New Roman" w:eastAsia="宋体" w:cs="Times New Roman"/>
          <w:color w:val="auto"/>
          <w:highlight w:val="none"/>
          <w:lang w:val="en-US" w:eastAsia="zh-CN"/>
        </w:rPr>
        <w:t>67.5</w:t>
      </w:r>
      <w:r>
        <w:rPr>
          <w:rFonts w:hint="eastAsia" w:eastAsia="宋体" w:cs="Times New Roman"/>
          <w:color w:val="auto"/>
          <w:highlight w:val="none"/>
          <w:lang w:val="en-US" w:eastAsia="zh-CN"/>
        </w:rPr>
        <w:t>0</w:t>
      </w:r>
      <w:r>
        <w:rPr>
          <w:rFonts w:hint="eastAsia" w:ascii="Times New Roman" w:hAnsi="Times New Roman" w:eastAsia="宋体" w:cs="Times New Roman"/>
          <w:color w:val="auto"/>
          <w:highlight w:val="none"/>
          <w:lang w:eastAsia="zh-CN"/>
        </w:rPr>
        <w:t>公里，</w:t>
      </w:r>
      <w:r>
        <w:rPr>
          <w:rFonts w:hint="eastAsia" w:ascii="Times New Roman" w:hAnsi="Times New Roman" w:eastAsia="宋体" w:cs="Times New Roman"/>
          <w:color w:val="auto"/>
          <w:highlight w:val="none"/>
        </w:rPr>
        <w:t>分别为：X702线、X703线、X705线、X706线、X709线</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X7</w:t>
      </w:r>
      <w:r>
        <w:rPr>
          <w:rFonts w:hint="eastAsia" w:ascii="Times New Roman" w:hAnsi="Times New Roman" w:eastAsia="宋体" w:cs="Times New Roman"/>
          <w:color w:val="auto"/>
          <w:highlight w:val="none"/>
          <w:lang w:val="en-US" w:eastAsia="zh-CN"/>
        </w:rPr>
        <w:t>10</w:t>
      </w:r>
      <w:r>
        <w:rPr>
          <w:rFonts w:hint="eastAsia" w:ascii="Times New Roman" w:hAnsi="Times New Roman" w:eastAsia="宋体" w:cs="Times New Roman"/>
          <w:color w:val="auto"/>
          <w:highlight w:val="none"/>
        </w:rPr>
        <w:t>线；乡道8条合计</w:t>
      </w:r>
      <w:r>
        <w:rPr>
          <w:rFonts w:hint="eastAsia" w:ascii="Times New Roman" w:hAnsi="Times New Roman" w:eastAsia="宋体" w:cs="Times New Roman"/>
          <w:color w:val="auto"/>
          <w:highlight w:val="none"/>
          <w:lang w:val="en-US" w:eastAsia="zh-CN"/>
        </w:rPr>
        <w:t>43.9</w:t>
      </w:r>
      <w:r>
        <w:rPr>
          <w:rFonts w:hint="eastAsia" w:eastAsia="宋体" w:cs="Times New Roman"/>
          <w:color w:val="auto"/>
          <w:highlight w:val="none"/>
          <w:lang w:val="en-US" w:eastAsia="zh-CN"/>
        </w:rPr>
        <w:t>0</w:t>
      </w:r>
      <w:r>
        <w:rPr>
          <w:rFonts w:hint="eastAsia" w:ascii="Times New Roman" w:hAnsi="Times New Roman" w:eastAsia="宋体" w:cs="Times New Roman"/>
          <w:color w:val="auto"/>
          <w:highlight w:val="none"/>
          <w:lang w:eastAsia="zh-CN"/>
        </w:rPr>
        <w:t>公里，</w:t>
      </w:r>
      <w:r>
        <w:rPr>
          <w:rFonts w:hint="eastAsia" w:ascii="Times New Roman" w:hAnsi="Times New Roman" w:eastAsia="宋体" w:cs="Times New Roman"/>
          <w:color w:val="auto"/>
          <w:highlight w:val="none"/>
        </w:rPr>
        <w:t>分别为：Y136线、Y177线、Y074线、Y082线、Y029线、Y104线、Y005线、Y067线。村道13条合计</w:t>
      </w:r>
      <w:r>
        <w:rPr>
          <w:rFonts w:hint="eastAsia" w:ascii="Times New Roman" w:hAnsi="Times New Roman" w:eastAsia="宋体" w:cs="Times New Roman"/>
          <w:color w:val="auto"/>
          <w:highlight w:val="none"/>
          <w:lang w:val="en-US" w:eastAsia="zh-CN"/>
        </w:rPr>
        <w:t>102.8</w:t>
      </w:r>
      <w:r>
        <w:rPr>
          <w:rFonts w:hint="eastAsia" w:eastAsia="宋体" w:cs="Times New Roman"/>
          <w:color w:val="auto"/>
          <w:highlight w:val="none"/>
          <w:lang w:val="en-US" w:eastAsia="zh-CN"/>
        </w:rPr>
        <w:t>0</w:t>
      </w:r>
      <w:r>
        <w:rPr>
          <w:rFonts w:hint="eastAsia" w:ascii="Times New Roman" w:hAnsi="Times New Roman" w:eastAsia="宋体" w:cs="Times New Roman"/>
          <w:color w:val="auto"/>
          <w:highlight w:val="none"/>
          <w:lang w:eastAsia="zh-CN"/>
        </w:rPr>
        <w:t>公里，</w:t>
      </w:r>
      <w:r>
        <w:rPr>
          <w:rFonts w:hint="eastAsia" w:ascii="Times New Roman" w:hAnsi="Times New Roman" w:eastAsia="宋体" w:cs="Times New Roman"/>
          <w:color w:val="auto"/>
          <w:highlight w:val="none"/>
        </w:rPr>
        <w:t>分别</w:t>
      </w:r>
      <w:r>
        <w:rPr>
          <w:rFonts w:hint="eastAsia" w:eastAsia="宋体" w:cs="Times New Roman"/>
          <w:color w:val="auto"/>
          <w:highlight w:val="none"/>
          <w:lang w:val="en-US" w:eastAsia="zh-CN"/>
        </w:rPr>
        <w:t>为</w:t>
      </w:r>
      <w:r>
        <w:rPr>
          <w:rFonts w:hint="eastAsia" w:ascii="Times New Roman" w:hAnsi="Times New Roman" w:eastAsia="宋体" w:cs="Times New Roman"/>
          <w:color w:val="auto"/>
          <w:highlight w:val="none"/>
        </w:rPr>
        <w:t>：CZ01</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原Z771线</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、CZ02</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原Z772线</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、CZ03</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原Z773线</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、CZ04</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原Z775线</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、C205线、C085线、C200线、C055线、C056线、C050线、C188线、C640线、C076线。</w:t>
      </w:r>
      <w:r>
        <w:rPr>
          <w:rFonts w:hint="eastAsia" w:ascii="Times New Roman" w:hAnsi="Times New Roman" w:eastAsia="宋体" w:cs="Times New Roman"/>
          <w:color w:val="auto"/>
          <w:highlight w:val="none"/>
          <w:lang w:val="en-US" w:eastAsia="zh-Hans"/>
        </w:rPr>
        <w:t>通过项目的实施改善伊宁县乡村道路基础条件，保障出行安全，降低交通风险</w:t>
      </w:r>
      <w:r>
        <w:rPr>
          <w:rFonts w:hint="eastAsia" w:ascii="Times New Roman" w:hAnsi="Times New Roman" w:eastAsia="宋体" w:cs="Times New Roman"/>
          <w:color w:val="auto"/>
          <w:highlight w:val="none"/>
          <w:lang w:eastAsia="zh-Hans"/>
        </w:rPr>
        <w:t>，带动沿线的经济发展</w:t>
      </w:r>
      <w:r>
        <w:rPr>
          <w:rFonts w:hint="eastAsia" w:ascii="Times New Roman" w:hAnsi="Times New Roman" w:eastAsia="宋体" w:cs="Times New Roman"/>
          <w:color w:val="auto"/>
          <w:highlight w:val="none"/>
          <w:lang w:val="en-US" w:eastAsia="zh-Hans"/>
        </w:rPr>
        <w:t>。</w:t>
      </w:r>
    </w:p>
    <w:p w14:paraId="6BAE545F">
      <w:pPr>
        <w:pageBreakBefore w:val="0"/>
        <w:kinsoku/>
        <w:wordWrap/>
        <w:overflowPunct/>
        <w:topLinePunct w:val="0"/>
        <w:autoSpaceDE/>
        <w:autoSpaceDN/>
        <w:bidi w:val="0"/>
        <w:snapToGrid w:val="0"/>
        <w:spacing w:line="360" w:lineRule="auto"/>
        <w:ind w:firstLine="0"/>
        <w:rPr>
          <w:rFonts w:hint="eastAsia" w:ascii="Times New Roman" w:hAnsi="Times New Roman" w:eastAsia="宋体" w:cs="Times New Roman"/>
          <w:color w:val="auto"/>
          <w:highlight w:val="none"/>
          <w:lang w:val="en-US" w:eastAsia="zh-Hans"/>
        </w:rPr>
      </w:pPr>
      <w:r>
        <w:rPr>
          <w:rFonts w:hint="eastAsia" w:ascii="Times New Roman" w:hAnsi="Times New Roman" w:eastAsia="宋体" w:cs="Times New Roman"/>
          <w:color w:val="auto"/>
          <w:highlight w:val="none"/>
          <w:lang w:val="en-US" w:eastAsia="zh-Hans"/>
        </w:rPr>
        <w:t>公路养护工期：2024年4月-2024年10月</w:t>
      </w:r>
    </w:p>
    <w:p w14:paraId="6EB511CE">
      <w:pPr>
        <w:spacing w:line="360" w:lineRule="auto"/>
        <w:ind w:firstLine="0"/>
        <w:rPr>
          <w:rFonts w:hint="eastAsia" w:ascii="Times New Roman" w:hAnsi="Times New Roman" w:eastAsia="宋体" w:cs="Times New Roman"/>
          <w:color w:val="auto"/>
          <w:highlight w:val="none"/>
          <w:lang w:val="en-US" w:eastAsia="zh-Hans"/>
        </w:rPr>
      </w:pPr>
      <w:r>
        <w:rPr>
          <w:rFonts w:hint="eastAsia" w:ascii="Times New Roman" w:hAnsi="Times New Roman" w:eastAsia="宋体" w:cs="Times New Roman"/>
          <w:color w:val="auto"/>
          <w:highlight w:val="none"/>
          <w:lang w:val="en-US" w:eastAsia="zh-Hans"/>
        </w:rPr>
        <w:t>项目投资概算情况：项目总投资预算为</w:t>
      </w:r>
      <w:r>
        <w:rPr>
          <w:rFonts w:hint="eastAsia" w:ascii="Times New Roman" w:hAnsi="Times New Roman" w:eastAsia="宋体" w:cs="Times New Roman"/>
          <w:color w:val="auto"/>
          <w:highlight w:val="none"/>
          <w:lang w:eastAsia="zh-Hans"/>
        </w:rPr>
        <w:t>272.5</w:t>
      </w:r>
      <w:r>
        <w:rPr>
          <w:rFonts w:hint="eastAsia" w:ascii="Times New Roman" w:hAnsi="Times New Roman" w:eastAsia="宋体" w:cs="Times New Roman"/>
          <w:color w:val="auto"/>
          <w:highlight w:val="none"/>
          <w:lang w:val="en-US" w:eastAsia="zh-Hans"/>
        </w:rPr>
        <w:t>3万元，</w:t>
      </w:r>
      <w:r>
        <w:rPr>
          <w:rFonts w:hint="eastAsia" w:ascii="Times New Roman" w:hAnsi="Times New Roman" w:eastAsia="宋体" w:cs="Times New Roman"/>
          <w:color w:val="auto"/>
          <w:highlight w:val="none"/>
          <w:lang w:eastAsia="zh-Hans"/>
        </w:rPr>
        <w:t>其中：建安费224.9</w:t>
      </w:r>
      <w:r>
        <w:rPr>
          <w:rFonts w:hint="eastAsia" w:ascii="Times New Roman" w:hAnsi="Times New Roman" w:eastAsia="宋体" w:cs="Times New Roman"/>
          <w:color w:val="auto"/>
          <w:highlight w:val="none"/>
          <w:lang w:val="en-US" w:eastAsia="zh-Hans"/>
        </w:rPr>
        <w:t>9</w:t>
      </w:r>
      <w:r>
        <w:rPr>
          <w:rFonts w:hint="eastAsia" w:ascii="Times New Roman" w:hAnsi="Times New Roman" w:eastAsia="宋体" w:cs="Times New Roman"/>
          <w:color w:val="auto"/>
          <w:highlight w:val="none"/>
          <w:lang w:eastAsia="zh-Hans"/>
        </w:rPr>
        <w:t>万元，工程建设其他费</w:t>
      </w:r>
      <w:r>
        <w:rPr>
          <w:rFonts w:hint="eastAsia" w:ascii="Times New Roman" w:hAnsi="Times New Roman" w:eastAsia="宋体" w:cs="Times New Roman"/>
          <w:color w:val="auto"/>
          <w:highlight w:val="none"/>
          <w:lang w:val="en-US" w:eastAsia="zh-Hans"/>
        </w:rPr>
        <w:t>39.60</w:t>
      </w:r>
      <w:r>
        <w:rPr>
          <w:rFonts w:hint="eastAsia" w:ascii="Times New Roman" w:hAnsi="Times New Roman" w:eastAsia="宋体" w:cs="Times New Roman"/>
          <w:color w:val="auto"/>
          <w:highlight w:val="none"/>
          <w:lang w:eastAsia="zh-Hans"/>
        </w:rPr>
        <w:t>万元，基本预备费7.9</w:t>
      </w:r>
      <w:r>
        <w:rPr>
          <w:rFonts w:hint="eastAsia" w:ascii="Times New Roman" w:hAnsi="Times New Roman" w:eastAsia="宋体" w:cs="Times New Roman"/>
          <w:color w:val="auto"/>
          <w:highlight w:val="none"/>
          <w:lang w:val="en-US" w:eastAsia="zh-Hans"/>
        </w:rPr>
        <w:t>4</w:t>
      </w:r>
      <w:r>
        <w:rPr>
          <w:rFonts w:hint="eastAsia" w:ascii="Times New Roman" w:hAnsi="Times New Roman" w:eastAsia="宋体" w:cs="Times New Roman"/>
          <w:color w:val="auto"/>
          <w:highlight w:val="none"/>
          <w:lang w:eastAsia="zh-Hans"/>
        </w:rPr>
        <w:t>万元。</w:t>
      </w:r>
    </w:p>
    <w:p w14:paraId="64C8900C">
      <w:pPr>
        <w:pStyle w:val="5"/>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ascii="Times New Roman" w:hAnsi="Times New Roman" w:eastAsia="宋体" w:cs="Times New Roman"/>
          <w:color w:val="auto"/>
          <w:highlight w:val="none"/>
        </w:rPr>
      </w:pPr>
      <w:bookmarkStart w:id="36" w:name="_Toc11213"/>
      <w:r>
        <w:rPr>
          <w:rFonts w:hint="eastAsia" w:ascii="Times New Roman" w:hAnsi="Times New Roman" w:eastAsia="宋体" w:cs="Times New Roman"/>
          <w:color w:val="auto"/>
          <w:highlight w:val="none"/>
        </w:rPr>
        <w:t>（二）</w:t>
      </w:r>
      <w:r>
        <w:rPr>
          <w:rFonts w:ascii="Times New Roman" w:hAnsi="Times New Roman" w:eastAsia="宋体" w:cs="Times New Roman"/>
          <w:color w:val="auto"/>
          <w:highlight w:val="none"/>
        </w:rPr>
        <w:t>资金投入和使用情况</w:t>
      </w:r>
      <w:bookmarkEnd w:id="35"/>
      <w:bookmarkEnd w:id="36"/>
    </w:p>
    <w:p w14:paraId="50CA8AA6">
      <w:pPr>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Times New Roman"/>
          <w:b/>
          <w:bCs/>
          <w:color w:val="auto"/>
          <w:highlight w:val="none"/>
        </w:rPr>
      </w:pPr>
      <w:bookmarkStart w:id="37" w:name="_Toc534511994"/>
      <w:r>
        <w:rPr>
          <w:rFonts w:hint="eastAsia" w:ascii="Times New Roman" w:hAnsi="Times New Roman" w:eastAsia="宋体" w:cs="Times New Roman"/>
          <w:b/>
          <w:bCs/>
          <w:color w:val="auto"/>
          <w:highlight w:val="none"/>
        </w:rPr>
        <w:t>1.预算安排情况</w:t>
      </w:r>
    </w:p>
    <w:p w14:paraId="52E1A1C2">
      <w:pPr>
        <w:pageBreakBefore w:val="0"/>
        <w:widowControl/>
        <w:kinsoku/>
        <w:wordWrap/>
        <w:overflowPunct/>
        <w:topLinePunct w:val="0"/>
        <w:autoSpaceDE/>
        <w:autoSpaceDN/>
        <w:bidi w:val="0"/>
        <w:adjustRightInd/>
        <w:snapToGrid w:val="0"/>
        <w:spacing w:line="360" w:lineRule="auto"/>
        <w:ind w:firstLine="0"/>
        <w:textAlignment w:val="auto"/>
        <w:rPr>
          <w:rFonts w:hint="eastAsia"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b w:val="0"/>
          <w:bCs w:val="0"/>
          <w:color w:val="auto"/>
          <w:kern w:val="2"/>
          <w:sz w:val="21"/>
          <w:szCs w:val="21"/>
          <w:highlight w:val="none"/>
          <w:lang w:val="en-US" w:eastAsia="zh-CN" w:bidi="ar-SA"/>
        </w:rPr>
        <w:t>该项目预算资金总额为</w:t>
      </w:r>
      <w:r>
        <w:rPr>
          <w:rFonts w:hint="eastAsia" w:ascii="Times New Roman" w:hAnsi="Times New Roman" w:eastAsia="宋体" w:cs="Times New Roman"/>
          <w:color w:val="auto"/>
          <w:highlight w:val="none"/>
        </w:rPr>
        <w:t xml:space="preserve"> 272.5</w:t>
      </w:r>
      <w:r>
        <w:rPr>
          <w:rFonts w:hint="eastAsia" w:ascii="Times New Roman" w:hAnsi="Times New Roman" w:eastAsia="宋体" w:cs="Times New Roman"/>
          <w:color w:val="auto"/>
          <w:highlight w:val="none"/>
          <w:lang w:val="en-US" w:eastAsia="zh-CN"/>
        </w:rPr>
        <w:t>3</w:t>
      </w:r>
      <w:r>
        <w:rPr>
          <w:rFonts w:hint="eastAsia" w:ascii="Times New Roman" w:hAnsi="Times New Roman" w:eastAsia="宋体" w:cs="Times New Roman"/>
          <w:b w:val="0"/>
          <w:bCs w:val="0"/>
          <w:color w:val="auto"/>
          <w:kern w:val="2"/>
          <w:sz w:val="21"/>
          <w:szCs w:val="21"/>
          <w:highlight w:val="none"/>
          <w:lang w:val="en-US" w:eastAsia="zh-CN" w:bidi="ar-SA"/>
        </w:rPr>
        <w:t>万元，资金全部来源为2024年中央对地方成品油改革转移支付资金及县财政配套资金。</w:t>
      </w:r>
    </w:p>
    <w:p w14:paraId="0103FCA4">
      <w:pPr>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lang w:val="en-US" w:eastAsia="zh-CN"/>
        </w:rPr>
        <w:t>2.</w:t>
      </w:r>
      <w:r>
        <w:rPr>
          <w:rFonts w:hint="eastAsia" w:ascii="Times New Roman" w:hAnsi="Times New Roman" w:eastAsia="宋体" w:cs="Times New Roman"/>
          <w:b/>
          <w:bCs/>
          <w:color w:val="auto"/>
          <w:highlight w:val="none"/>
        </w:rPr>
        <w:t>资金到位及使用情况</w:t>
      </w:r>
    </w:p>
    <w:p w14:paraId="4B3EF8A5">
      <w:pPr>
        <w:pStyle w:val="5"/>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hint="eastAsia" w:ascii="Times New Roman" w:hAnsi="Times New Roman" w:eastAsia="宋体" w:cs="Times New Roman"/>
          <w:b w:val="0"/>
          <w:bCs w:val="0"/>
          <w:color w:val="auto"/>
          <w:kern w:val="2"/>
          <w:sz w:val="21"/>
          <w:szCs w:val="21"/>
          <w:highlight w:val="none"/>
        </w:rPr>
      </w:pPr>
      <w:bookmarkStart w:id="38" w:name="_Toc8961"/>
      <w:r>
        <w:rPr>
          <w:rFonts w:hint="eastAsia" w:ascii="Times New Roman" w:hAnsi="Times New Roman" w:eastAsia="宋体" w:cs="Times New Roman"/>
          <w:b w:val="0"/>
          <w:bCs w:val="0"/>
          <w:color w:val="auto"/>
          <w:kern w:val="2"/>
          <w:sz w:val="21"/>
          <w:szCs w:val="21"/>
          <w:highlight w:val="none"/>
          <w:lang w:val="en-US" w:eastAsia="zh-CN" w:bidi="ar-SA"/>
        </w:rPr>
        <w:t>截至2024年12月31日，项目到位资金222.00万元，资金到位率81.46%，其中：2023年12月30日，根据伊犁哈萨克自治州财政局印发《关于提前下达2024年中央对地方成品油改革转移支付资金用于农村公路养护支预算的通知》（伊州财建〔2023〕202号），该项目实际到位中央对地方成品油改革转移支付资金222.00万元，县财政配套资金到位0.00万元。</w:t>
      </w:r>
      <w:bookmarkEnd w:id="38"/>
    </w:p>
    <w:p w14:paraId="78D437A4">
      <w:pPr>
        <w:pageBreakBefore w:val="0"/>
        <w:kinsoku/>
        <w:wordWrap/>
        <w:overflowPunct/>
        <w:topLinePunct w:val="0"/>
        <w:autoSpaceDE/>
        <w:autoSpaceDN/>
        <w:bidi w:val="0"/>
        <w:snapToGrid w:val="0"/>
        <w:spacing w:before="0" w:after="0" w:line="360" w:lineRule="auto"/>
        <w:ind w:firstLine="482"/>
        <w:outlineLvl w:val="9"/>
        <w:rPr>
          <w:rFonts w:hint="eastAsia"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b w:val="0"/>
          <w:bCs w:val="0"/>
          <w:color w:val="auto"/>
          <w:kern w:val="2"/>
          <w:sz w:val="21"/>
          <w:szCs w:val="21"/>
          <w:highlight w:val="none"/>
          <w:lang w:val="en-US" w:eastAsia="zh-CN" w:bidi="ar-SA"/>
        </w:rPr>
        <w:t>截至2024年12月31日，项目实际支出222.00万元，预算资金执行率为100.00%。详细资金支出明细见下表：</w:t>
      </w:r>
    </w:p>
    <w:p w14:paraId="5C39E551">
      <w:pPr>
        <w:spacing w:line="360" w:lineRule="auto"/>
        <w:ind w:firstLine="0" w:firstLineChars="0"/>
        <w:jc w:val="center"/>
        <w:rPr>
          <w:rFonts w:ascii="Times New Roman" w:hAnsi="Times New Roman" w:eastAsia="宋体" w:cs="Times New Roman"/>
          <w:color w:val="auto"/>
          <w:highlight w:val="none"/>
        </w:rPr>
      </w:pPr>
      <w:r>
        <w:rPr>
          <w:rFonts w:hint="eastAsia" w:ascii="Times New Roman" w:hAnsi="Times New Roman" w:eastAsia="宋体" w:cs="Times New Roman"/>
          <w:b/>
          <w:bCs/>
          <w:color w:val="auto"/>
          <w:highlight w:val="none"/>
        </w:rPr>
        <w:t>表1-1：</w:t>
      </w:r>
      <w:r>
        <w:rPr>
          <w:rFonts w:hint="eastAsia" w:ascii="Times New Roman" w:hAnsi="Times New Roman" w:eastAsia="宋体" w:cs="Times New Roman"/>
          <w:b/>
          <w:bCs/>
          <w:color w:val="auto"/>
          <w:highlight w:val="none"/>
          <w:lang w:val="en-US" w:eastAsia="zh-CN"/>
        </w:rPr>
        <w:t>伊宁县成品油税费农村公路日常养护项目</w:t>
      </w:r>
      <w:r>
        <w:rPr>
          <w:rFonts w:hint="eastAsia" w:ascii="Times New Roman" w:hAnsi="Times New Roman" w:eastAsia="宋体" w:cs="Times New Roman"/>
          <w:b/>
          <w:bCs/>
          <w:color w:val="auto"/>
          <w:highlight w:val="none"/>
        </w:rPr>
        <w:t>预算资金支出明细表</w:t>
      </w:r>
    </w:p>
    <w:p w14:paraId="22DCD03B">
      <w:pPr>
        <w:widowControl/>
        <w:snapToGrid/>
        <w:spacing w:line="360" w:lineRule="auto"/>
        <w:ind w:firstLine="0" w:firstLineChars="0"/>
        <w:jc w:val="right"/>
        <w:textAlignment w:val="center"/>
        <w:rPr>
          <w:rFonts w:ascii="Times New Roman" w:hAnsi="Times New Roman" w:eastAsia="宋体" w:cs="Times New Roman"/>
          <w:b/>
          <w:bCs/>
          <w:color w:val="auto"/>
          <w:kern w:val="0"/>
          <w:highlight w:val="none"/>
          <w:lang w:bidi="ar"/>
        </w:rPr>
      </w:pPr>
      <w:r>
        <w:rPr>
          <w:rFonts w:ascii="Times New Roman" w:hAnsi="Times New Roman" w:eastAsia="宋体" w:cs="Times New Roman"/>
          <w:b/>
          <w:bCs/>
          <w:color w:val="auto"/>
          <w:kern w:val="0"/>
          <w:highlight w:val="none"/>
          <w:lang w:bidi="ar"/>
        </w:rPr>
        <w:t>单位：万元</w:t>
      </w:r>
    </w:p>
    <w:tbl>
      <w:tblPr>
        <w:tblStyle w:val="1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51" w:type="dxa"/>
          <w:bottom w:w="0" w:type="dxa"/>
          <w:right w:w="51" w:type="dxa"/>
        </w:tblCellMar>
      </w:tblPr>
      <w:tblGrid>
        <w:gridCol w:w="441"/>
        <w:gridCol w:w="671"/>
        <w:gridCol w:w="1894"/>
        <w:gridCol w:w="830"/>
        <w:gridCol w:w="683"/>
        <w:gridCol w:w="812"/>
        <w:gridCol w:w="775"/>
        <w:gridCol w:w="825"/>
        <w:gridCol w:w="1478"/>
      </w:tblGrid>
      <w:tr w14:paraId="50202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280" w:hRule="atLeast"/>
          <w:tblHeader/>
        </w:trPr>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A310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序号</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8C03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单位类型</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0CEED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eastAsia="宋体" w:cs="Times New Roman"/>
                <w:b/>
                <w:bCs/>
                <w:i w:val="0"/>
                <w:iCs w:val="0"/>
                <w:color w:val="auto"/>
                <w:kern w:val="0"/>
                <w:sz w:val="21"/>
                <w:szCs w:val="21"/>
                <w:highlight w:val="none"/>
                <w:u w:val="none"/>
                <w:lang w:val="en-US" w:eastAsia="zh-CN" w:bidi="ar"/>
              </w:rPr>
              <w:t>收款</w:t>
            </w:r>
            <w:r>
              <w:rPr>
                <w:rFonts w:hint="eastAsia" w:ascii="Times New Roman" w:hAnsi="Times New Roman" w:eastAsia="宋体" w:cs="Times New Roman"/>
                <w:b/>
                <w:bCs/>
                <w:i w:val="0"/>
                <w:iCs w:val="0"/>
                <w:color w:val="auto"/>
                <w:kern w:val="0"/>
                <w:sz w:val="21"/>
                <w:szCs w:val="21"/>
                <w:highlight w:val="none"/>
                <w:u w:val="none"/>
                <w:lang w:val="en-US" w:eastAsia="zh-CN" w:bidi="ar"/>
              </w:rPr>
              <w:t>单位名称</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F6AA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费用名称</w:t>
            </w:r>
          </w:p>
        </w:tc>
        <w:tc>
          <w:tcPr>
            <w:tcW w:w="4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48C9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合同金额</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AC2A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审定结算价</w:t>
            </w:r>
          </w:p>
        </w:tc>
        <w:tc>
          <w:tcPr>
            <w:tcW w:w="4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0A53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支出小计</w:t>
            </w:r>
          </w:p>
        </w:tc>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61D4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支付比例</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DD63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资金来源</w:t>
            </w:r>
          </w:p>
        </w:tc>
      </w:tr>
      <w:tr w14:paraId="47C32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280" w:hRule="atLeast"/>
        </w:trPr>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BA200">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4CF69">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施工单位</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0FE34">
            <w:pPr>
              <w:keepNext w:val="0"/>
              <w:keepLines w:val="0"/>
              <w:widowControl/>
              <w:suppressLineNumbers w:val="0"/>
              <w:spacing w:line="240" w:lineRule="auto"/>
              <w:ind w:firstLine="0" w:firstLineChars="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新疆路路通建设工程有限责任公司</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C341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工程款</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36344">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224.03</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2E99F">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222.05</w:t>
            </w:r>
          </w:p>
        </w:tc>
        <w:tc>
          <w:tcPr>
            <w:tcW w:w="4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EF774">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 xml:space="preserve">222.00 </w:t>
            </w:r>
          </w:p>
        </w:tc>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007C1">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99.98%</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D4F7A">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中央对地方成品油改革转移支付资金</w:t>
            </w:r>
          </w:p>
        </w:tc>
      </w:tr>
      <w:tr w14:paraId="6DCBA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520" w:hRule="atLeast"/>
        </w:trPr>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FAC41">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102B4">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设计单位</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D59B45">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云南平捷工程设计咨询有限公司</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CC80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设计费</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BAE58">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3.39</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7C63E">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sz w:val="21"/>
                <w:szCs w:val="21"/>
                <w:highlight w:val="none"/>
                <w:u w:val="none"/>
              </w:rPr>
            </w:pPr>
            <w:r>
              <w:rPr>
                <w:rFonts w:hint="eastAsia" w:eastAsia="宋体" w:cs="Times New Roman"/>
                <w:i w:val="0"/>
                <w:iCs w:val="0"/>
                <w:color w:val="auto"/>
                <w:sz w:val="21"/>
                <w:szCs w:val="21"/>
                <w:highlight w:val="none"/>
                <w:u w:val="none"/>
                <w:lang w:eastAsia="zh-CN"/>
              </w:rPr>
              <w:t>—</w:t>
            </w:r>
          </w:p>
        </w:tc>
        <w:tc>
          <w:tcPr>
            <w:tcW w:w="4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9F9AD">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 xml:space="preserve">0.00 </w:t>
            </w:r>
          </w:p>
        </w:tc>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13FAB">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0.00%</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02247">
            <w:pPr>
              <w:spacing w:line="240" w:lineRule="auto"/>
              <w:ind w:firstLine="0" w:firstLineChars="0"/>
              <w:jc w:val="center"/>
              <w:rPr>
                <w:rFonts w:hint="eastAsia" w:ascii="Times New Roman" w:hAnsi="Times New Roman" w:eastAsia="宋体" w:cs="Times New Roman"/>
                <w:i w:val="0"/>
                <w:iCs w:val="0"/>
                <w:color w:val="auto"/>
                <w:sz w:val="21"/>
                <w:szCs w:val="21"/>
                <w:highlight w:val="none"/>
                <w:u w:val="none"/>
                <w:lang w:eastAsia="zh-CN"/>
              </w:rPr>
            </w:pPr>
            <w:r>
              <w:rPr>
                <w:rFonts w:hint="eastAsia" w:eastAsia="宋体" w:cs="Times New Roman"/>
                <w:i w:val="0"/>
                <w:iCs w:val="0"/>
                <w:color w:val="auto"/>
                <w:sz w:val="21"/>
                <w:szCs w:val="21"/>
                <w:highlight w:val="none"/>
                <w:u w:val="none"/>
                <w:lang w:eastAsia="zh-CN"/>
              </w:rPr>
              <w:t>—</w:t>
            </w:r>
          </w:p>
        </w:tc>
      </w:tr>
      <w:tr w14:paraId="43656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520" w:hRule="atLeast"/>
        </w:trPr>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32B73">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6B326">
            <w:pPr>
              <w:keepNext w:val="0"/>
              <w:keepLines w:val="0"/>
              <w:widowControl/>
              <w:suppressLineNumbers w:val="0"/>
              <w:spacing w:line="240" w:lineRule="auto"/>
              <w:ind w:firstLine="0" w:firstLineChars="0"/>
              <w:jc w:val="both"/>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监理单位</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44CB2">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新疆路通达路桥工程监理有限公司</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C5444">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监理费</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4511B">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2.30</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5AF85">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eastAsia="宋体" w:cs="Times New Roman"/>
                <w:i w:val="0"/>
                <w:iCs w:val="0"/>
                <w:color w:val="auto"/>
                <w:sz w:val="21"/>
                <w:szCs w:val="21"/>
                <w:highlight w:val="none"/>
                <w:u w:val="none"/>
                <w:lang w:eastAsia="zh-CN"/>
              </w:rPr>
              <w:t>—</w:t>
            </w:r>
          </w:p>
        </w:tc>
        <w:tc>
          <w:tcPr>
            <w:tcW w:w="4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7D7BE">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default" w:ascii="Times New Roman" w:hAnsi="Times New Roman" w:eastAsia="宋体" w:cs="Times New Roman"/>
                <w:i w:val="0"/>
                <w:iCs w:val="0"/>
                <w:color w:val="auto"/>
                <w:kern w:val="0"/>
                <w:sz w:val="21"/>
                <w:szCs w:val="21"/>
                <w:highlight w:val="none"/>
                <w:u w:val="none"/>
                <w:lang w:val="en-US" w:eastAsia="zh-CN" w:bidi="ar"/>
              </w:rPr>
              <w:t xml:space="preserve">0.00 </w:t>
            </w:r>
          </w:p>
        </w:tc>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80089">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default" w:ascii="Times New Roman" w:hAnsi="Times New Roman" w:eastAsia="宋体" w:cs="Times New Roman"/>
                <w:i w:val="0"/>
                <w:iCs w:val="0"/>
                <w:color w:val="auto"/>
                <w:kern w:val="0"/>
                <w:sz w:val="21"/>
                <w:szCs w:val="21"/>
                <w:highlight w:val="none"/>
                <w:u w:val="none"/>
                <w:lang w:val="en-US" w:eastAsia="zh-CN" w:bidi="ar"/>
              </w:rPr>
              <w:t>0.00%</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2841A">
            <w:pPr>
              <w:spacing w:line="240" w:lineRule="auto"/>
              <w:ind w:firstLine="0" w:firstLineChars="0"/>
              <w:jc w:val="center"/>
              <w:rPr>
                <w:rFonts w:hint="eastAsia" w:ascii="Times New Roman" w:hAnsi="Times New Roman" w:eastAsia="宋体" w:cs="Times New Roman"/>
                <w:i w:val="0"/>
                <w:iCs w:val="0"/>
                <w:color w:val="auto"/>
                <w:sz w:val="21"/>
                <w:szCs w:val="21"/>
                <w:highlight w:val="none"/>
                <w:u w:val="none"/>
              </w:rPr>
            </w:pPr>
            <w:r>
              <w:rPr>
                <w:rFonts w:hint="eastAsia" w:eastAsia="宋体" w:cs="Times New Roman"/>
                <w:i w:val="0"/>
                <w:iCs w:val="0"/>
                <w:color w:val="auto"/>
                <w:sz w:val="21"/>
                <w:szCs w:val="21"/>
                <w:highlight w:val="none"/>
                <w:u w:val="none"/>
                <w:lang w:eastAsia="zh-CN"/>
              </w:rPr>
              <w:t>—</w:t>
            </w:r>
          </w:p>
        </w:tc>
      </w:tr>
      <w:tr w14:paraId="11D88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280" w:hRule="atLeast"/>
        </w:trPr>
        <w:tc>
          <w:tcPr>
            <w:tcW w:w="228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64FD8">
            <w:pPr>
              <w:keepNext w:val="0"/>
              <w:keepLines w:val="0"/>
              <w:widowControl/>
              <w:suppressLineNumbers w:val="0"/>
              <w:spacing w:line="240" w:lineRule="auto"/>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合计</w:t>
            </w:r>
          </w:p>
        </w:tc>
        <w:tc>
          <w:tcPr>
            <w:tcW w:w="4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C91A6">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229.72</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3BF3B">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eastAsia="宋体" w:cs="Times New Roman"/>
                <w:i w:val="0"/>
                <w:iCs w:val="0"/>
                <w:color w:val="auto"/>
                <w:sz w:val="21"/>
                <w:szCs w:val="21"/>
                <w:highlight w:val="none"/>
                <w:u w:val="none"/>
                <w:lang w:eastAsia="zh-CN"/>
              </w:rPr>
              <w:t>—</w:t>
            </w:r>
          </w:p>
        </w:tc>
        <w:tc>
          <w:tcPr>
            <w:tcW w:w="4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65398">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222.00</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1227B4">
            <w:pPr>
              <w:keepNext w:val="0"/>
              <w:keepLines w:val="0"/>
              <w:widowControl/>
              <w:suppressLineNumbers w:val="0"/>
              <w:spacing w:line="240" w:lineRule="auto"/>
              <w:ind w:firstLine="0" w:firstLineChars="0"/>
              <w:jc w:val="right"/>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eastAsia="宋体" w:cs="Times New Roman"/>
                <w:i w:val="0"/>
                <w:iCs w:val="0"/>
                <w:color w:val="auto"/>
                <w:sz w:val="21"/>
                <w:szCs w:val="21"/>
                <w:highlight w:val="none"/>
                <w:u w:val="none"/>
                <w:lang w:eastAsia="zh-CN"/>
              </w:rPr>
              <w:t>—</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AE99E">
            <w:pPr>
              <w:spacing w:line="240" w:lineRule="auto"/>
              <w:rPr>
                <w:rFonts w:hint="eastAsia" w:ascii="Times New Roman" w:hAnsi="Times New Roman" w:eastAsia="宋体" w:cs="Times New Roman"/>
                <w:i w:val="0"/>
                <w:iCs w:val="0"/>
                <w:color w:val="auto"/>
                <w:sz w:val="21"/>
                <w:szCs w:val="21"/>
                <w:highlight w:val="none"/>
                <w:u w:val="none"/>
              </w:rPr>
            </w:pPr>
          </w:p>
        </w:tc>
      </w:tr>
    </w:tbl>
    <w:p w14:paraId="113C0F17">
      <w:pPr>
        <w:pStyle w:val="5"/>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ascii="Times New Roman" w:hAnsi="Times New Roman" w:eastAsia="宋体" w:cs="Times New Roman"/>
          <w:color w:val="auto"/>
          <w:highlight w:val="none"/>
        </w:rPr>
      </w:pPr>
      <w:bookmarkStart w:id="39" w:name="_Toc24552"/>
      <w:r>
        <w:rPr>
          <w:rFonts w:hint="eastAsia" w:ascii="Times New Roman" w:hAnsi="Times New Roman" w:eastAsia="宋体" w:cs="Times New Roman"/>
          <w:color w:val="auto"/>
          <w:highlight w:val="none"/>
        </w:rPr>
        <w:t>（三）</w:t>
      </w:r>
      <w:r>
        <w:rPr>
          <w:rFonts w:ascii="Times New Roman" w:hAnsi="Times New Roman" w:eastAsia="宋体" w:cs="Times New Roman"/>
          <w:color w:val="auto"/>
          <w:highlight w:val="none"/>
        </w:rPr>
        <w:t>项目实施情况</w:t>
      </w:r>
      <w:bookmarkEnd w:id="37"/>
      <w:bookmarkEnd w:id="39"/>
    </w:p>
    <w:p w14:paraId="050298C0">
      <w:pPr>
        <w:pStyle w:val="2"/>
        <w:bidi w:val="0"/>
        <w:spacing w:line="360" w:lineRule="auto"/>
        <w:ind w:firstLineChars="200"/>
        <w:rPr>
          <w:rFonts w:hint="eastAsia" w:ascii="Times New Roman" w:hAnsi="Times New Roman" w:eastAsia="宋体" w:cs="Times New Roman"/>
          <w:b/>
          <w:bCs/>
          <w:color w:val="auto"/>
          <w:kern w:val="2"/>
          <w:sz w:val="21"/>
          <w:szCs w:val="21"/>
          <w:highlight w:val="none"/>
          <w:lang w:val="en-US" w:eastAsia="zh-CN" w:bidi="ar-SA"/>
        </w:rPr>
      </w:pPr>
      <w:bookmarkStart w:id="40" w:name="_Toc618987757"/>
      <w:bookmarkStart w:id="41" w:name="_Toc68364659"/>
      <w:r>
        <w:rPr>
          <w:rFonts w:hint="eastAsia" w:ascii="Times New Roman" w:hAnsi="Times New Roman" w:eastAsia="宋体" w:cs="Times New Roman"/>
          <w:b/>
          <w:bCs/>
          <w:color w:val="auto"/>
          <w:kern w:val="2"/>
          <w:sz w:val="21"/>
          <w:szCs w:val="21"/>
          <w:highlight w:val="none"/>
          <w:lang w:val="en-US" w:eastAsia="zh-CN" w:bidi="ar-SA"/>
        </w:rPr>
        <w:t>1.项目前期手续办理情况：</w:t>
      </w:r>
    </w:p>
    <w:p w14:paraId="1D8D2D1A">
      <w:pPr>
        <w:pStyle w:val="3"/>
        <w:spacing w:after="0" w:line="360" w:lineRule="auto"/>
        <w:ind w:firstLine="420" w:firstLineChars="200"/>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b w:val="0"/>
          <w:bCs w:val="0"/>
          <w:color w:val="auto"/>
          <w:kern w:val="2"/>
          <w:sz w:val="21"/>
          <w:szCs w:val="21"/>
          <w:highlight w:val="none"/>
          <w:lang w:val="en-US" w:eastAsia="zh-CN" w:bidi="ar-SA"/>
        </w:rPr>
        <w:t>（1）2024年4月，项目实施单位委托</w:t>
      </w:r>
      <w:r>
        <w:rPr>
          <w:rFonts w:hint="eastAsia" w:ascii="Times New Roman" w:hAnsi="Times New Roman" w:eastAsia="宋体" w:cs="Times New Roman"/>
          <w:i w:val="0"/>
          <w:iCs w:val="0"/>
          <w:color w:val="auto"/>
          <w:kern w:val="0"/>
          <w:sz w:val="21"/>
          <w:szCs w:val="21"/>
          <w:highlight w:val="none"/>
          <w:u w:val="none"/>
          <w:lang w:val="en-US" w:eastAsia="zh-CN" w:bidi="ar"/>
        </w:rPr>
        <w:t>云南平捷工程设计咨询有限公司</w:t>
      </w:r>
      <w:r>
        <w:rPr>
          <w:rFonts w:hint="eastAsia" w:ascii="Times New Roman" w:hAnsi="Times New Roman" w:eastAsia="宋体" w:cs="Times New Roman"/>
          <w:b w:val="0"/>
          <w:bCs w:val="0"/>
          <w:color w:val="auto"/>
          <w:kern w:val="2"/>
          <w:sz w:val="21"/>
          <w:szCs w:val="21"/>
          <w:highlight w:val="none"/>
          <w:lang w:val="en-US" w:eastAsia="zh-CN" w:bidi="ar-SA"/>
        </w:rPr>
        <w:t>出具《伊宁县2024年农村公路日常养护项目可研报告》。</w:t>
      </w:r>
    </w:p>
    <w:p w14:paraId="214E3A8F">
      <w:pPr>
        <w:widowControl/>
        <w:spacing w:line="360" w:lineRule="auto"/>
        <w:ind w:firstLine="420" w:firstLineChars="200"/>
        <w:jc w:val="left"/>
        <w:rPr>
          <w:rFonts w:hint="eastAsia"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b w:val="0"/>
          <w:bCs w:val="0"/>
          <w:color w:val="auto"/>
          <w:kern w:val="2"/>
          <w:sz w:val="21"/>
          <w:szCs w:val="21"/>
          <w:highlight w:val="none"/>
          <w:lang w:val="en-US" w:eastAsia="zh-CN" w:bidi="ar-SA"/>
        </w:rPr>
        <w:t>（2）2024年5月7日，项目取得伊宁县交通运输局审批的《关于伊宁县2024年农村公路日常养护项目施工图设计文件的批复》（伊县交发〔2024〕7号），批复建设项目预算总造价为261.36万元</w:t>
      </w:r>
      <w:r>
        <w:rPr>
          <w:rFonts w:hint="eastAsia" w:eastAsia="宋体" w:cs="Times New Roman"/>
          <w:b w:val="0"/>
          <w:bCs w:val="0"/>
          <w:color w:val="auto"/>
          <w:kern w:val="2"/>
          <w:sz w:val="21"/>
          <w:szCs w:val="21"/>
          <w:highlight w:val="none"/>
          <w:lang w:val="en-US" w:eastAsia="zh-CN" w:bidi="ar-SA"/>
        </w:rPr>
        <w:t>，其中</w:t>
      </w:r>
      <w:r>
        <w:rPr>
          <w:rFonts w:hint="eastAsia" w:ascii="Times New Roman" w:hAnsi="Times New Roman" w:eastAsia="宋体" w:cs="Times New Roman"/>
          <w:b w:val="0"/>
          <w:bCs w:val="0"/>
          <w:color w:val="auto"/>
          <w:kern w:val="2"/>
          <w:sz w:val="21"/>
          <w:szCs w:val="21"/>
          <w:highlight w:val="none"/>
          <w:lang w:val="en-US" w:eastAsia="zh-CN" w:bidi="ar-SA"/>
        </w:rPr>
        <w:t>第一部分建安费为226.29万元。</w:t>
      </w:r>
    </w:p>
    <w:p w14:paraId="2ABC5D17">
      <w:pPr>
        <w:pStyle w:val="2"/>
        <w:bidi w:val="0"/>
        <w:spacing w:line="360" w:lineRule="auto"/>
        <w:ind w:firstLine="420" w:firstLineChars="200"/>
        <w:rPr>
          <w:rFonts w:hint="eastAsia"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b w:val="0"/>
          <w:bCs w:val="0"/>
          <w:color w:val="auto"/>
          <w:kern w:val="2"/>
          <w:sz w:val="21"/>
          <w:szCs w:val="21"/>
          <w:highlight w:val="none"/>
          <w:lang w:val="en-US" w:eastAsia="zh-CN" w:bidi="ar-SA"/>
        </w:rPr>
        <w:t>（3）2024年5月22日，项目取得伊宁县发展和改革委员会审批的《关于伊宁县2024年农村公路日常养护项目可行性研究报告的批复》（伊县发改字〔2024〕117号），批复项目总投资 272.5278万元，资金来源</w:t>
      </w:r>
      <w:r>
        <w:rPr>
          <w:rFonts w:hint="eastAsia" w:eastAsia="宋体" w:cs="Times New Roman"/>
          <w:b w:val="0"/>
          <w:bCs w:val="0"/>
          <w:color w:val="auto"/>
          <w:kern w:val="2"/>
          <w:sz w:val="21"/>
          <w:szCs w:val="21"/>
          <w:highlight w:val="none"/>
          <w:lang w:val="en-US" w:eastAsia="zh-CN" w:bidi="ar-SA"/>
        </w:rPr>
        <w:t>为</w:t>
      </w:r>
      <w:r>
        <w:rPr>
          <w:rFonts w:hint="eastAsia" w:ascii="Times New Roman" w:hAnsi="Times New Roman" w:eastAsia="宋体" w:cs="Times New Roman"/>
          <w:b w:val="0"/>
          <w:bCs w:val="0"/>
          <w:color w:val="auto"/>
          <w:kern w:val="2"/>
          <w:sz w:val="21"/>
          <w:szCs w:val="21"/>
          <w:highlight w:val="none"/>
          <w:lang w:val="en-US" w:eastAsia="zh-CN" w:bidi="ar-SA"/>
        </w:rPr>
        <w:t>2024年中央对地方成品油改革转移支付资金用于公路养护预算资金及县财政配套资金。</w:t>
      </w:r>
    </w:p>
    <w:p w14:paraId="6A306DB9">
      <w:pPr>
        <w:pStyle w:val="3"/>
        <w:spacing w:after="0" w:line="360" w:lineRule="auto"/>
        <w:rPr>
          <w:rFonts w:hint="eastAsia"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b w:val="0"/>
          <w:bCs w:val="0"/>
          <w:color w:val="auto"/>
          <w:kern w:val="2"/>
          <w:sz w:val="21"/>
          <w:szCs w:val="21"/>
          <w:highlight w:val="none"/>
          <w:lang w:val="en-US" w:eastAsia="zh-CN" w:bidi="ar-SA"/>
        </w:rPr>
        <w:t>（4）2024年6月25日，项目取得伊宁县农村公路建设项目执行办审批的《关于伊宁县2024年农村公路日常养护项目开工的批复》（伊县交项〔2024〕14号）。</w:t>
      </w:r>
    </w:p>
    <w:p w14:paraId="3B1BE611">
      <w:pPr>
        <w:pStyle w:val="2"/>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Times New Roman"/>
          <w:b/>
          <w:bCs/>
          <w:color w:val="auto"/>
          <w:highlight w:val="none"/>
          <w:lang w:val="en-US" w:eastAsia="zh-CN"/>
        </w:rPr>
      </w:pPr>
      <w:r>
        <w:rPr>
          <w:rFonts w:hint="eastAsia" w:ascii="Times New Roman" w:hAnsi="Times New Roman" w:eastAsia="宋体" w:cs="Times New Roman"/>
          <w:b/>
          <w:bCs/>
          <w:color w:val="auto"/>
          <w:highlight w:val="none"/>
          <w:lang w:val="en-US" w:eastAsia="zh-CN"/>
        </w:rPr>
        <w:t>2.</w:t>
      </w:r>
      <w:r>
        <w:rPr>
          <w:rFonts w:hint="eastAsia" w:ascii="Times New Roman" w:hAnsi="Times New Roman" w:eastAsia="宋体" w:cs="Times New Roman"/>
          <w:b/>
          <w:bCs/>
          <w:color w:val="auto"/>
          <w:kern w:val="2"/>
          <w:sz w:val="21"/>
          <w:szCs w:val="21"/>
          <w:highlight w:val="none"/>
          <w:lang w:val="en-US" w:eastAsia="zh-CN" w:bidi="ar-SA"/>
        </w:rPr>
        <w:t>项目采购</w:t>
      </w:r>
      <w:r>
        <w:rPr>
          <w:rFonts w:hint="eastAsia" w:ascii="Times New Roman" w:hAnsi="Times New Roman" w:eastAsia="宋体" w:cs="Times New Roman"/>
          <w:b/>
          <w:bCs/>
          <w:color w:val="auto"/>
          <w:highlight w:val="none"/>
          <w:lang w:val="en-US" w:eastAsia="zh-CN"/>
        </w:rPr>
        <w:t>情况</w:t>
      </w:r>
    </w:p>
    <w:p w14:paraId="6D862983">
      <w:pPr>
        <w:pageBreakBefore w:val="0"/>
        <w:widowControl/>
        <w:kinsoku/>
        <w:wordWrap/>
        <w:overflowPunct/>
        <w:topLinePunct w:val="0"/>
        <w:autoSpaceDE/>
        <w:autoSpaceDN/>
        <w:bidi w:val="0"/>
        <w:adjustRightInd w:val="0"/>
        <w:snapToGrid w:val="0"/>
        <w:spacing w:line="360" w:lineRule="auto"/>
        <w:ind w:firstLine="560"/>
        <w:textAlignment w:val="auto"/>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b w:val="0"/>
          <w:bCs w:val="0"/>
          <w:color w:val="auto"/>
          <w:kern w:val="2"/>
          <w:sz w:val="21"/>
          <w:szCs w:val="21"/>
          <w:highlight w:val="none"/>
          <w:lang w:val="en-US" w:eastAsia="zh-CN" w:bidi="ar-SA"/>
        </w:rPr>
        <w:t>项目实施单位于2024年5月29日通过伊犁州公共资源交易网发布公开招标公告，招标控制价</w:t>
      </w:r>
      <w:r>
        <w:rPr>
          <w:rFonts w:hint="eastAsia" w:eastAsia="宋体" w:cs="Times New Roman"/>
          <w:b w:val="0"/>
          <w:bCs w:val="0"/>
          <w:color w:val="auto"/>
          <w:kern w:val="2"/>
          <w:sz w:val="21"/>
          <w:szCs w:val="21"/>
          <w:highlight w:val="none"/>
          <w:lang w:val="en-US" w:eastAsia="zh-CN" w:bidi="ar-SA"/>
        </w:rPr>
        <w:t>为</w:t>
      </w:r>
      <w:r>
        <w:rPr>
          <w:rFonts w:hint="eastAsia" w:ascii="Times New Roman" w:hAnsi="Times New Roman" w:eastAsia="宋体" w:cs="Times New Roman"/>
          <w:b w:val="0"/>
          <w:bCs w:val="0"/>
          <w:color w:val="auto"/>
          <w:kern w:val="2"/>
          <w:sz w:val="21"/>
          <w:szCs w:val="21"/>
          <w:highlight w:val="none"/>
          <w:lang w:val="en-US" w:eastAsia="zh-CN" w:bidi="ar-SA"/>
        </w:rPr>
        <w:t>225.00万元</w:t>
      </w:r>
      <w:r>
        <w:rPr>
          <w:rFonts w:hint="eastAsia" w:eastAsia="宋体" w:cs="Times New Roman"/>
          <w:b w:val="0"/>
          <w:bCs w:val="0"/>
          <w:color w:val="auto"/>
          <w:kern w:val="2"/>
          <w:sz w:val="21"/>
          <w:szCs w:val="21"/>
          <w:highlight w:val="none"/>
          <w:lang w:val="en-US" w:eastAsia="zh-CN" w:bidi="ar-SA"/>
        </w:rPr>
        <w:t>；</w:t>
      </w:r>
      <w:r>
        <w:rPr>
          <w:rFonts w:hint="eastAsia" w:ascii="Times New Roman" w:hAnsi="Times New Roman" w:eastAsia="宋体" w:cs="Times New Roman"/>
          <w:b w:val="0"/>
          <w:bCs w:val="0"/>
          <w:color w:val="auto"/>
          <w:kern w:val="2"/>
          <w:sz w:val="21"/>
          <w:szCs w:val="21"/>
          <w:highlight w:val="none"/>
          <w:lang w:val="en-US" w:eastAsia="zh-CN" w:bidi="ar-SA"/>
        </w:rPr>
        <w:t>2024年6月6日在原发布平台发布变更公告，招标控制价调整变更为226.29万元</w:t>
      </w:r>
      <w:r>
        <w:rPr>
          <w:rFonts w:hint="eastAsia" w:eastAsia="宋体" w:cs="Times New Roman"/>
          <w:b w:val="0"/>
          <w:bCs w:val="0"/>
          <w:color w:val="auto"/>
          <w:kern w:val="2"/>
          <w:sz w:val="21"/>
          <w:szCs w:val="21"/>
          <w:highlight w:val="none"/>
          <w:lang w:val="en-US" w:eastAsia="zh-CN" w:bidi="ar-SA"/>
        </w:rPr>
        <w:t>。经沟通反馈</w:t>
      </w:r>
      <w:r>
        <w:rPr>
          <w:rFonts w:hint="eastAsia" w:ascii="Times New Roman" w:hAnsi="Times New Roman" w:eastAsia="宋体" w:cs="Times New Roman"/>
          <w:b w:val="0"/>
          <w:bCs w:val="0"/>
          <w:color w:val="auto"/>
          <w:kern w:val="2"/>
          <w:sz w:val="21"/>
          <w:szCs w:val="21"/>
          <w:highlight w:val="none"/>
          <w:lang w:val="en-US" w:eastAsia="zh-CN" w:bidi="ar-SA"/>
        </w:rPr>
        <w:t>，因</w:t>
      </w:r>
      <w:r>
        <w:rPr>
          <w:rFonts w:hint="eastAsia" w:eastAsia="宋体" w:cs="Times New Roman"/>
          <w:b w:val="0"/>
          <w:bCs w:val="0"/>
          <w:color w:val="auto"/>
          <w:kern w:val="2"/>
          <w:sz w:val="21"/>
          <w:szCs w:val="21"/>
          <w:highlight w:val="none"/>
          <w:lang w:val="en-US" w:eastAsia="zh-CN" w:bidi="ar-SA"/>
        </w:rPr>
        <w:t>项目前期</w:t>
      </w:r>
      <w:r>
        <w:rPr>
          <w:rFonts w:hint="eastAsia" w:ascii="Times New Roman" w:hAnsi="Times New Roman" w:eastAsia="宋体" w:cs="Times New Roman"/>
          <w:b w:val="0"/>
          <w:bCs w:val="0"/>
          <w:color w:val="auto"/>
          <w:kern w:val="2"/>
          <w:sz w:val="21"/>
          <w:szCs w:val="21"/>
          <w:highlight w:val="none"/>
          <w:lang w:val="en-US" w:eastAsia="zh-CN" w:bidi="ar-SA"/>
        </w:rPr>
        <w:t>设计复查报告提交滞后导致的招标控制价未及时调整</w:t>
      </w:r>
      <w:r>
        <w:rPr>
          <w:rFonts w:hint="eastAsia" w:eastAsia="宋体" w:cs="Times New Roman"/>
          <w:b w:val="0"/>
          <w:bCs w:val="0"/>
          <w:color w:val="auto"/>
          <w:kern w:val="2"/>
          <w:sz w:val="21"/>
          <w:szCs w:val="21"/>
          <w:highlight w:val="none"/>
          <w:lang w:val="en-US" w:eastAsia="zh-CN" w:bidi="ar-SA"/>
        </w:rPr>
        <w:t>，故按照</w:t>
      </w:r>
      <w:r>
        <w:rPr>
          <w:rFonts w:hint="eastAsia" w:ascii="Times New Roman" w:hAnsi="Times New Roman" w:eastAsia="宋体" w:cs="Times New Roman"/>
          <w:b w:val="0"/>
          <w:bCs w:val="0"/>
          <w:color w:val="auto"/>
          <w:kern w:val="2"/>
          <w:sz w:val="21"/>
          <w:szCs w:val="21"/>
          <w:highlight w:val="none"/>
          <w:lang w:val="en-US" w:eastAsia="zh-CN" w:bidi="ar-SA"/>
        </w:rPr>
        <w:t>《关于伊宁县2024年农村公路日常养护项目施工图设计文件的批复》（伊县交发〔2024〕7号）</w:t>
      </w:r>
      <w:r>
        <w:rPr>
          <w:rFonts w:hint="eastAsia" w:eastAsia="宋体" w:cs="Times New Roman"/>
          <w:b w:val="0"/>
          <w:bCs w:val="0"/>
          <w:color w:val="auto"/>
          <w:kern w:val="2"/>
          <w:sz w:val="21"/>
          <w:szCs w:val="21"/>
          <w:highlight w:val="none"/>
          <w:lang w:val="en-US" w:eastAsia="zh-CN" w:bidi="ar-SA"/>
        </w:rPr>
        <w:t>的批复施工预算价予以调整</w:t>
      </w:r>
      <w:r>
        <w:rPr>
          <w:rFonts w:hint="eastAsia" w:ascii="Times New Roman" w:hAnsi="Times New Roman" w:eastAsia="宋体" w:cs="Times New Roman"/>
          <w:b w:val="0"/>
          <w:bCs w:val="0"/>
          <w:color w:val="auto"/>
          <w:kern w:val="2"/>
          <w:sz w:val="21"/>
          <w:szCs w:val="21"/>
          <w:highlight w:val="none"/>
          <w:lang w:val="en-US" w:eastAsia="zh-CN" w:bidi="ar-SA"/>
        </w:rPr>
        <w:t>。</w:t>
      </w:r>
    </w:p>
    <w:p w14:paraId="26BD4264">
      <w:pPr>
        <w:pageBreakBefore w:val="0"/>
        <w:widowControl/>
        <w:kinsoku/>
        <w:wordWrap/>
        <w:overflowPunct/>
        <w:topLinePunct w:val="0"/>
        <w:autoSpaceDE/>
        <w:autoSpaceDN/>
        <w:bidi w:val="0"/>
        <w:adjustRightInd w:val="0"/>
        <w:snapToGrid w:val="0"/>
        <w:spacing w:line="360" w:lineRule="auto"/>
        <w:ind w:firstLine="560"/>
        <w:textAlignment w:val="auto"/>
        <w:rPr>
          <w:rFonts w:hint="eastAsia"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b w:val="0"/>
          <w:bCs w:val="0"/>
          <w:color w:val="auto"/>
          <w:kern w:val="2"/>
          <w:sz w:val="21"/>
          <w:szCs w:val="21"/>
          <w:highlight w:val="none"/>
          <w:lang w:val="en-US" w:eastAsia="zh-CN" w:bidi="ar-SA"/>
        </w:rPr>
        <w:t>2024年6月20日，项目通过公开招标方式确定新疆路路通建设工程有限责任公司为项目建设单位，中标金额224.03万元，于2024年6月25日签订《伊宁县2024年农村公路日常养护项目施工合同》，约定合同工期为日历30天，即2024年6月25日至2024年7月24日，项目中标及合同范围是：对伊宁县27条县乡道路合计214.2公里进行路基路面日常养护。</w:t>
      </w:r>
    </w:p>
    <w:p w14:paraId="4F316980">
      <w:pPr>
        <w:pageBreakBefore w:val="0"/>
        <w:kinsoku/>
        <w:wordWrap/>
        <w:overflowPunct/>
        <w:topLinePunct w:val="0"/>
        <w:autoSpaceDE/>
        <w:autoSpaceDN/>
        <w:bidi w:val="0"/>
        <w:snapToGrid w:val="0"/>
        <w:spacing w:before="0" w:after="0" w:line="360" w:lineRule="auto"/>
        <w:ind w:firstLine="560"/>
        <w:outlineLvl w:val="9"/>
        <w:rPr>
          <w:rFonts w:hint="eastAsia"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b w:val="0"/>
          <w:bCs w:val="0"/>
          <w:color w:val="auto"/>
          <w:kern w:val="2"/>
          <w:sz w:val="21"/>
          <w:szCs w:val="21"/>
          <w:highlight w:val="none"/>
          <w:lang w:val="en-US" w:eastAsia="zh-CN" w:bidi="ar-SA"/>
        </w:rPr>
        <w:t>项目实施单位通过直接采购的方式确定项目的监理单位、设计单位和审计结算单位等合作单位。</w:t>
      </w:r>
    </w:p>
    <w:p w14:paraId="6BCFAAB8">
      <w:pPr>
        <w:pStyle w:val="6"/>
        <w:pageBreakBefore w:val="0"/>
        <w:kinsoku/>
        <w:wordWrap/>
        <w:overflowPunct/>
        <w:topLinePunct w:val="0"/>
        <w:autoSpaceDE/>
        <w:autoSpaceDN/>
        <w:bidi w:val="0"/>
        <w:snapToGrid w:val="0"/>
        <w:spacing w:before="0" w:after="0" w:line="360" w:lineRule="auto"/>
        <w:ind w:firstLine="482"/>
        <w:outlineLvl w:val="2"/>
        <w:rPr>
          <w:rFonts w:hint="eastAsia" w:ascii="Times New Roman" w:hAnsi="Times New Roman" w:eastAsia="宋体" w:cs="Times New Roman"/>
          <w:b/>
          <w:bCs/>
          <w:color w:val="auto"/>
          <w:kern w:val="2"/>
          <w:sz w:val="21"/>
          <w:szCs w:val="21"/>
          <w:highlight w:val="none"/>
          <w:lang w:val="en-US" w:eastAsia="zh-CN" w:bidi="ar-SA"/>
        </w:rPr>
      </w:pPr>
      <w:r>
        <w:rPr>
          <w:rFonts w:hint="eastAsia" w:ascii="Times New Roman" w:hAnsi="Times New Roman" w:eastAsia="宋体" w:cs="Times New Roman"/>
          <w:b/>
          <w:bCs/>
          <w:color w:val="auto"/>
          <w:kern w:val="2"/>
          <w:sz w:val="21"/>
          <w:szCs w:val="21"/>
          <w:highlight w:val="none"/>
          <w:lang w:val="en-US" w:eastAsia="zh-CN" w:bidi="ar-SA"/>
        </w:rPr>
        <w:t>3.项目完成及验收情况</w:t>
      </w:r>
    </w:p>
    <w:p w14:paraId="217FDB10">
      <w:pPr>
        <w:spacing w:line="360" w:lineRule="auto"/>
        <w:ind w:firstLine="560"/>
        <w:rPr>
          <w:rFonts w:hint="eastAsia"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b w:val="0"/>
          <w:bCs w:val="0"/>
          <w:color w:val="auto"/>
          <w:kern w:val="2"/>
          <w:sz w:val="21"/>
          <w:szCs w:val="21"/>
          <w:highlight w:val="none"/>
          <w:lang w:val="en-US" w:eastAsia="zh-CN" w:bidi="ar-SA"/>
        </w:rPr>
        <w:t>该项目实际于2024年6月25日开工，2024年7月24日完工，完成内容为：对27条县乡村道，其中6条县道，8条乡道，13条村道，合计214.2公里完成验收。2024年9月9日，由建设单位组织施工单位、监理单位、设计单位成立验收小组完成工程验收并出具《</w:t>
      </w:r>
      <w:r>
        <w:rPr>
          <w:rFonts w:hint="eastAsia" w:ascii="Times New Roman" w:hAnsi="Times New Roman" w:eastAsia="宋体" w:cs="Times New Roman"/>
          <w:color w:val="auto"/>
          <w:highlight w:val="none"/>
          <w:lang w:val="en-US" w:eastAsia="zh-CN"/>
        </w:rPr>
        <w:t>公路工程交工验收证书</w:t>
      </w:r>
      <w:r>
        <w:rPr>
          <w:rFonts w:hint="eastAsia" w:ascii="Times New Roman" w:hAnsi="Times New Roman" w:eastAsia="宋体" w:cs="Times New Roman"/>
          <w:b w:val="0"/>
          <w:bCs w:val="0"/>
          <w:color w:val="auto"/>
          <w:kern w:val="2"/>
          <w:sz w:val="21"/>
          <w:szCs w:val="21"/>
          <w:highlight w:val="none"/>
          <w:lang w:val="en-US" w:eastAsia="zh-CN" w:bidi="ar-SA"/>
        </w:rPr>
        <w:t>》，验收结论为：“工程质量验收合格”。</w:t>
      </w:r>
    </w:p>
    <w:p w14:paraId="164D7353">
      <w:pPr>
        <w:pageBreakBefore w:val="0"/>
        <w:kinsoku/>
        <w:wordWrap/>
        <w:overflowPunct/>
        <w:topLinePunct w:val="0"/>
        <w:autoSpaceDE/>
        <w:autoSpaceDN/>
        <w:bidi w:val="0"/>
        <w:snapToGrid w:val="0"/>
        <w:spacing w:before="0" w:after="0" w:line="360" w:lineRule="auto"/>
        <w:ind w:firstLine="482"/>
        <w:outlineLvl w:val="9"/>
        <w:rPr>
          <w:rFonts w:hint="eastAsia" w:ascii="Times New Roman" w:hAnsi="Times New Roman" w:eastAsia="宋体" w:cs="Times New Roman"/>
          <w:b/>
          <w:bCs/>
          <w:color w:val="auto"/>
          <w:kern w:val="2"/>
          <w:sz w:val="21"/>
          <w:szCs w:val="21"/>
          <w:highlight w:val="none"/>
          <w:lang w:val="en-US" w:eastAsia="zh-CN" w:bidi="ar-SA"/>
        </w:rPr>
      </w:pPr>
      <w:r>
        <w:rPr>
          <w:rFonts w:hint="eastAsia" w:ascii="Times New Roman" w:hAnsi="Times New Roman" w:eastAsia="宋体" w:cs="Times New Roman"/>
          <w:b/>
          <w:bCs/>
          <w:color w:val="auto"/>
          <w:kern w:val="2"/>
          <w:sz w:val="21"/>
          <w:szCs w:val="21"/>
          <w:highlight w:val="none"/>
          <w:lang w:val="en-US" w:eastAsia="zh-CN" w:bidi="ar-SA"/>
        </w:rPr>
        <w:t>4.</w:t>
      </w:r>
      <w:r>
        <w:rPr>
          <w:rFonts w:hint="eastAsia" w:ascii="Times New Roman" w:hAnsi="Times New Roman" w:eastAsia="宋体" w:cs="Times New Roman"/>
          <w:b/>
          <w:bCs/>
          <w:color w:val="auto"/>
          <w:highlight w:val="none"/>
        </w:rPr>
        <w:t>工程结算审核及竣工财务决算报告情况</w:t>
      </w:r>
    </w:p>
    <w:p w14:paraId="5A06A182">
      <w:pPr>
        <w:pageBreakBefore w:val="0"/>
        <w:widowControl/>
        <w:kinsoku/>
        <w:wordWrap/>
        <w:overflowPunct/>
        <w:topLinePunct w:val="0"/>
        <w:autoSpaceDE/>
        <w:autoSpaceDN/>
        <w:bidi w:val="0"/>
        <w:adjustRightInd/>
        <w:snapToGrid w:val="0"/>
        <w:spacing w:line="360" w:lineRule="auto"/>
        <w:ind w:firstLine="482" w:firstLineChars="0"/>
        <w:textAlignment w:val="auto"/>
        <w:outlineLvl w:val="9"/>
        <w:rPr>
          <w:rFonts w:hint="eastAsia"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b w:val="0"/>
          <w:bCs w:val="0"/>
          <w:color w:val="auto"/>
          <w:kern w:val="2"/>
          <w:sz w:val="21"/>
          <w:szCs w:val="21"/>
          <w:highlight w:val="none"/>
          <w:lang w:val="en-US" w:eastAsia="zh-CN" w:bidi="ar-SA"/>
        </w:rPr>
        <w:t>该项目由新疆惠文建设工程项目管理咨询有限公司开展工程结算审核，于2024年10月21日出具该项目《伊宁县2024年农村公路日常养护项目工程竣工结算审核报告》（惠文伊结〔2024〕10-131号），工程结算审定金额222.05万元。截至评价期间，该项目尚未完成竣工财务决算审计工作。</w:t>
      </w:r>
    </w:p>
    <w:p w14:paraId="08AB1977">
      <w:pPr>
        <w:pStyle w:val="5"/>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ascii="Times New Roman" w:hAnsi="Times New Roman" w:eastAsia="宋体" w:cs="Times New Roman"/>
          <w:color w:val="auto"/>
          <w:highlight w:val="none"/>
        </w:rPr>
      </w:pPr>
      <w:bookmarkStart w:id="42" w:name="_Toc14174"/>
      <w:r>
        <w:rPr>
          <w:rFonts w:hint="eastAsia" w:ascii="Times New Roman" w:hAnsi="Times New Roman" w:eastAsia="宋体" w:cs="Times New Roman"/>
          <w:color w:val="auto"/>
          <w:highlight w:val="none"/>
        </w:rPr>
        <w:t>（四）</w:t>
      </w:r>
      <w:r>
        <w:rPr>
          <w:rFonts w:ascii="Times New Roman" w:hAnsi="Times New Roman" w:eastAsia="宋体" w:cs="Times New Roman"/>
          <w:color w:val="auto"/>
          <w:highlight w:val="none"/>
        </w:rPr>
        <w:t>项目组织管理</w:t>
      </w:r>
      <w:bookmarkEnd w:id="40"/>
      <w:bookmarkEnd w:id="42"/>
    </w:p>
    <w:p w14:paraId="70D76798">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b w:val="0"/>
          <w:bCs w:val="0"/>
          <w:color w:val="auto"/>
          <w:kern w:val="2"/>
          <w:sz w:val="21"/>
          <w:szCs w:val="21"/>
          <w:highlight w:val="none"/>
          <w:lang w:val="en-US" w:eastAsia="zh-CN" w:bidi="ar-SA"/>
        </w:rPr>
        <w:t>项目实施部门：伊宁县交通运输局，农村公路建设项目执行办主要负责贯彻落实交通运输行业法律法规，起草相关地方性法规、规章草案和政策措施并监督实施；负责全县农村公路设计及建设，监督管理农村公路建设、养护专项资金；负责公路养护和路政管理，保护路产路权。</w:t>
      </w:r>
    </w:p>
    <w:p w14:paraId="59C650A4">
      <w:pPr>
        <w:pageBreakBefore w:val="0"/>
        <w:kinsoku/>
        <w:wordWrap/>
        <w:overflowPunct/>
        <w:topLinePunct w:val="0"/>
        <w:autoSpaceDE/>
        <w:autoSpaceDN/>
        <w:bidi w:val="0"/>
        <w:snapToGrid w:val="0"/>
        <w:spacing w:before="0" w:after="0" w:line="360" w:lineRule="auto"/>
        <w:ind w:firstLine="482"/>
        <w:outlineLvl w:val="9"/>
        <w:rPr>
          <w:rFonts w:hint="eastAsia"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b w:val="0"/>
          <w:bCs w:val="0"/>
          <w:color w:val="auto"/>
          <w:kern w:val="2"/>
          <w:sz w:val="21"/>
          <w:szCs w:val="21"/>
          <w:highlight w:val="none"/>
          <w:lang w:val="en-US" w:eastAsia="zh-CN" w:bidi="ar-SA"/>
        </w:rPr>
        <w:t>该项目涉及其他相关利益单位详见下表：</w:t>
      </w:r>
    </w:p>
    <w:tbl>
      <w:tblPr>
        <w:tblStyle w:val="18"/>
        <w:tblW w:w="4531" w:type="pct"/>
        <w:tblInd w:w="303" w:type="dxa"/>
        <w:tblLayout w:type="autofit"/>
        <w:tblCellMar>
          <w:top w:w="0" w:type="dxa"/>
          <w:left w:w="108" w:type="dxa"/>
          <w:bottom w:w="0" w:type="dxa"/>
          <w:right w:w="108" w:type="dxa"/>
        </w:tblCellMar>
      </w:tblPr>
      <w:tblGrid>
        <w:gridCol w:w="683"/>
        <w:gridCol w:w="4773"/>
        <w:gridCol w:w="2267"/>
      </w:tblGrid>
      <w:tr w14:paraId="2DD808C5">
        <w:tblPrEx>
          <w:tblCellMar>
            <w:top w:w="0" w:type="dxa"/>
            <w:left w:w="108" w:type="dxa"/>
            <w:bottom w:w="0" w:type="dxa"/>
            <w:right w:w="108" w:type="dxa"/>
          </w:tblCellMar>
        </w:tblPrEx>
        <w:trPr>
          <w:trHeight w:val="91" w:hRule="atLeast"/>
          <w:tblHeader/>
        </w:trPr>
        <w:tc>
          <w:tcPr>
            <w:tcW w:w="4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1A70B">
            <w:pPr>
              <w:widowControl/>
              <w:spacing w:line="240" w:lineRule="auto"/>
              <w:ind w:firstLine="0" w:firstLineChars="0"/>
              <w:jc w:val="center"/>
              <w:textAlignment w:val="center"/>
              <w:rPr>
                <w:rFonts w:ascii="Times New Roman" w:hAnsi="Times New Roman" w:eastAsia="宋体" w:cs="Times New Roman"/>
                <w:b/>
                <w:bCs/>
                <w:color w:val="auto"/>
                <w:highlight w:val="none"/>
              </w:rPr>
            </w:pPr>
            <w:r>
              <w:rPr>
                <w:rFonts w:ascii="Times New Roman" w:hAnsi="Times New Roman" w:eastAsia="宋体" w:cs="Times New Roman"/>
                <w:b/>
                <w:bCs/>
                <w:color w:val="auto"/>
                <w:kern w:val="0"/>
                <w:highlight w:val="none"/>
                <w:lang w:bidi="ar"/>
              </w:rPr>
              <w:t>序号</w:t>
            </w:r>
          </w:p>
        </w:tc>
        <w:tc>
          <w:tcPr>
            <w:tcW w:w="30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08B4C">
            <w:pPr>
              <w:widowControl/>
              <w:spacing w:line="240" w:lineRule="auto"/>
              <w:ind w:firstLine="0" w:firstLineChars="0"/>
              <w:jc w:val="center"/>
              <w:textAlignment w:val="center"/>
              <w:rPr>
                <w:rFonts w:ascii="Times New Roman" w:hAnsi="Times New Roman" w:eastAsia="宋体" w:cs="Times New Roman"/>
                <w:b/>
                <w:bCs/>
                <w:color w:val="auto"/>
                <w:highlight w:val="none"/>
              </w:rPr>
            </w:pPr>
            <w:r>
              <w:rPr>
                <w:rFonts w:ascii="Times New Roman" w:hAnsi="Times New Roman" w:eastAsia="宋体" w:cs="Times New Roman"/>
                <w:b/>
                <w:bCs/>
                <w:color w:val="auto"/>
                <w:kern w:val="0"/>
                <w:highlight w:val="none"/>
                <w:lang w:bidi="ar"/>
              </w:rPr>
              <w:t>单位名称</w:t>
            </w:r>
          </w:p>
        </w:tc>
        <w:tc>
          <w:tcPr>
            <w:tcW w:w="1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BE103">
            <w:pPr>
              <w:widowControl/>
              <w:spacing w:line="240" w:lineRule="auto"/>
              <w:ind w:firstLine="0" w:firstLineChars="0"/>
              <w:jc w:val="center"/>
              <w:textAlignment w:val="center"/>
              <w:rPr>
                <w:rFonts w:hint="default" w:ascii="Times New Roman" w:hAnsi="Times New Roman" w:eastAsia="宋体" w:cs="Times New Roman"/>
                <w:b/>
                <w:bCs/>
                <w:color w:val="auto"/>
                <w:highlight w:val="none"/>
                <w:lang w:val="en-US" w:eastAsia="zh-CN"/>
              </w:rPr>
            </w:pPr>
            <w:r>
              <w:rPr>
                <w:rFonts w:hint="default" w:ascii="Times New Roman" w:hAnsi="Times New Roman" w:eastAsia="宋体" w:cs="Times New Roman"/>
                <w:b/>
                <w:bCs/>
                <w:color w:val="auto"/>
                <w:highlight w:val="none"/>
                <w:lang w:val="en-US" w:eastAsia="zh-CN"/>
              </w:rPr>
              <w:t>服务内容</w:t>
            </w:r>
          </w:p>
        </w:tc>
      </w:tr>
      <w:tr w14:paraId="1C88010E">
        <w:tblPrEx>
          <w:tblCellMar>
            <w:top w:w="0" w:type="dxa"/>
            <w:left w:w="108" w:type="dxa"/>
            <w:bottom w:w="0" w:type="dxa"/>
            <w:right w:w="108" w:type="dxa"/>
          </w:tblCellMar>
        </w:tblPrEx>
        <w:trPr>
          <w:trHeight w:val="90" w:hRule="atLeast"/>
        </w:trPr>
        <w:tc>
          <w:tcPr>
            <w:tcW w:w="4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21699">
            <w:pPr>
              <w:widowControl/>
              <w:spacing w:line="240" w:lineRule="auto"/>
              <w:ind w:firstLine="0" w:firstLineChars="0"/>
              <w:jc w:val="center"/>
              <w:textAlignment w:val="center"/>
              <w:rPr>
                <w:rFonts w:ascii="Times New Roman" w:hAnsi="Times New Roman" w:eastAsia="宋体" w:cs="Times New Roman"/>
                <w:color w:val="auto"/>
                <w:highlight w:val="none"/>
              </w:rPr>
            </w:pPr>
            <w:r>
              <w:rPr>
                <w:rFonts w:ascii="Times New Roman" w:hAnsi="Times New Roman" w:eastAsia="宋体" w:cs="Times New Roman"/>
                <w:color w:val="auto"/>
                <w:kern w:val="0"/>
                <w:highlight w:val="none"/>
                <w:lang w:bidi="ar"/>
              </w:rPr>
              <w:t>1</w:t>
            </w:r>
          </w:p>
        </w:tc>
        <w:tc>
          <w:tcPr>
            <w:tcW w:w="30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5C717">
            <w:pPr>
              <w:widowControl/>
              <w:snapToGrid/>
              <w:spacing w:line="240" w:lineRule="auto"/>
              <w:ind w:firstLine="0" w:firstLineChars="0"/>
              <w:jc w:val="left"/>
              <w:textAlignment w:val="center"/>
              <w:rPr>
                <w:rFonts w:ascii="Times New Roman" w:hAnsi="Times New Roman" w:eastAsia="宋体" w:cs="Times New Roman"/>
                <w:color w:val="auto"/>
                <w:highlight w:val="none"/>
                <w:lang w:eastAsia="en-US"/>
              </w:rPr>
            </w:pPr>
            <w:r>
              <w:rPr>
                <w:rFonts w:hint="eastAsia" w:ascii="Times New Roman" w:hAnsi="Times New Roman" w:eastAsia="宋体" w:cs="Times New Roman"/>
                <w:color w:val="auto"/>
                <w:highlight w:val="none"/>
                <w:lang w:val="en-US" w:eastAsia="zh-CN"/>
              </w:rPr>
              <w:t>新疆路路通建设工程有限责任公司</w:t>
            </w:r>
          </w:p>
        </w:tc>
        <w:tc>
          <w:tcPr>
            <w:tcW w:w="1467" w:type="pct"/>
            <w:tcBorders>
              <w:top w:val="single" w:color="000000" w:sz="4" w:space="0"/>
              <w:left w:val="single" w:color="000000" w:sz="4" w:space="0"/>
              <w:bottom w:val="single" w:color="000000" w:sz="4" w:space="0"/>
              <w:right w:val="single" w:color="000000" w:sz="4" w:space="0"/>
            </w:tcBorders>
            <w:shd w:val="clear" w:color="auto" w:fill="auto"/>
            <w:noWrap/>
          </w:tcPr>
          <w:p w14:paraId="399F1655">
            <w:pPr>
              <w:pStyle w:val="35"/>
              <w:spacing w:before="129" w:line="240" w:lineRule="auto"/>
              <w:ind w:firstLine="0" w:firstLineChars="0"/>
              <w:jc w:val="center"/>
              <w:rPr>
                <w:rFonts w:ascii="Times New Roman" w:hAnsi="Times New Roman" w:eastAsia="宋体" w:cs="Times New Roman"/>
                <w:color w:val="auto"/>
                <w:spacing w:val="-2"/>
                <w:sz w:val="21"/>
                <w:szCs w:val="21"/>
                <w:highlight w:val="none"/>
                <w:lang w:eastAsia="zh-CN"/>
              </w:rPr>
            </w:pPr>
            <w:r>
              <w:rPr>
                <w:rFonts w:ascii="Times New Roman" w:hAnsi="Times New Roman" w:eastAsia="宋体" w:cs="Times New Roman"/>
                <w:color w:val="auto"/>
                <w:spacing w:val="-2"/>
                <w:sz w:val="21"/>
                <w:szCs w:val="21"/>
                <w:highlight w:val="none"/>
                <w:lang w:eastAsia="zh-CN"/>
              </w:rPr>
              <w:t>施工单位</w:t>
            </w:r>
          </w:p>
        </w:tc>
      </w:tr>
      <w:tr w14:paraId="03A2D678">
        <w:tblPrEx>
          <w:tblCellMar>
            <w:top w:w="0" w:type="dxa"/>
            <w:left w:w="108" w:type="dxa"/>
            <w:bottom w:w="0" w:type="dxa"/>
            <w:right w:w="108" w:type="dxa"/>
          </w:tblCellMar>
        </w:tblPrEx>
        <w:trPr>
          <w:trHeight w:val="90" w:hRule="atLeast"/>
        </w:trPr>
        <w:tc>
          <w:tcPr>
            <w:tcW w:w="4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F319B">
            <w:pPr>
              <w:widowControl/>
              <w:spacing w:line="240" w:lineRule="auto"/>
              <w:ind w:firstLine="0" w:firstLineChars="0"/>
              <w:jc w:val="center"/>
              <w:textAlignment w:val="center"/>
              <w:rPr>
                <w:rFonts w:ascii="Times New Roman" w:hAnsi="Times New Roman" w:eastAsia="宋体" w:cs="Times New Roman"/>
                <w:color w:val="auto"/>
                <w:highlight w:val="none"/>
              </w:rPr>
            </w:pPr>
            <w:r>
              <w:rPr>
                <w:rFonts w:ascii="Times New Roman" w:hAnsi="Times New Roman" w:eastAsia="宋体" w:cs="Times New Roman"/>
                <w:color w:val="auto"/>
                <w:kern w:val="0"/>
                <w:highlight w:val="none"/>
                <w:lang w:bidi="ar"/>
              </w:rPr>
              <w:t>2</w:t>
            </w:r>
          </w:p>
        </w:tc>
        <w:tc>
          <w:tcPr>
            <w:tcW w:w="3089" w:type="pct"/>
            <w:tcBorders>
              <w:top w:val="single" w:color="000000" w:sz="4" w:space="0"/>
              <w:left w:val="single" w:color="000000" w:sz="4" w:space="0"/>
              <w:bottom w:val="single" w:color="000000" w:sz="4" w:space="0"/>
              <w:right w:val="single" w:color="000000" w:sz="4" w:space="0"/>
            </w:tcBorders>
            <w:shd w:val="clear" w:color="auto" w:fill="auto"/>
          </w:tcPr>
          <w:p w14:paraId="4121C234">
            <w:pPr>
              <w:widowControl/>
              <w:snapToGrid/>
              <w:spacing w:line="240" w:lineRule="auto"/>
              <w:ind w:firstLine="0" w:firstLineChars="0"/>
              <w:jc w:val="left"/>
              <w:textAlignment w:val="center"/>
              <w:rPr>
                <w:rFonts w:ascii="Times New Roman" w:hAnsi="Times New Roman" w:eastAsia="宋体" w:cs="Times New Roman"/>
                <w:color w:val="auto"/>
                <w:highlight w:val="none"/>
              </w:rPr>
            </w:pPr>
            <w:r>
              <w:rPr>
                <w:rFonts w:hint="eastAsia" w:ascii="Times New Roman" w:hAnsi="Times New Roman" w:eastAsia="宋体" w:cs="Times New Roman"/>
                <w:i w:val="0"/>
                <w:iCs w:val="0"/>
                <w:color w:val="auto"/>
                <w:kern w:val="0"/>
                <w:sz w:val="21"/>
                <w:szCs w:val="21"/>
                <w:highlight w:val="none"/>
                <w:u w:val="none"/>
                <w:lang w:val="en-US" w:eastAsia="zh-CN" w:bidi="ar"/>
              </w:rPr>
              <w:t>新疆路通达路桥工程监理有限公司</w:t>
            </w:r>
          </w:p>
        </w:tc>
        <w:tc>
          <w:tcPr>
            <w:tcW w:w="1467" w:type="pct"/>
            <w:tcBorders>
              <w:top w:val="single" w:color="000000" w:sz="4" w:space="0"/>
              <w:left w:val="single" w:color="000000" w:sz="4" w:space="0"/>
              <w:bottom w:val="single" w:color="000000" w:sz="4" w:space="0"/>
              <w:right w:val="single" w:color="000000" w:sz="4" w:space="0"/>
            </w:tcBorders>
            <w:shd w:val="clear" w:color="auto" w:fill="auto"/>
          </w:tcPr>
          <w:p w14:paraId="3F61F6D1">
            <w:pPr>
              <w:pStyle w:val="35"/>
              <w:spacing w:before="129" w:line="240" w:lineRule="auto"/>
              <w:ind w:firstLine="0" w:firstLineChars="0"/>
              <w:jc w:val="center"/>
              <w:rPr>
                <w:rFonts w:ascii="Times New Roman" w:hAnsi="Times New Roman" w:eastAsia="宋体" w:cs="Times New Roman"/>
                <w:color w:val="auto"/>
                <w:spacing w:val="-2"/>
                <w:sz w:val="21"/>
                <w:szCs w:val="21"/>
                <w:highlight w:val="none"/>
                <w:lang w:eastAsia="zh-CN"/>
              </w:rPr>
            </w:pPr>
            <w:r>
              <w:rPr>
                <w:rFonts w:ascii="Times New Roman" w:hAnsi="Times New Roman" w:eastAsia="宋体" w:cs="Times New Roman"/>
                <w:color w:val="auto"/>
                <w:spacing w:val="-2"/>
                <w:sz w:val="21"/>
                <w:szCs w:val="21"/>
                <w:highlight w:val="none"/>
                <w:lang w:eastAsia="zh-CN"/>
              </w:rPr>
              <w:t>监理单位</w:t>
            </w:r>
          </w:p>
        </w:tc>
      </w:tr>
      <w:tr w14:paraId="36926C6A">
        <w:tblPrEx>
          <w:tblCellMar>
            <w:top w:w="0" w:type="dxa"/>
            <w:left w:w="108" w:type="dxa"/>
            <w:bottom w:w="0" w:type="dxa"/>
            <w:right w:w="108" w:type="dxa"/>
          </w:tblCellMar>
        </w:tblPrEx>
        <w:trPr>
          <w:trHeight w:val="375" w:hRule="atLeast"/>
        </w:trPr>
        <w:tc>
          <w:tcPr>
            <w:tcW w:w="4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0ECD2">
            <w:pPr>
              <w:widowControl/>
              <w:spacing w:line="240" w:lineRule="auto"/>
              <w:ind w:firstLine="0" w:firstLineChars="0"/>
              <w:jc w:val="center"/>
              <w:textAlignment w:val="center"/>
              <w:rPr>
                <w:rFonts w:ascii="Times New Roman" w:hAnsi="Times New Roman" w:eastAsia="宋体" w:cs="Times New Roman"/>
                <w:color w:val="auto"/>
                <w:highlight w:val="none"/>
              </w:rPr>
            </w:pPr>
            <w:r>
              <w:rPr>
                <w:rFonts w:ascii="Times New Roman" w:hAnsi="Times New Roman" w:eastAsia="宋体" w:cs="Times New Roman"/>
                <w:color w:val="auto"/>
                <w:kern w:val="0"/>
                <w:highlight w:val="none"/>
                <w:lang w:bidi="ar"/>
              </w:rPr>
              <w:t>3</w:t>
            </w:r>
          </w:p>
        </w:tc>
        <w:tc>
          <w:tcPr>
            <w:tcW w:w="30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C5123">
            <w:pPr>
              <w:widowControl/>
              <w:snapToGrid/>
              <w:spacing w:line="240" w:lineRule="auto"/>
              <w:ind w:firstLine="0" w:firstLineChars="0"/>
              <w:jc w:val="left"/>
              <w:textAlignment w:val="center"/>
              <w:rPr>
                <w:rFonts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highlight w:val="none"/>
                <w:lang w:val="en-US" w:eastAsia="zh-CN"/>
              </w:rPr>
              <w:t>新疆嘉会工程项目管理有限公司</w:t>
            </w:r>
          </w:p>
        </w:tc>
        <w:tc>
          <w:tcPr>
            <w:tcW w:w="1467" w:type="pct"/>
            <w:tcBorders>
              <w:top w:val="single" w:color="000000" w:sz="4" w:space="0"/>
              <w:left w:val="single" w:color="000000" w:sz="4" w:space="0"/>
              <w:bottom w:val="single" w:color="000000" w:sz="4" w:space="0"/>
              <w:right w:val="single" w:color="000000" w:sz="4" w:space="0"/>
            </w:tcBorders>
            <w:shd w:val="clear" w:color="auto" w:fill="auto"/>
            <w:vAlign w:val="top"/>
          </w:tcPr>
          <w:p w14:paraId="37FDAD8B">
            <w:pPr>
              <w:pStyle w:val="35"/>
              <w:spacing w:before="129" w:line="240" w:lineRule="auto"/>
              <w:ind w:firstLine="0" w:firstLineChars="0"/>
              <w:jc w:val="center"/>
              <w:rPr>
                <w:rFonts w:ascii="Times New Roman" w:hAnsi="Times New Roman" w:eastAsia="宋体" w:cs="Times New Roman"/>
                <w:color w:val="auto"/>
                <w:spacing w:val="-2"/>
                <w:kern w:val="2"/>
                <w:sz w:val="21"/>
                <w:szCs w:val="21"/>
                <w:highlight w:val="none"/>
                <w:lang w:val="en-US" w:eastAsia="zh-CN" w:bidi="ar-SA"/>
              </w:rPr>
            </w:pPr>
            <w:r>
              <w:rPr>
                <w:rFonts w:hint="default" w:ascii="Times New Roman" w:hAnsi="Times New Roman" w:eastAsia="宋体" w:cs="Times New Roman"/>
                <w:color w:val="auto"/>
                <w:spacing w:val="-2"/>
                <w:sz w:val="21"/>
                <w:szCs w:val="21"/>
                <w:highlight w:val="none"/>
                <w:lang w:val="en-US" w:eastAsia="zh-CN"/>
              </w:rPr>
              <w:t>招标</w:t>
            </w:r>
            <w:r>
              <w:rPr>
                <w:rFonts w:ascii="Times New Roman" w:hAnsi="Times New Roman" w:eastAsia="宋体" w:cs="Times New Roman"/>
                <w:color w:val="auto"/>
                <w:spacing w:val="-2"/>
                <w:sz w:val="21"/>
                <w:szCs w:val="21"/>
                <w:highlight w:val="none"/>
                <w:lang w:eastAsia="zh-CN"/>
              </w:rPr>
              <w:t>单位</w:t>
            </w:r>
          </w:p>
        </w:tc>
      </w:tr>
      <w:tr w14:paraId="609E948F">
        <w:tblPrEx>
          <w:tblCellMar>
            <w:top w:w="0" w:type="dxa"/>
            <w:left w:w="108" w:type="dxa"/>
            <w:bottom w:w="0" w:type="dxa"/>
            <w:right w:w="108" w:type="dxa"/>
          </w:tblCellMar>
        </w:tblPrEx>
        <w:trPr>
          <w:trHeight w:val="334" w:hRule="atLeast"/>
        </w:trPr>
        <w:tc>
          <w:tcPr>
            <w:tcW w:w="4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5A187">
            <w:pPr>
              <w:widowControl/>
              <w:spacing w:line="240" w:lineRule="auto"/>
              <w:ind w:firstLine="0" w:firstLineChars="0"/>
              <w:jc w:val="center"/>
              <w:textAlignment w:val="center"/>
              <w:rPr>
                <w:rFonts w:ascii="Times New Roman" w:hAnsi="Times New Roman" w:eastAsia="宋体" w:cs="Times New Roman"/>
                <w:color w:val="auto"/>
                <w:kern w:val="0"/>
                <w:highlight w:val="none"/>
                <w:lang w:bidi="ar"/>
              </w:rPr>
            </w:pPr>
            <w:r>
              <w:rPr>
                <w:rFonts w:ascii="Times New Roman" w:hAnsi="Times New Roman" w:eastAsia="宋体" w:cs="Times New Roman"/>
                <w:color w:val="auto"/>
                <w:kern w:val="0"/>
                <w:highlight w:val="none"/>
                <w:lang w:bidi="ar"/>
              </w:rPr>
              <w:t>4</w:t>
            </w:r>
          </w:p>
        </w:tc>
        <w:tc>
          <w:tcPr>
            <w:tcW w:w="30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FB9AF">
            <w:pPr>
              <w:widowControl/>
              <w:snapToGrid/>
              <w:spacing w:line="240" w:lineRule="auto"/>
              <w:ind w:firstLine="0" w:firstLineChars="0"/>
              <w:jc w:val="left"/>
              <w:textAlignment w:val="center"/>
              <w:rPr>
                <w:rFonts w:ascii="Times New Roman" w:hAnsi="Times New Roman" w:eastAsia="宋体" w:cs="Times New Roman"/>
                <w:color w:val="auto"/>
                <w:kern w:val="0"/>
                <w:highlight w:val="none"/>
                <w:lang w:bidi="ar"/>
              </w:rPr>
            </w:pPr>
            <w:r>
              <w:rPr>
                <w:rFonts w:hint="eastAsia" w:ascii="Times New Roman" w:hAnsi="Times New Roman" w:eastAsia="宋体" w:cs="Times New Roman"/>
                <w:color w:val="auto"/>
                <w:highlight w:val="none"/>
                <w:lang w:val="en-US" w:eastAsia="zh-CN"/>
              </w:rPr>
              <w:t>云南平捷工程设计咨询有限公司</w:t>
            </w:r>
          </w:p>
        </w:tc>
        <w:tc>
          <w:tcPr>
            <w:tcW w:w="1467" w:type="pct"/>
            <w:tcBorders>
              <w:top w:val="single" w:color="000000" w:sz="4" w:space="0"/>
              <w:left w:val="single" w:color="000000" w:sz="4" w:space="0"/>
              <w:bottom w:val="single" w:color="000000" w:sz="4" w:space="0"/>
              <w:right w:val="single" w:color="000000" w:sz="4" w:space="0"/>
            </w:tcBorders>
            <w:shd w:val="clear" w:color="auto" w:fill="auto"/>
          </w:tcPr>
          <w:p w14:paraId="6D4569A1">
            <w:pPr>
              <w:pStyle w:val="35"/>
              <w:spacing w:before="129" w:line="240" w:lineRule="auto"/>
              <w:ind w:firstLine="0" w:firstLineChars="0"/>
              <w:jc w:val="center"/>
              <w:rPr>
                <w:rFonts w:ascii="Times New Roman" w:hAnsi="Times New Roman" w:eastAsia="宋体" w:cs="Times New Roman"/>
                <w:color w:val="auto"/>
                <w:spacing w:val="-2"/>
                <w:sz w:val="21"/>
                <w:szCs w:val="21"/>
                <w:highlight w:val="none"/>
                <w:lang w:eastAsia="zh-CN"/>
              </w:rPr>
            </w:pPr>
            <w:r>
              <w:rPr>
                <w:rFonts w:ascii="Times New Roman" w:hAnsi="Times New Roman" w:eastAsia="宋体" w:cs="Times New Roman"/>
                <w:color w:val="auto"/>
                <w:spacing w:val="-2"/>
                <w:sz w:val="21"/>
                <w:szCs w:val="21"/>
                <w:highlight w:val="none"/>
                <w:lang w:eastAsia="zh-CN"/>
              </w:rPr>
              <w:t>设计单位</w:t>
            </w:r>
          </w:p>
        </w:tc>
      </w:tr>
      <w:tr w14:paraId="3EBCCC07">
        <w:tblPrEx>
          <w:tblCellMar>
            <w:top w:w="0" w:type="dxa"/>
            <w:left w:w="108" w:type="dxa"/>
            <w:bottom w:w="0" w:type="dxa"/>
            <w:right w:w="108" w:type="dxa"/>
          </w:tblCellMar>
        </w:tblPrEx>
        <w:trPr>
          <w:trHeight w:val="90" w:hRule="atLeast"/>
        </w:trPr>
        <w:tc>
          <w:tcPr>
            <w:tcW w:w="4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4F00F">
            <w:pPr>
              <w:widowControl/>
              <w:spacing w:line="240" w:lineRule="auto"/>
              <w:ind w:firstLine="0" w:firstLineChars="0"/>
              <w:jc w:val="center"/>
              <w:textAlignment w:val="center"/>
              <w:rPr>
                <w:rFonts w:hint="default" w:ascii="Times New Roman" w:hAnsi="Times New Roman" w:eastAsia="宋体" w:cs="Times New Roman"/>
                <w:color w:val="auto"/>
                <w:kern w:val="0"/>
                <w:highlight w:val="none"/>
                <w:lang w:val="en-US" w:eastAsia="zh-CN" w:bidi="ar"/>
              </w:rPr>
            </w:pPr>
            <w:r>
              <w:rPr>
                <w:rFonts w:hint="default" w:ascii="Times New Roman" w:hAnsi="Times New Roman" w:eastAsia="宋体" w:cs="Times New Roman"/>
                <w:color w:val="auto"/>
                <w:kern w:val="0"/>
                <w:highlight w:val="none"/>
                <w:lang w:val="en-US" w:eastAsia="zh-CN" w:bidi="ar"/>
              </w:rPr>
              <w:t>5</w:t>
            </w:r>
          </w:p>
        </w:tc>
        <w:tc>
          <w:tcPr>
            <w:tcW w:w="30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F6273">
            <w:pPr>
              <w:widowControl/>
              <w:snapToGrid/>
              <w:spacing w:line="240" w:lineRule="auto"/>
              <w:ind w:firstLine="0" w:firstLineChars="0"/>
              <w:jc w:val="left"/>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highlight w:val="none"/>
                <w:lang w:val="en-US" w:eastAsia="zh-CN"/>
              </w:rPr>
              <w:t>新疆惠文建设工程项目管理咨询有限公司</w:t>
            </w:r>
          </w:p>
        </w:tc>
        <w:tc>
          <w:tcPr>
            <w:tcW w:w="1467" w:type="pct"/>
            <w:tcBorders>
              <w:top w:val="single" w:color="000000" w:sz="4" w:space="0"/>
              <w:left w:val="single" w:color="000000" w:sz="4" w:space="0"/>
              <w:bottom w:val="single" w:color="000000" w:sz="4" w:space="0"/>
              <w:right w:val="single" w:color="000000" w:sz="4" w:space="0"/>
            </w:tcBorders>
            <w:shd w:val="clear" w:color="auto" w:fill="auto"/>
            <w:vAlign w:val="top"/>
          </w:tcPr>
          <w:p w14:paraId="3A134370">
            <w:pPr>
              <w:pStyle w:val="35"/>
              <w:spacing w:before="129" w:line="240" w:lineRule="auto"/>
              <w:ind w:firstLine="0" w:firstLineChars="0"/>
              <w:jc w:val="center"/>
              <w:rPr>
                <w:rFonts w:hint="default" w:ascii="Times New Roman" w:hAnsi="Times New Roman" w:eastAsia="宋体" w:cs="Times New Roman"/>
                <w:color w:val="auto"/>
                <w:spacing w:val="-2"/>
                <w:kern w:val="2"/>
                <w:sz w:val="21"/>
                <w:szCs w:val="21"/>
                <w:highlight w:val="none"/>
                <w:lang w:val="en-US" w:eastAsia="zh-CN" w:bidi="ar-SA"/>
              </w:rPr>
            </w:pPr>
            <w:r>
              <w:rPr>
                <w:rFonts w:hint="default" w:ascii="Times New Roman" w:hAnsi="Times New Roman" w:eastAsia="宋体" w:cs="Times New Roman"/>
                <w:color w:val="auto"/>
                <w:spacing w:val="-2"/>
                <w:sz w:val="21"/>
                <w:szCs w:val="21"/>
                <w:highlight w:val="none"/>
                <w:lang w:val="en-US" w:eastAsia="zh-CN"/>
              </w:rPr>
              <w:t>审计结算单位</w:t>
            </w:r>
          </w:p>
        </w:tc>
      </w:tr>
    </w:tbl>
    <w:p w14:paraId="148B9454">
      <w:pPr>
        <w:spacing w:line="360" w:lineRule="auto"/>
        <w:ind w:firstLine="420"/>
        <w:rPr>
          <w:rFonts w:hint="eastAsia" w:ascii="Times New Roman" w:hAnsi="Times New Roman" w:eastAsia="宋体" w:cs="Times New Roman"/>
          <w:color w:val="auto"/>
          <w:highlight w:val="none"/>
          <w:lang w:val="en-US" w:eastAsia="zh-CN"/>
        </w:rPr>
      </w:pPr>
    </w:p>
    <w:p w14:paraId="55A76C89">
      <w:pPr>
        <w:pStyle w:val="4"/>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ascii="Times New Roman" w:hAnsi="Times New Roman" w:eastAsia="宋体" w:cs="Times New Roman"/>
          <w:color w:val="auto"/>
          <w:highlight w:val="none"/>
        </w:rPr>
      </w:pPr>
      <w:bookmarkStart w:id="43" w:name="_Toc25965"/>
      <w:bookmarkStart w:id="44" w:name="_Toc916445831"/>
      <w:r>
        <w:rPr>
          <w:rFonts w:hint="eastAsia" w:ascii="Times New Roman" w:hAnsi="Times New Roman" w:eastAsia="宋体" w:cs="Times New Roman"/>
          <w:color w:val="auto"/>
          <w:highlight w:val="none"/>
        </w:rPr>
        <w:t>二、</w:t>
      </w:r>
      <w:r>
        <w:rPr>
          <w:rFonts w:ascii="Times New Roman" w:hAnsi="Times New Roman" w:eastAsia="宋体" w:cs="Times New Roman"/>
          <w:color w:val="auto"/>
          <w:highlight w:val="none"/>
        </w:rPr>
        <w:t>项目绩效目标</w:t>
      </w:r>
      <w:bookmarkEnd w:id="41"/>
      <w:bookmarkEnd w:id="43"/>
      <w:bookmarkEnd w:id="44"/>
    </w:p>
    <w:p w14:paraId="1F7DDB76">
      <w:pPr>
        <w:pStyle w:val="5"/>
        <w:pageBreakBefore w:val="0"/>
        <w:widowControl w:val="0"/>
        <w:kinsoku/>
        <w:wordWrap/>
        <w:overflowPunct/>
        <w:topLinePunct w:val="0"/>
        <w:autoSpaceDE/>
        <w:autoSpaceDN/>
        <w:bidi w:val="0"/>
        <w:adjustRightInd w:val="0"/>
        <w:snapToGrid w:val="0"/>
        <w:spacing w:before="0" w:after="0" w:line="360" w:lineRule="auto"/>
        <w:textAlignment w:val="auto"/>
        <w:rPr>
          <w:rFonts w:ascii="Times New Roman" w:hAnsi="Times New Roman" w:eastAsia="宋体" w:cs="Times New Roman"/>
          <w:color w:val="auto"/>
          <w:highlight w:val="none"/>
        </w:rPr>
      </w:pPr>
      <w:bookmarkStart w:id="45" w:name="_Toc952365333"/>
      <w:bookmarkStart w:id="46" w:name="_Toc24866"/>
      <w:r>
        <w:rPr>
          <w:rFonts w:hint="eastAsia" w:ascii="Times New Roman" w:hAnsi="Times New Roman" w:eastAsia="宋体" w:cs="Times New Roman"/>
          <w:color w:val="auto"/>
          <w:highlight w:val="none"/>
        </w:rPr>
        <w:t>（一）</w:t>
      </w:r>
      <w:r>
        <w:rPr>
          <w:rFonts w:ascii="Times New Roman" w:hAnsi="Times New Roman" w:eastAsia="宋体" w:cs="Times New Roman"/>
          <w:color w:val="auto"/>
          <w:highlight w:val="none"/>
        </w:rPr>
        <w:t>项目绩效总目标</w:t>
      </w:r>
      <w:bookmarkEnd w:id="45"/>
      <w:bookmarkEnd w:id="46"/>
    </w:p>
    <w:p w14:paraId="29E6082D">
      <w:pPr>
        <w:spacing w:line="360" w:lineRule="auto"/>
        <w:ind w:firstLine="0"/>
        <w:rPr>
          <w:rFonts w:hint="eastAsia" w:ascii="Times New Roman" w:hAnsi="Times New Roman" w:eastAsia="宋体" w:cs="Times New Roman"/>
          <w:color w:val="auto"/>
          <w:highlight w:val="none"/>
          <w:lang w:val="en-US" w:eastAsia="zh-CN"/>
        </w:rPr>
      </w:pPr>
      <w:bookmarkStart w:id="47" w:name="_Toc1208530640"/>
      <w:r>
        <w:rPr>
          <w:rFonts w:hint="eastAsia" w:ascii="Times New Roman" w:hAnsi="Times New Roman" w:eastAsia="宋体" w:cs="Times New Roman"/>
          <w:color w:val="auto"/>
          <w:highlight w:val="none"/>
          <w:lang w:val="en-US" w:eastAsia="zh-CN"/>
        </w:rPr>
        <w:t>伊宁县交通运输局结合地区实际情况，为做好“四好公路”建设，进一步加强伊宁县农村公路管理养护工作，改善农村交通运输状况、农村居住生活环境和乡村面貌，促进农村公路持续健康发展，促进地区经济发展</w:t>
      </w:r>
      <w:r>
        <w:rPr>
          <w:rFonts w:hint="eastAsia" w:ascii="Times New Roman" w:hAnsi="Times New Roman" w:eastAsia="宋体" w:cs="Times New Roman"/>
          <w:color w:val="auto"/>
          <w:highlight w:val="none"/>
        </w:rPr>
        <w:t>。</w:t>
      </w:r>
    </w:p>
    <w:p w14:paraId="076B9471">
      <w:pPr>
        <w:pStyle w:val="5"/>
        <w:pageBreakBefore w:val="0"/>
        <w:widowControl w:val="0"/>
        <w:kinsoku/>
        <w:wordWrap/>
        <w:overflowPunct/>
        <w:topLinePunct w:val="0"/>
        <w:autoSpaceDE/>
        <w:autoSpaceDN/>
        <w:bidi w:val="0"/>
        <w:adjustRightInd w:val="0"/>
        <w:snapToGrid w:val="0"/>
        <w:spacing w:before="0" w:after="0" w:line="360" w:lineRule="auto"/>
        <w:textAlignment w:val="auto"/>
        <w:rPr>
          <w:rFonts w:ascii="Times New Roman" w:hAnsi="Times New Roman" w:eastAsia="宋体" w:cs="Times New Roman"/>
          <w:color w:val="auto"/>
          <w:highlight w:val="none"/>
        </w:rPr>
      </w:pPr>
      <w:bookmarkStart w:id="48" w:name="_Toc13000"/>
      <w:r>
        <w:rPr>
          <w:rFonts w:hint="eastAsia" w:ascii="Times New Roman" w:hAnsi="Times New Roman" w:eastAsia="宋体" w:cs="Times New Roman"/>
          <w:color w:val="auto"/>
          <w:highlight w:val="none"/>
        </w:rPr>
        <w:t>（二）年度绩效</w:t>
      </w:r>
      <w:r>
        <w:rPr>
          <w:rFonts w:ascii="Times New Roman" w:hAnsi="Times New Roman" w:eastAsia="宋体" w:cs="Times New Roman"/>
          <w:color w:val="auto"/>
          <w:highlight w:val="none"/>
        </w:rPr>
        <w:t>目标</w:t>
      </w:r>
      <w:bookmarkEnd w:id="47"/>
      <w:bookmarkEnd w:id="48"/>
    </w:p>
    <w:p w14:paraId="3DF9412D">
      <w:pPr>
        <w:pageBreakBefore w:val="0"/>
        <w:widowControl w:val="0"/>
        <w:kinsoku/>
        <w:wordWrap/>
        <w:overflowPunct/>
        <w:topLinePunct w:val="0"/>
        <w:autoSpaceDE/>
        <w:autoSpaceDN/>
        <w:bidi w:val="0"/>
        <w:adjustRightInd w:val="0"/>
        <w:snapToGrid w:val="0"/>
        <w:spacing w:line="360" w:lineRule="auto"/>
        <w:ind w:firstLine="560"/>
        <w:textAlignment w:val="auto"/>
        <w:rPr>
          <w:rFonts w:hint="eastAsia"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b w:val="0"/>
          <w:bCs w:val="0"/>
          <w:color w:val="auto"/>
          <w:kern w:val="2"/>
          <w:sz w:val="21"/>
          <w:szCs w:val="21"/>
          <w:highlight w:val="none"/>
          <w:lang w:val="en-US" w:eastAsia="zh-CN" w:bidi="ar-SA"/>
        </w:rPr>
        <w:t>根据《项目支出绩效评价管理办法》（财预〔2020〕10号）的规定，绩效评价小组结合项目实际情况，对伊宁县成品油税费农村公路日常养护项目绩效目标进行梳理、细化和补充完善，最终确定该项目年度目标为：2024年度计划完成农村公路养护里程214.2公里，加强</w:t>
      </w:r>
      <w:r>
        <w:rPr>
          <w:rFonts w:hint="eastAsia" w:ascii="Times New Roman" w:hAnsi="Times New Roman" w:eastAsia="宋体" w:cs="Times New Roman"/>
          <w:color w:val="auto"/>
          <w:highlight w:val="none"/>
          <w:lang w:val="en-US" w:eastAsia="zh-CN"/>
        </w:rPr>
        <w:t>农村公路管理养护工作</w:t>
      </w:r>
      <w:r>
        <w:rPr>
          <w:rFonts w:hint="eastAsia" w:ascii="Times New Roman" w:hAnsi="Times New Roman" w:eastAsia="宋体" w:cs="Times New Roman"/>
          <w:b w:val="0"/>
          <w:bCs w:val="0"/>
          <w:color w:val="auto"/>
          <w:kern w:val="2"/>
          <w:sz w:val="21"/>
          <w:szCs w:val="21"/>
          <w:highlight w:val="none"/>
          <w:lang w:val="en-US" w:eastAsia="zh-CN" w:bidi="ar-SA"/>
        </w:rPr>
        <w:t>，通过项目实施保障出行安全，降低交通风险，改善乡村生活环境。该项目个性目标设置具体如下：</w:t>
      </w:r>
    </w:p>
    <w:p w14:paraId="5F8611D3">
      <w:pPr>
        <w:pageBreakBefore w:val="0"/>
        <w:widowControl w:val="0"/>
        <w:kinsoku/>
        <w:wordWrap/>
        <w:overflowPunct/>
        <w:topLinePunct w:val="0"/>
        <w:autoSpaceDE/>
        <w:autoSpaceDN/>
        <w:bidi w:val="0"/>
        <w:adjustRightInd w:val="0"/>
        <w:snapToGrid w:val="0"/>
        <w:spacing w:line="360" w:lineRule="auto"/>
        <w:ind w:firstLine="422"/>
        <w:textAlignment w:val="auto"/>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1.项目产出目标</w:t>
      </w:r>
    </w:p>
    <w:p w14:paraId="273D1725">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（1）数量指标</w:t>
      </w:r>
    </w:p>
    <w:p w14:paraId="7E7B646F">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“C11</w:t>
      </w:r>
      <w:r>
        <w:rPr>
          <w:rFonts w:hint="eastAsia" w:ascii="Times New Roman" w:hAnsi="Times New Roman" w:eastAsia="宋体" w:cs="Times New Roman"/>
          <w:color w:val="auto"/>
          <w:highlight w:val="none"/>
          <w:lang w:eastAsia="zh-CN"/>
        </w:rPr>
        <w:t>农村公路养护里程</w:t>
      </w:r>
      <w:r>
        <w:rPr>
          <w:rFonts w:hint="eastAsia" w:ascii="Times New Roman" w:hAnsi="Times New Roman" w:eastAsia="宋体" w:cs="Times New Roman"/>
          <w:color w:val="auto"/>
          <w:highlight w:val="none"/>
        </w:rPr>
        <w:t>”指标，预期指标值为</w:t>
      </w:r>
      <w:r>
        <w:rPr>
          <w:rFonts w:hint="eastAsia" w:ascii="Times New Roman" w:hAnsi="Times New Roman" w:eastAsia="宋体" w:cs="Times New Roman"/>
          <w:color w:val="auto"/>
          <w:highlight w:val="none"/>
          <w:lang w:val="en-US" w:eastAsia="zh-CN"/>
        </w:rPr>
        <w:t>大于等于</w:t>
      </w:r>
      <w:r>
        <w:rPr>
          <w:rFonts w:hint="eastAsia" w:eastAsia="宋体" w:cs="Times New Roman"/>
          <w:color w:val="auto"/>
          <w:highlight w:val="none"/>
          <w:lang w:val="en-US" w:eastAsia="zh-CN"/>
        </w:rPr>
        <w:t>214.2</w:t>
      </w:r>
      <w:r>
        <w:rPr>
          <w:rFonts w:hint="eastAsia" w:ascii="Times New Roman" w:hAnsi="Times New Roman" w:eastAsia="宋体" w:cs="Times New Roman"/>
          <w:color w:val="auto"/>
          <w:highlight w:val="none"/>
          <w:lang w:val="en-US" w:eastAsia="zh-CN"/>
        </w:rPr>
        <w:t>公里</w:t>
      </w:r>
      <w:r>
        <w:rPr>
          <w:rFonts w:hint="eastAsia" w:ascii="Times New Roman" w:hAnsi="Times New Roman" w:eastAsia="宋体" w:cs="Times New Roman"/>
          <w:color w:val="auto"/>
          <w:highlight w:val="none"/>
        </w:rPr>
        <w:t>。</w:t>
      </w:r>
    </w:p>
    <w:p w14:paraId="2449E038">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“C12养护公路条数”指标，预期指标值为</w:t>
      </w:r>
      <w:r>
        <w:rPr>
          <w:rFonts w:hint="eastAsia" w:ascii="Times New Roman" w:hAnsi="Times New Roman" w:eastAsia="宋体" w:cs="Times New Roman"/>
          <w:color w:val="auto"/>
          <w:highlight w:val="none"/>
          <w:lang w:val="en-US" w:eastAsia="zh-CN"/>
        </w:rPr>
        <w:t>大于等于27条</w:t>
      </w:r>
      <w:r>
        <w:rPr>
          <w:rFonts w:hint="eastAsia" w:ascii="Times New Roman" w:hAnsi="Times New Roman" w:eastAsia="宋体" w:cs="Times New Roman"/>
          <w:color w:val="auto"/>
          <w:highlight w:val="none"/>
        </w:rPr>
        <w:t>。</w:t>
      </w:r>
    </w:p>
    <w:p w14:paraId="07EC9406">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（2）质量指标</w:t>
      </w:r>
    </w:p>
    <w:p w14:paraId="19FEF151">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“C2</w:t>
      </w:r>
      <w:r>
        <w:rPr>
          <w:rFonts w:hint="eastAsia" w:ascii="Times New Roman" w:hAnsi="Times New Roman" w:eastAsia="宋体" w:cs="Times New Roman"/>
          <w:color w:val="auto"/>
          <w:highlight w:val="none"/>
          <w:lang w:val="en-US" w:eastAsia="zh-CN"/>
        </w:rPr>
        <w:t>1</w:t>
      </w:r>
      <w:r>
        <w:rPr>
          <w:rFonts w:hint="eastAsia" w:ascii="Times New Roman" w:hAnsi="Times New Roman" w:eastAsia="宋体" w:cs="Times New Roman"/>
          <w:color w:val="auto"/>
          <w:highlight w:val="none"/>
        </w:rPr>
        <w:t>公路养护工程合格率”指标，预期指标值为</w:t>
      </w:r>
      <w:r>
        <w:rPr>
          <w:rFonts w:hint="eastAsia" w:ascii="Times New Roman" w:hAnsi="Times New Roman" w:eastAsia="宋体" w:cs="Times New Roman"/>
          <w:color w:val="auto"/>
          <w:highlight w:val="none"/>
          <w:lang w:val="en-US" w:eastAsia="zh-CN"/>
        </w:rPr>
        <w:t>100.00%</w:t>
      </w:r>
      <w:r>
        <w:rPr>
          <w:rFonts w:hint="eastAsia" w:ascii="Times New Roman" w:hAnsi="Times New Roman" w:eastAsia="宋体" w:cs="Times New Roman"/>
          <w:color w:val="auto"/>
          <w:highlight w:val="none"/>
        </w:rPr>
        <w:t>。</w:t>
      </w:r>
    </w:p>
    <w:p w14:paraId="556B8912">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（3）时效指标</w:t>
      </w:r>
    </w:p>
    <w:p w14:paraId="56B7DCA4">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“C31项目开工及时率”指标，预期指标值为</w:t>
      </w:r>
      <w:r>
        <w:rPr>
          <w:rFonts w:hint="eastAsia" w:ascii="Times New Roman" w:hAnsi="Times New Roman" w:eastAsia="宋体" w:cs="Times New Roman"/>
          <w:color w:val="auto"/>
          <w:highlight w:val="none"/>
          <w:lang w:val="en-US" w:eastAsia="zh-CN"/>
        </w:rPr>
        <w:t>100.00%</w:t>
      </w:r>
      <w:r>
        <w:rPr>
          <w:rFonts w:hint="eastAsia" w:ascii="Times New Roman" w:hAnsi="Times New Roman" w:eastAsia="宋体" w:cs="Times New Roman"/>
          <w:color w:val="auto"/>
          <w:highlight w:val="none"/>
        </w:rPr>
        <w:t>。</w:t>
      </w:r>
    </w:p>
    <w:p w14:paraId="1D843396">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C</w:t>
      </w:r>
      <w:r>
        <w:rPr>
          <w:rFonts w:hint="eastAsia" w:ascii="Times New Roman" w:hAnsi="Times New Roman" w:eastAsia="宋体" w:cs="Times New Roman"/>
          <w:color w:val="auto"/>
          <w:highlight w:val="none"/>
        </w:rPr>
        <w:t>32项目完工及时率”指标，预期指标值为</w:t>
      </w:r>
      <w:r>
        <w:rPr>
          <w:rFonts w:hint="eastAsia" w:ascii="Times New Roman" w:hAnsi="Times New Roman" w:eastAsia="宋体" w:cs="Times New Roman"/>
          <w:color w:val="auto"/>
          <w:highlight w:val="none"/>
          <w:lang w:val="en-US" w:eastAsia="zh-CN"/>
        </w:rPr>
        <w:t>100.00%</w:t>
      </w:r>
      <w:r>
        <w:rPr>
          <w:rFonts w:hint="eastAsia" w:ascii="Times New Roman" w:hAnsi="Times New Roman" w:eastAsia="宋体" w:cs="Times New Roman"/>
          <w:color w:val="auto"/>
          <w:highlight w:val="none"/>
        </w:rPr>
        <w:t>。</w:t>
      </w:r>
    </w:p>
    <w:p w14:paraId="79B1C686">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（4）成本指标</w:t>
      </w:r>
    </w:p>
    <w:p w14:paraId="3A4AC94D">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“C41</w:t>
      </w:r>
      <w:r>
        <w:rPr>
          <w:rFonts w:hint="eastAsia" w:ascii="Times New Roman" w:hAnsi="Times New Roman" w:eastAsia="宋体" w:cs="Times New Roman"/>
          <w:color w:val="auto"/>
          <w:highlight w:val="none"/>
          <w:lang w:val="en-US" w:eastAsia="zh-CN"/>
        </w:rPr>
        <w:t>工程建安成本控制率</w:t>
      </w:r>
      <w:r>
        <w:rPr>
          <w:rFonts w:hint="eastAsia" w:ascii="Times New Roman" w:hAnsi="Times New Roman" w:eastAsia="宋体" w:cs="Times New Roman"/>
          <w:color w:val="auto"/>
          <w:highlight w:val="none"/>
        </w:rPr>
        <w:t>”指标，预期指标值为</w:t>
      </w:r>
      <w:r>
        <w:rPr>
          <w:rFonts w:hint="eastAsia" w:ascii="Times New Roman" w:hAnsi="Times New Roman" w:eastAsia="宋体" w:cs="Times New Roman"/>
          <w:color w:val="auto"/>
          <w:kern w:val="0"/>
          <w:sz w:val="21"/>
          <w:szCs w:val="21"/>
          <w:highlight w:val="none"/>
          <w:lang w:val="en-US" w:eastAsia="zh-CN" w:bidi="ar"/>
        </w:rPr>
        <w:t>80.00%—100.00%</w:t>
      </w:r>
      <w:r>
        <w:rPr>
          <w:rFonts w:hint="eastAsia" w:ascii="Times New Roman" w:hAnsi="Times New Roman" w:eastAsia="宋体" w:cs="Times New Roman"/>
          <w:color w:val="auto"/>
          <w:highlight w:val="none"/>
        </w:rPr>
        <w:t>。</w:t>
      </w:r>
    </w:p>
    <w:p w14:paraId="663D6EAA">
      <w:pPr>
        <w:pageBreakBefore w:val="0"/>
        <w:widowControl w:val="0"/>
        <w:kinsoku/>
        <w:wordWrap/>
        <w:overflowPunct/>
        <w:topLinePunct w:val="0"/>
        <w:autoSpaceDE/>
        <w:autoSpaceDN/>
        <w:bidi w:val="0"/>
        <w:adjustRightInd w:val="0"/>
        <w:snapToGrid w:val="0"/>
        <w:spacing w:line="360" w:lineRule="auto"/>
        <w:ind w:firstLine="422"/>
        <w:textAlignment w:val="auto"/>
        <w:rPr>
          <w:rFonts w:hint="eastAsia" w:ascii="Times New Roman" w:hAnsi="Times New Roman" w:eastAsia="宋体" w:cs="Times New Roman"/>
          <w:b/>
          <w:color w:val="auto"/>
          <w:highlight w:val="none"/>
        </w:rPr>
      </w:pPr>
      <w:r>
        <w:rPr>
          <w:rFonts w:hint="eastAsia" w:ascii="Times New Roman" w:hAnsi="Times New Roman" w:eastAsia="宋体" w:cs="Times New Roman"/>
          <w:b/>
          <w:color w:val="auto"/>
          <w:highlight w:val="none"/>
        </w:rPr>
        <w:t>2.项目效益目标</w:t>
      </w:r>
    </w:p>
    <w:p w14:paraId="6BCC6F42">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（1）社会效益指标</w:t>
      </w:r>
    </w:p>
    <w:p w14:paraId="1718CF64">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“D11保障出行安全，降低交通风险”指标，预期指标值为</w:t>
      </w:r>
      <w:r>
        <w:rPr>
          <w:rFonts w:hint="eastAsia" w:ascii="Times New Roman" w:hAnsi="Times New Roman" w:eastAsia="宋体" w:cs="Times New Roman"/>
          <w:color w:val="auto"/>
          <w:highlight w:val="none"/>
          <w:lang w:val="en-US" w:eastAsia="zh-CN"/>
        </w:rPr>
        <w:t>有效保障</w:t>
      </w:r>
      <w:r>
        <w:rPr>
          <w:rFonts w:hint="eastAsia" w:ascii="Times New Roman" w:hAnsi="Times New Roman" w:eastAsia="宋体" w:cs="Times New Roman"/>
          <w:color w:val="auto"/>
          <w:highlight w:val="none"/>
        </w:rPr>
        <w:t>。</w:t>
      </w:r>
    </w:p>
    <w:p w14:paraId="0BD89D15">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“D12</w:t>
      </w:r>
      <w:r>
        <w:rPr>
          <w:rFonts w:hint="eastAsia" w:ascii="Times New Roman" w:hAnsi="Times New Roman" w:eastAsia="宋体" w:cs="Times New Roman"/>
          <w:color w:val="auto"/>
          <w:highlight w:val="none"/>
          <w:lang w:eastAsia="zh-CN"/>
        </w:rPr>
        <w:t>改善乡村生活环境</w:t>
      </w:r>
      <w:r>
        <w:rPr>
          <w:rFonts w:hint="eastAsia" w:ascii="Times New Roman" w:hAnsi="Times New Roman" w:eastAsia="宋体" w:cs="Times New Roman"/>
          <w:color w:val="auto"/>
          <w:highlight w:val="none"/>
        </w:rPr>
        <w:t>”指标，预期指标值为</w:t>
      </w:r>
      <w:r>
        <w:rPr>
          <w:rFonts w:hint="eastAsia" w:ascii="Times New Roman" w:hAnsi="Times New Roman" w:eastAsia="宋体" w:cs="Times New Roman"/>
          <w:color w:val="auto"/>
          <w:highlight w:val="none"/>
          <w:lang w:val="en-US" w:eastAsia="zh-CN"/>
        </w:rPr>
        <w:t>有效促进</w:t>
      </w:r>
      <w:r>
        <w:rPr>
          <w:rFonts w:hint="eastAsia" w:ascii="Times New Roman" w:hAnsi="Times New Roman" w:eastAsia="宋体" w:cs="Times New Roman"/>
          <w:color w:val="auto"/>
          <w:highlight w:val="none"/>
        </w:rPr>
        <w:t>。</w:t>
      </w:r>
    </w:p>
    <w:p w14:paraId="3D8ABD74">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b/>
          <w:color w:val="auto"/>
          <w:highlight w:val="none"/>
        </w:rPr>
        <w:t>3.</w:t>
      </w:r>
      <w:r>
        <w:rPr>
          <w:rFonts w:hint="eastAsia" w:ascii="Times New Roman" w:hAnsi="Times New Roman" w:eastAsia="宋体" w:cs="Times New Roman"/>
          <w:b/>
          <w:color w:val="auto"/>
          <w:highlight w:val="none"/>
          <w:lang w:eastAsia="zh-Hans"/>
        </w:rPr>
        <w:t>满意度目标</w:t>
      </w:r>
    </w:p>
    <w:p w14:paraId="4D745E8F">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（1）满意度指标</w:t>
      </w:r>
    </w:p>
    <w:p w14:paraId="34C5F30B">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bookmarkStart w:id="49" w:name="_Toc68364660"/>
      <w:r>
        <w:rPr>
          <w:rFonts w:hint="eastAsia" w:ascii="Times New Roman" w:hAnsi="Times New Roman" w:eastAsia="宋体" w:cs="Times New Roman"/>
          <w:color w:val="auto"/>
          <w:highlight w:val="none"/>
        </w:rPr>
        <w:t>“D21受益社会公众满意度”指标，预期指标值为</w:t>
      </w:r>
      <w:r>
        <w:rPr>
          <w:rFonts w:hint="eastAsia" w:ascii="Times New Roman" w:hAnsi="Times New Roman" w:eastAsia="宋体" w:cs="Times New Roman"/>
          <w:color w:val="auto"/>
          <w:highlight w:val="none"/>
          <w:lang w:val="en-US" w:eastAsia="zh-CN"/>
        </w:rPr>
        <w:t>大于等于90.00%</w:t>
      </w:r>
      <w:r>
        <w:rPr>
          <w:rFonts w:hint="eastAsia" w:ascii="Times New Roman" w:hAnsi="Times New Roman" w:eastAsia="宋体" w:cs="Times New Roman"/>
          <w:color w:val="auto"/>
          <w:highlight w:val="none"/>
        </w:rPr>
        <w:t>。</w:t>
      </w:r>
    </w:p>
    <w:p w14:paraId="57E0B379">
      <w:pPr>
        <w:pStyle w:val="4"/>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ascii="Times New Roman" w:hAnsi="Times New Roman" w:eastAsia="宋体" w:cs="Times New Roman"/>
          <w:color w:val="auto"/>
          <w:highlight w:val="none"/>
        </w:rPr>
      </w:pPr>
      <w:bookmarkStart w:id="50" w:name="_Toc874133154"/>
      <w:bookmarkStart w:id="51" w:name="_Toc11312"/>
      <w:r>
        <w:rPr>
          <w:rFonts w:hint="eastAsia" w:ascii="Times New Roman" w:hAnsi="Times New Roman" w:eastAsia="宋体" w:cs="Times New Roman"/>
          <w:color w:val="auto"/>
          <w:highlight w:val="none"/>
        </w:rPr>
        <w:t>三</w:t>
      </w:r>
      <w:r>
        <w:rPr>
          <w:rFonts w:ascii="Times New Roman" w:hAnsi="Times New Roman" w:eastAsia="宋体" w:cs="Times New Roman"/>
          <w:color w:val="auto"/>
          <w:highlight w:val="none"/>
        </w:rPr>
        <w:t>、绩效评价工作开展情况</w:t>
      </w:r>
      <w:bookmarkEnd w:id="49"/>
      <w:bookmarkEnd w:id="50"/>
      <w:bookmarkEnd w:id="51"/>
    </w:p>
    <w:p w14:paraId="4F0B0BB2">
      <w:pPr>
        <w:pStyle w:val="5"/>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ascii="Times New Roman" w:hAnsi="Times New Roman" w:eastAsia="宋体" w:cs="Times New Roman"/>
          <w:color w:val="auto"/>
          <w:highlight w:val="none"/>
        </w:rPr>
      </w:pPr>
      <w:bookmarkStart w:id="52" w:name="_Toc27940"/>
      <w:bookmarkStart w:id="53" w:name="_Toc32475"/>
      <w:bookmarkStart w:id="54" w:name="_Toc620290151"/>
      <w:bookmarkStart w:id="55" w:name="_Toc68364661"/>
      <w:r>
        <w:rPr>
          <w:rFonts w:hint="eastAsia" w:ascii="Times New Roman" w:hAnsi="Times New Roman" w:eastAsia="宋体" w:cs="Times New Roman"/>
          <w:color w:val="auto"/>
          <w:highlight w:val="none"/>
        </w:rPr>
        <w:t>（一</w:t>
      </w:r>
      <w:r>
        <w:rPr>
          <w:rFonts w:ascii="Times New Roman" w:hAnsi="Times New Roman" w:eastAsia="宋体" w:cs="Times New Roman"/>
          <w:color w:val="auto"/>
          <w:highlight w:val="none"/>
        </w:rPr>
        <w:t>）绩效评价</w:t>
      </w:r>
      <w:r>
        <w:rPr>
          <w:rFonts w:hint="eastAsia" w:ascii="Times New Roman" w:hAnsi="Times New Roman" w:eastAsia="宋体" w:cs="Times New Roman"/>
          <w:color w:val="auto"/>
          <w:highlight w:val="none"/>
        </w:rPr>
        <w:t>依据</w:t>
      </w:r>
      <w:bookmarkEnd w:id="52"/>
      <w:bookmarkEnd w:id="53"/>
      <w:bookmarkEnd w:id="54"/>
    </w:p>
    <w:p w14:paraId="32877765">
      <w:pPr>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kern w:val="2"/>
          <w:sz w:val="21"/>
          <w:szCs w:val="21"/>
          <w:highlight w:val="none"/>
          <w:lang w:val="en-US" w:eastAsia="zh-CN" w:bidi="ar-SA"/>
        </w:rPr>
        <w:t>1.</w:t>
      </w:r>
      <w:r>
        <w:rPr>
          <w:rFonts w:hint="eastAsia" w:ascii="Times New Roman" w:hAnsi="Times New Roman" w:eastAsia="宋体" w:cs="Times New Roman"/>
          <w:color w:val="auto"/>
          <w:highlight w:val="none"/>
        </w:rPr>
        <w:t>《中华人民共和国预算法》；</w:t>
      </w:r>
    </w:p>
    <w:p w14:paraId="14D53D82">
      <w:pPr>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kern w:val="2"/>
          <w:sz w:val="21"/>
          <w:szCs w:val="21"/>
          <w:highlight w:val="none"/>
          <w:lang w:val="en-US" w:eastAsia="zh-CN" w:bidi="ar-SA"/>
        </w:rPr>
        <w:t>2.</w:t>
      </w:r>
      <w:r>
        <w:rPr>
          <w:rFonts w:hint="eastAsia" w:ascii="Times New Roman" w:hAnsi="Times New Roman" w:eastAsia="宋体" w:cs="Times New Roman"/>
          <w:color w:val="auto"/>
          <w:highlight w:val="none"/>
        </w:rPr>
        <w:t>《中共中央国务院关于全面实施预算绩效管理的意见》（中发〔2018〕34号）；</w:t>
      </w:r>
    </w:p>
    <w:p w14:paraId="35D25645">
      <w:pPr>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kern w:val="2"/>
          <w:sz w:val="21"/>
          <w:szCs w:val="21"/>
          <w:highlight w:val="none"/>
          <w:lang w:val="en-US" w:eastAsia="zh-CN" w:bidi="ar-SA"/>
        </w:rPr>
        <w:t>3.</w:t>
      </w:r>
      <w:r>
        <w:rPr>
          <w:rFonts w:hint="eastAsia" w:ascii="Times New Roman" w:hAnsi="Times New Roman" w:eastAsia="宋体" w:cs="Times New Roman"/>
          <w:color w:val="auto"/>
          <w:highlight w:val="none"/>
        </w:rPr>
        <w:t>《项目支出绩效评价管理办法》（财预〔2020〕10号）；</w:t>
      </w:r>
    </w:p>
    <w:p w14:paraId="5AF2F314">
      <w:pPr>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kern w:val="2"/>
          <w:sz w:val="21"/>
          <w:szCs w:val="21"/>
          <w:highlight w:val="none"/>
          <w:lang w:val="en-US" w:eastAsia="zh-CN" w:bidi="ar-SA"/>
        </w:rPr>
        <w:t>4.</w:t>
      </w:r>
      <w:r>
        <w:rPr>
          <w:rFonts w:hint="eastAsia" w:ascii="Times New Roman" w:hAnsi="Times New Roman" w:eastAsia="宋体" w:cs="Times New Roman"/>
          <w:color w:val="auto"/>
          <w:highlight w:val="none"/>
        </w:rPr>
        <w:t>《自治区党委自治区人民政府关于全面实施预算绩效管理的实施意见》（新党发〔2018〕30号）；</w:t>
      </w:r>
    </w:p>
    <w:p w14:paraId="3BB09B41">
      <w:pPr>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kern w:val="2"/>
          <w:sz w:val="21"/>
          <w:szCs w:val="21"/>
          <w:highlight w:val="none"/>
          <w:lang w:val="en-US" w:eastAsia="zh-CN" w:bidi="ar-SA"/>
        </w:rPr>
        <w:t>5.</w:t>
      </w:r>
      <w:r>
        <w:rPr>
          <w:rFonts w:hint="eastAsia" w:ascii="Times New Roman" w:hAnsi="Times New Roman" w:eastAsia="宋体" w:cs="Times New Roman"/>
          <w:color w:val="auto"/>
          <w:highlight w:val="none"/>
        </w:rPr>
        <w:t>《自治区全面实施预算绩效管理的工作方案》（新财预〔2018〕158号）；</w:t>
      </w:r>
    </w:p>
    <w:p w14:paraId="4BBE60F8">
      <w:pPr>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kern w:val="2"/>
          <w:sz w:val="21"/>
          <w:szCs w:val="21"/>
          <w:highlight w:val="none"/>
          <w:lang w:val="en-US" w:eastAsia="zh-CN" w:bidi="ar-SA"/>
        </w:rPr>
        <w:t>6.</w:t>
      </w:r>
      <w:r>
        <w:rPr>
          <w:rFonts w:hint="eastAsia" w:ascii="Times New Roman" w:hAnsi="Times New Roman" w:eastAsia="宋体" w:cs="Times New Roman"/>
          <w:color w:val="auto"/>
          <w:highlight w:val="none"/>
        </w:rPr>
        <w:t>《自治区财政支出绩效评价管理暂行办法》（新财预〔2018〕189号）；</w:t>
      </w:r>
    </w:p>
    <w:p w14:paraId="1391495E">
      <w:pPr>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kern w:val="2"/>
          <w:sz w:val="21"/>
          <w:szCs w:val="21"/>
          <w:highlight w:val="none"/>
          <w:lang w:val="en-US" w:eastAsia="zh-CN" w:bidi="ar-SA"/>
        </w:rPr>
        <w:t>7.</w:t>
      </w:r>
      <w:r>
        <w:rPr>
          <w:rFonts w:hint="eastAsia" w:ascii="Times New Roman" w:hAnsi="Times New Roman" w:eastAsia="宋体" w:cs="Times New Roman"/>
          <w:color w:val="auto"/>
          <w:highlight w:val="none"/>
        </w:rPr>
        <w:t>《关于委托第三方机构参与预算绩效管理的指导意见》（财预〔2021〕6号）；</w:t>
      </w:r>
    </w:p>
    <w:p w14:paraId="1147112E">
      <w:pPr>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kern w:val="2"/>
          <w:sz w:val="21"/>
          <w:szCs w:val="21"/>
          <w:highlight w:val="none"/>
          <w:lang w:val="en-US" w:eastAsia="zh-CN" w:bidi="ar-SA"/>
        </w:rPr>
        <w:t>8.</w:t>
      </w:r>
      <w:r>
        <w:rPr>
          <w:rFonts w:hint="eastAsia" w:ascii="Times New Roman" w:hAnsi="Times New Roman" w:eastAsia="宋体" w:cs="Times New Roman"/>
          <w:color w:val="auto"/>
          <w:highlight w:val="none"/>
        </w:rPr>
        <w:t>《财政部关于印发〈第三方机构预算绩效评价业务监督管理暂行办法〉的通知》（财监〔2021〕4号）；</w:t>
      </w:r>
    </w:p>
    <w:p w14:paraId="28EFD26C">
      <w:pPr>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kern w:val="2"/>
          <w:sz w:val="21"/>
          <w:szCs w:val="21"/>
          <w:highlight w:val="none"/>
          <w:lang w:val="en-US" w:eastAsia="zh-CN" w:bidi="ar-SA"/>
        </w:rPr>
        <w:t>9.</w:t>
      </w:r>
      <w:r>
        <w:rPr>
          <w:rFonts w:hint="eastAsia" w:ascii="Times New Roman" w:hAnsi="Times New Roman" w:eastAsia="宋体" w:cs="Times New Roman"/>
          <w:color w:val="auto"/>
          <w:highlight w:val="none"/>
        </w:rPr>
        <w:t>《关于进一步加强和规范第三方机构参与预算绩效管理的通知》（新财预〔2021〕49号）；</w:t>
      </w:r>
    </w:p>
    <w:p w14:paraId="582A790D">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lang w:val="en-US" w:eastAsia="zh-CN"/>
        </w:rPr>
        <w:t>10.《</w:t>
      </w:r>
      <w:r>
        <w:rPr>
          <w:rFonts w:hint="eastAsia" w:ascii="Times New Roman" w:hAnsi="Times New Roman" w:eastAsia="宋体" w:cs="Times New Roman"/>
          <w:color w:val="auto"/>
          <w:highlight w:val="none"/>
        </w:rPr>
        <w:t>关于深化农村公路管理养护体制改革的意见》（国办发〔2019〕45号</w:t>
      </w:r>
      <w:r>
        <w:rPr>
          <w:rFonts w:hint="eastAsia" w:ascii="Times New Roman" w:hAnsi="Times New Roman" w:eastAsia="宋体" w:cs="Times New Roman"/>
          <w:color w:val="auto"/>
          <w:highlight w:val="none"/>
          <w:lang w:eastAsia="zh-CN"/>
        </w:rPr>
        <w:t>）；</w:t>
      </w:r>
    </w:p>
    <w:p w14:paraId="6488DDDF">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lang w:val="en-US" w:eastAsia="zh-CN"/>
        </w:rPr>
        <w:t>11.</w:t>
      </w:r>
      <w:r>
        <w:rPr>
          <w:rFonts w:hint="eastAsia" w:ascii="Times New Roman" w:hAnsi="Times New Roman" w:eastAsia="宋体" w:cs="Times New Roman"/>
          <w:color w:val="auto"/>
          <w:highlight w:val="none"/>
        </w:rPr>
        <w:t>《贯彻落实&lt;国务院办公厅关于深化农村公路管理养护体制改革的意见&gt;的通知》</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交公路发〔2020〕26号</w:t>
      </w:r>
      <w:r>
        <w:rPr>
          <w:rFonts w:hint="eastAsia" w:ascii="Times New Roman" w:hAnsi="Times New Roman" w:eastAsia="宋体" w:cs="Times New Roman"/>
          <w:color w:val="auto"/>
          <w:highlight w:val="none"/>
          <w:lang w:eastAsia="zh-CN"/>
        </w:rPr>
        <w:t>）；</w:t>
      </w:r>
    </w:p>
    <w:p w14:paraId="3E3DFF4D">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12.《关于提前下达2024年中央对地方成品油改革转移支付资金用于农村公路养护支预算的通知》（伊州财建〔2023〕202号）；</w:t>
      </w:r>
    </w:p>
    <w:p w14:paraId="20790468">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13.《2024年伊宁县农村公路日常养护实施方案》；</w:t>
      </w:r>
    </w:p>
    <w:p w14:paraId="04D8BDB6">
      <w:pPr>
        <w:pStyle w:val="2"/>
        <w:spacing w:line="360" w:lineRule="auto"/>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14.《关于伊宁县2024年农村公路日常养护项目施工图设计文件的批复》（伊县交发</w:t>
      </w:r>
      <w:r>
        <w:rPr>
          <w:rFonts w:hint="eastAsia" w:ascii="Times New Roman" w:hAnsi="Times New Roman" w:eastAsia="宋体" w:cs="Times New Roman"/>
          <w:color w:val="auto"/>
          <w:highlight w:val="none"/>
        </w:rPr>
        <w:t>〔20</w:t>
      </w:r>
      <w:r>
        <w:rPr>
          <w:rFonts w:hint="eastAsia" w:ascii="Times New Roman" w:hAnsi="Times New Roman" w:eastAsia="宋体" w:cs="Times New Roman"/>
          <w:color w:val="auto"/>
          <w:highlight w:val="none"/>
          <w:lang w:val="en-US" w:eastAsia="zh-CN"/>
        </w:rPr>
        <w:t>24</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7号）；</w:t>
      </w:r>
    </w:p>
    <w:p w14:paraId="138E7BC8">
      <w:pPr>
        <w:pStyle w:val="3"/>
        <w:spacing w:line="360" w:lineRule="auto"/>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15.《关于做好2024年度农村公路养护工作的通知》；</w:t>
      </w:r>
    </w:p>
    <w:p w14:paraId="7D319D5A">
      <w:pPr>
        <w:spacing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16.《关于伊宁县2024年农村公路日常养护项目可行性研究报告的批复》（伊县发改字</w:t>
      </w:r>
      <w:r>
        <w:rPr>
          <w:rFonts w:hint="eastAsia" w:ascii="Times New Roman" w:hAnsi="Times New Roman" w:eastAsia="宋体" w:cs="Times New Roman"/>
          <w:color w:val="auto"/>
          <w:highlight w:val="none"/>
        </w:rPr>
        <w:t>〔20</w:t>
      </w:r>
      <w:r>
        <w:rPr>
          <w:rFonts w:hint="eastAsia" w:ascii="Times New Roman" w:hAnsi="Times New Roman" w:eastAsia="宋体" w:cs="Times New Roman"/>
          <w:color w:val="auto"/>
          <w:highlight w:val="none"/>
          <w:lang w:val="en-US" w:eastAsia="zh-CN"/>
        </w:rPr>
        <w:t>24</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117号）；</w:t>
      </w:r>
    </w:p>
    <w:p w14:paraId="6E7F0C5D">
      <w:pPr>
        <w:spacing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17.《新疆维吾尔自治区农村公路建设管理办法》；</w:t>
      </w:r>
    </w:p>
    <w:p w14:paraId="072243A5">
      <w:pPr>
        <w:spacing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18.《伊宁县交通运输局财务管理制度、采购管理制度、工程（养护工程）项目财务管理制度、预算管理制度、资产管理制度》；</w:t>
      </w:r>
    </w:p>
    <w:p w14:paraId="1B821558">
      <w:pPr>
        <w:spacing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19.《伊宁县2024年农村公路日常养护项目工程竣工结算审核报告》；</w:t>
      </w:r>
    </w:p>
    <w:p w14:paraId="442AD83B">
      <w:pPr>
        <w:pStyle w:val="2"/>
        <w:spacing w:line="360" w:lineRule="auto"/>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20.</w:t>
      </w:r>
      <w:r>
        <w:rPr>
          <w:rFonts w:hint="default"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关于伊宁县2024年农村公路日常养护项目开工的批复</w:t>
      </w:r>
      <w:r>
        <w:rPr>
          <w:rFonts w:hint="default"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eastAsia="zh-CN"/>
        </w:rPr>
        <w:t>（伊县交项字〔2024〕14号）；</w:t>
      </w:r>
    </w:p>
    <w:p w14:paraId="0094B17A">
      <w:pPr>
        <w:spacing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21.</w:t>
      </w:r>
      <w:r>
        <w:rPr>
          <w:rFonts w:hint="eastAsia" w:ascii="Times New Roman" w:hAnsi="Times New Roman" w:eastAsia="宋体" w:cs="Times New Roman"/>
          <w:b w:val="0"/>
          <w:bCs w:val="0"/>
          <w:color w:val="auto"/>
          <w:kern w:val="2"/>
          <w:sz w:val="21"/>
          <w:szCs w:val="21"/>
          <w:highlight w:val="none"/>
          <w:lang w:val="en-US" w:eastAsia="zh-CN" w:bidi="ar-SA"/>
        </w:rPr>
        <w:t>项目中标通知书、合同、竣工验收报告等项目资料。</w:t>
      </w:r>
    </w:p>
    <w:p w14:paraId="090080F1">
      <w:pPr>
        <w:pStyle w:val="5"/>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ascii="Times New Roman" w:hAnsi="Times New Roman" w:eastAsia="宋体" w:cs="Times New Roman"/>
          <w:color w:val="auto"/>
          <w:highlight w:val="none"/>
        </w:rPr>
      </w:pPr>
      <w:bookmarkStart w:id="56" w:name="_Toc1330945319"/>
      <w:bookmarkStart w:id="57" w:name="_Toc27746"/>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rPr>
        <w:t>二</w:t>
      </w:r>
      <w:r>
        <w:rPr>
          <w:rFonts w:ascii="Times New Roman" w:hAnsi="Times New Roman" w:eastAsia="宋体" w:cs="Times New Roman"/>
          <w:color w:val="auto"/>
          <w:highlight w:val="none"/>
        </w:rPr>
        <w:t>）绩效评价目的、对象和范围</w:t>
      </w:r>
      <w:bookmarkEnd w:id="55"/>
      <w:bookmarkEnd w:id="56"/>
      <w:bookmarkEnd w:id="57"/>
    </w:p>
    <w:p w14:paraId="5DC5DD66">
      <w:pPr>
        <w:pageBreakBefore w:val="0"/>
        <w:widowControl w:val="0"/>
        <w:kinsoku/>
        <w:wordWrap/>
        <w:overflowPunct/>
        <w:topLinePunct w:val="0"/>
        <w:autoSpaceDE/>
        <w:autoSpaceDN/>
        <w:bidi w:val="0"/>
        <w:adjustRightInd w:val="0"/>
        <w:snapToGrid w:val="0"/>
        <w:spacing w:line="360" w:lineRule="auto"/>
        <w:ind w:firstLine="664"/>
        <w:textAlignment w:val="auto"/>
        <w:rPr>
          <w:rFonts w:hint="eastAsia" w:ascii="Times New Roman" w:hAnsi="Times New Roman" w:eastAsia="宋体" w:cs="Times New Roman"/>
          <w:color w:val="auto"/>
          <w:highlight w:val="none"/>
        </w:rPr>
      </w:pPr>
      <w:bookmarkStart w:id="58" w:name="_Toc68364662"/>
      <w:r>
        <w:rPr>
          <w:rFonts w:hint="eastAsia" w:ascii="Times New Roman" w:hAnsi="Times New Roman" w:eastAsia="宋体" w:cs="Times New Roman"/>
          <w:color w:val="auto"/>
          <w:highlight w:val="none"/>
        </w:rPr>
        <w:t>1.绩效评价目的</w:t>
      </w:r>
    </w:p>
    <w:p w14:paraId="04A51381">
      <w:pPr>
        <w:pageBreakBefore w:val="0"/>
        <w:widowControl w:val="0"/>
        <w:kinsoku/>
        <w:wordWrap/>
        <w:overflowPunct/>
        <w:topLinePunct w:val="0"/>
        <w:autoSpaceDE/>
        <w:autoSpaceDN/>
        <w:bidi w:val="0"/>
        <w:adjustRightInd w:val="0"/>
        <w:snapToGrid w:val="0"/>
        <w:spacing w:line="360" w:lineRule="auto"/>
        <w:ind w:firstLine="664"/>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本次</w:t>
      </w:r>
      <w:r>
        <w:rPr>
          <w:rFonts w:hint="eastAsia" w:ascii="Times New Roman" w:hAnsi="Times New Roman" w:eastAsia="宋体" w:cs="Times New Roman"/>
          <w:color w:val="auto"/>
          <w:highlight w:val="none"/>
        </w:rPr>
        <w:t>绩效评价的目的是为全面了解该项目预算编</w:t>
      </w:r>
      <w:r>
        <w:rPr>
          <w:rFonts w:hint="eastAsia" w:ascii="Times New Roman" w:hAnsi="Times New Roman" w:eastAsia="宋体" w:cs="Times New Roman"/>
          <w:color w:val="auto"/>
          <w:highlight w:val="none"/>
          <w:lang w:eastAsia="zh-CN"/>
        </w:rPr>
        <w:t>制的</w:t>
      </w:r>
      <w:r>
        <w:rPr>
          <w:rFonts w:hint="eastAsia" w:ascii="Times New Roman" w:hAnsi="Times New Roman" w:eastAsia="宋体" w:cs="Times New Roman"/>
          <w:color w:val="auto"/>
          <w:highlight w:val="none"/>
        </w:rPr>
        <w:t>合理性、资金使用合规性、项目管理的规范性、项目目标的实现情况、服务对象的满意度等，通过本次项目绩效评价来总结经验和教训，促进项目成果转化和应用，为今后类似项目的长效管理，提供可行性参考建议。</w:t>
      </w:r>
    </w:p>
    <w:p w14:paraId="152FA12B">
      <w:pPr>
        <w:pageBreakBefore w:val="0"/>
        <w:widowControl w:val="0"/>
        <w:kinsoku/>
        <w:wordWrap/>
        <w:overflowPunct/>
        <w:topLinePunct w:val="0"/>
        <w:autoSpaceDE/>
        <w:autoSpaceDN/>
        <w:bidi w:val="0"/>
        <w:adjustRightInd w:val="0"/>
        <w:snapToGrid w:val="0"/>
        <w:spacing w:line="360" w:lineRule="auto"/>
        <w:ind w:firstLine="664"/>
        <w:textAlignment w:val="auto"/>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rPr>
        <w:t>2.绩效评价对象</w:t>
      </w:r>
      <w:r>
        <w:rPr>
          <w:rFonts w:hint="eastAsia" w:ascii="Times New Roman" w:hAnsi="Times New Roman" w:eastAsia="宋体" w:cs="Times New Roman"/>
          <w:color w:val="auto"/>
          <w:highlight w:val="none"/>
          <w:lang w:val="en-US" w:eastAsia="zh-CN"/>
        </w:rPr>
        <w:t>及范围</w:t>
      </w:r>
    </w:p>
    <w:p w14:paraId="51A4A3B6">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本次绩效评价的对象为</w:t>
      </w:r>
      <w:r>
        <w:rPr>
          <w:rFonts w:hint="eastAsia" w:ascii="Times New Roman" w:hAnsi="Times New Roman" w:eastAsia="宋体" w:cs="Times New Roman"/>
          <w:color w:val="auto"/>
          <w:highlight w:val="none"/>
          <w:lang w:val="en-US" w:eastAsia="zh-CN"/>
        </w:rPr>
        <w:t>伊宁县成品油税费农村公路日常养护项目</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主要对该项目的</w:t>
      </w:r>
      <w:r>
        <w:rPr>
          <w:rFonts w:hint="eastAsia" w:ascii="Times New Roman" w:hAnsi="Times New Roman" w:eastAsia="宋体" w:cs="Times New Roman"/>
          <w:color w:val="auto"/>
          <w:highlight w:val="none"/>
        </w:rPr>
        <w:t>决策情况、资金管理</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使用情况</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相关管理制度办法的健全性及执行情况、实现的产出情况、取得的效益情况以及其他相关内容。</w:t>
      </w:r>
    </w:p>
    <w:p w14:paraId="31FAA923">
      <w:pPr>
        <w:pageBreakBefore w:val="0"/>
        <w:widowControl w:val="0"/>
        <w:kinsoku/>
        <w:wordWrap/>
        <w:overflowPunct/>
        <w:topLinePunct w:val="0"/>
        <w:autoSpaceDE/>
        <w:autoSpaceDN/>
        <w:bidi w:val="0"/>
        <w:adjustRightInd w:val="0"/>
        <w:snapToGrid w:val="0"/>
        <w:spacing w:line="360" w:lineRule="auto"/>
        <w:ind w:firstLine="664"/>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3.</w:t>
      </w:r>
      <w:r>
        <w:rPr>
          <w:rFonts w:hint="eastAsia" w:ascii="Times New Roman" w:hAnsi="Times New Roman" w:eastAsia="宋体" w:cs="Times New Roman"/>
          <w:color w:val="auto"/>
          <w:highlight w:val="none"/>
        </w:rPr>
        <w:t>绩效评价时段</w:t>
      </w:r>
    </w:p>
    <w:p w14:paraId="2B267E61">
      <w:pPr>
        <w:pageBreakBefore w:val="0"/>
        <w:widowControl w:val="0"/>
        <w:kinsoku/>
        <w:wordWrap/>
        <w:overflowPunct/>
        <w:topLinePunct w:val="0"/>
        <w:autoSpaceDE/>
        <w:autoSpaceDN/>
        <w:bidi w:val="0"/>
        <w:adjustRightInd w:val="0"/>
        <w:snapToGrid w:val="0"/>
        <w:spacing w:line="360" w:lineRule="auto"/>
        <w:ind w:firstLine="664"/>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本次绩效评价评价时段为</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bCs/>
          <w:color w:val="auto"/>
          <w:highlight w:val="none"/>
          <w:lang w:eastAsia="zh-CN"/>
        </w:rPr>
        <w:t>202</w:t>
      </w:r>
      <w:r>
        <w:rPr>
          <w:rFonts w:hint="eastAsia" w:ascii="Times New Roman" w:hAnsi="Times New Roman" w:eastAsia="宋体" w:cs="Times New Roman"/>
          <w:bCs/>
          <w:color w:val="auto"/>
          <w:highlight w:val="none"/>
          <w:lang w:val="en-US" w:eastAsia="zh-CN"/>
        </w:rPr>
        <w:t>4</w:t>
      </w:r>
      <w:r>
        <w:rPr>
          <w:rFonts w:hint="eastAsia" w:ascii="Times New Roman" w:hAnsi="Times New Roman" w:eastAsia="宋体" w:cs="Times New Roman"/>
          <w:bCs/>
          <w:color w:val="auto"/>
          <w:highlight w:val="none"/>
          <w:lang w:eastAsia="zh-CN"/>
        </w:rPr>
        <w:t>年</w:t>
      </w:r>
      <w:r>
        <w:rPr>
          <w:rFonts w:hint="eastAsia" w:ascii="Times New Roman" w:hAnsi="Times New Roman" w:eastAsia="宋体" w:cs="Times New Roman"/>
          <w:bCs/>
          <w:color w:val="auto"/>
          <w:highlight w:val="none"/>
        </w:rPr>
        <w:t>1</w:t>
      </w:r>
      <w:r>
        <w:rPr>
          <w:rFonts w:hint="eastAsia" w:ascii="Times New Roman" w:hAnsi="Times New Roman" w:eastAsia="宋体" w:cs="Times New Roman"/>
          <w:bCs/>
          <w:color w:val="auto"/>
          <w:highlight w:val="none"/>
          <w:lang w:eastAsia="zh-CN"/>
        </w:rPr>
        <w:t>月</w:t>
      </w:r>
      <w:r>
        <w:rPr>
          <w:rFonts w:hint="eastAsia" w:ascii="Times New Roman" w:hAnsi="Times New Roman" w:eastAsia="宋体" w:cs="Times New Roman"/>
          <w:bCs/>
          <w:color w:val="auto"/>
          <w:highlight w:val="none"/>
        </w:rPr>
        <w:t>1</w:t>
      </w:r>
      <w:r>
        <w:rPr>
          <w:rFonts w:hint="eastAsia" w:ascii="Times New Roman" w:hAnsi="Times New Roman" w:eastAsia="宋体" w:cs="Times New Roman"/>
          <w:bCs/>
          <w:color w:val="auto"/>
          <w:highlight w:val="none"/>
          <w:lang w:eastAsia="zh-CN"/>
        </w:rPr>
        <w:t>日至202</w:t>
      </w:r>
      <w:r>
        <w:rPr>
          <w:rFonts w:hint="eastAsia" w:ascii="Times New Roman" w:hAnsi="Times New Roman" w:eastAsia="宋体" w:cs="Times New Roman"/>
          <w:bCs/>
          <w:color w:val="auto"/>
          <w:highlight w:val="none"/>
          <w:lang w:val="en-US" w:eastAsia="zh-CN"/>
        </w:rPr>
        <w:t>4</w:t>
      </w:r>
      <w:r>
        <w:rPr>
          <w:rFonts w:hint="eastAsia" w:ascii="Times New Roman" w:hAnsi="Times New Roman" w:eastAsia="宋体" w:cs="Times New Roman"/>
          <w:bCs/>
          <w:color w:val="auto"/>
          <w:highlight w:val="none"/>
          <w:lang w:eastAsia="zh-CN"/>
        </w:rPr>
        <w:t>年</w:t>
      </w:r>
      <w:r>
        <w:rPr>
          <w:rFonts w:hint="eastAsia" w:ascii="Times New Roman" w:hAnsi="Times New Roman" w:eastAsia="宋体" w:cs="Times New Roman"/>
          <w:bCs/>
          <w:color w:val="auto"/>
          <w:highlight w:val="none"/>
        </w:rPr>
        <w:t>12</w:t>
      </w:r>
      <w:r>
        <w:rPr>
          <w:rFonts w:hint="eastAsia" w:ascii="Times New Roman" w:hAnsi="Times New Roman" w:eastAsia="宋体" w:cs="Times New Roman"/>
          <w:bCs/>
          <w:color w:val="auto"/>
          <w:highlight w:val="none"/>
          <w:lang w:eastAsia="zh-CN"/>
        </w:rPr>
        <w:t>月</w:t>
      </w:r>
      <w:r>
        <w:rPr>
          <w:rFonts w:hint="eastAsia" w:ascii="Times New Roman" w:hAnsi="Times New Roman" w:eastAsia="宋体" w:cs="Times New Roman"/>
          <w:bCs/>
          <w:color w:val="auto"/>
          <w:highlight w:val="none"/>
        </w:rPr>
        <w:t>30</w:t>
      </w:r>
      <w:r>
        <w:rPr>
          <w:rFonts w:hint="eastAsia" w:ascii="Times New Roman" w:hAnsi="Times New Roman" w:eastAsia="宋体" w:cs="Times New Roman"/>
          <w:bCs/>
          <w:color w:val="auto"/>
          <w:highlight w:val="none"/>
          <w:lang w:eastAsia="zh-CN"/>
        </w:rPr>
        <w:t>日</w:t>
      </w:r>
      <w:r>
        <w:rPr>
          <w:rFonts w:hint="eastAsia" w:ascii="Times New Roman" w:hAnsi="Times New Roman" w:eastAsia="宋体" w:cs="Times New Roman"/>
          <w:color w:val="auto"/>
          <w:highlight w:val="none"/>
        </w:rPr>
        <w:t>。</w:t>
      </w:r>
    </w:p>
    <w:p w14:paraId="5613D351">
      <w:pPr>
        <w:pStyle w:val="5"/>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ascii="Times New Roman" w:hAnsi="Times New Roman" w:eastAsia="宋体" w:cs="Times New Roman"/>
          <w:color w:val="auto"/>
          <w:highlight w:val="none"/>
        </w:rPr>
      </w:pPr>
      <w:bookmarkStart w:id="59" w:name="_Toc1008309281"/>
      <w:bookmarkStart w:id="60" w:name="_Toc19624"/>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rPr>
        <w:t>三</w:t>
      </w:r>
      <w:r>
        <w:rPr>
          <w:rFonts w:ascii="Times New Roman" w:hAnsi="Times New Roman" w:eastAsia="宋体" w:cs="Times New Roman"/>
          <w:color w:val="auto"/>
          <w:highlight w:val="none"/>
        </w:rPr>
        <w:t>）绩效评价原则</w:t>
      </w:r>
      <w:bookmarkEnd w:id="58"/>
      <w:bookmarkEnd w:id="59"/>
      <w:bookmarkEnd w:id="60"/>
    </w:p>
    <w:p w14:paraId="38B143F8">
      <w:pPr>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本次绩效评价遵循的原则包括：</w:t>
      </w:r>
    </w:p>
    <w:p w14:paraId="514E6F1C">
      <w:pPr>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（1）独立性原则：在评价工作中保持充分的第三方独立性，不受其他第三方不当干预。</w:t>
      </w:r>
    </w:p>
    <w:p w14:paraId="5C80B3AF">
      <w:pPr>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（2）客观性原则：第三方机构应当按照协议（合同）约定事项开展绩效评价，以客观事实为依据，实事求是地向委托方提供服务。</w:t>
      </w:r>
    </w:p>
    <w:p w14:paraId="5CA546AE">
      <w:pPr>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（3）科学性原则。第三方机构应当履行必要评价程序，对原始资料进行核查验证，选择一种或多种方法进行对比分析，形成结论并出具评价报告。</w:t>
      </w:r>
    </w:p>
    <w:p w14:paraId="5DFA9377">
      <w:pPr>
        <w:pageBreakBefore w:val="0"/>
        <w:widowControl w:val="0"/>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（4）公正性原则：在评价过程中坚持公正、客观地反映实际情况，不隐瞒、弄虚作假。</w:t>
      </w:r>
    </w:p>
    <w:p w14:paraId="5ACDC2E0">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outlineLvl w:val="1"/>
        <w:rPr>
          <w:rFonts w:ascii="Times New Roman" w:hAnsi="Times New Roman" w:eastAsia="宋体" w:cs="Times New Roman"/>
          <w:b/>
          <w:bCs/>
          <w:color w:val="auto"/>
          <w:sz w:val="24"/>
          <w:szCs w:val="28"/>
          <w:highlight w:val="none"/>
        </w:rPr>
      </w:pPr>
      <w:bookmarkStart w:id="61" w:name="_Toc25849"/>
      <w:bookmarkStart w:id="62" w:name="_Toc14077"/>
      <w:bookmarkStart w:id="63" w:name="_Toc860627290"/>
      <w:r>
        <w:rPr>
          <w:rFonts w:hint="eastAsia" w:ascii="Times New Roman" w:hAnsi="Times New Roman" w:eastAsia="宋体" w:cs="Times New Roman"/>
          <w:b/>
          <w:bCs/>
          <w:color w:val="auto"/>
          <w:sz w:val="24"/>
          <w:szCs w:val="28"/>
          <w:highlight w:val="none"/>
          <w:lang w:eastAsia="zh-CN"/>
        </w:rPr>
        <w:t>（</w:t>
      </w:r>
      <w:r>
        <w:rPr>
          <w:rFonts w:hint="eastAsia" w:ascii="Times New Roman" w:hAnsi="Times New Roman" w:eastAsia="宋体" w:cs="Times New Roman"/>
          <w:b/>
          <w:bCs/>
          <w:color w:val="auto"/>
          <w:sz w:val="24"/>
          <w:szCs w:val="28"/>
          <w:highlight w:val="none"/>
          <w:lang w:val="en-US" w:eastAsia="zh-CN"/>
        </w:rPr>
        <w:t>四</w:t>
      </w:r>
      <w:r>
        <w:rPr>
          <w:rStyle w:val="33"/>
          <w:rFonts w:hint="eastAsia" w:ascii="Times New Roman" w:hAnsi="Times New Roman" w:eastAsia="宋体" w:cs="Times New Roman"/>
          <w:color w:val="auto"/>
          <w:highlight w:val="none"/>
          <w:lang w:eastAsia="zh-CN"/>
        </w:rPr>
        <w:t>）</w:t>
      </w:r>
      <w:r>
        <w:rPr>
          <w:rStyle w:val="33"/>
          <w:rFonts w:hint="eastAsia" w:ascii="Times New Roman" w:hAnsi="Times New Roman" w:eastAsia="宋体" w:cs="Times New Roman"/>
          <w:color w:val="auto"/>
          <w:highlight w:val="none"/>
          <w:lang w:val="en-US" w:eastAsia="zh-CN"/>
        </w:rPr>
        <w:t>绩效评价标准</w:t>
      </w:r>
      <w:bookmarkEnd w:id="61"/>
      <w:bookmarkEnd w:id="62"/>
      <w:bookmarkEnd w:id="63"/>
    </w:p>
    <w:p w14:paraId="7BEA177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Times New Roman"/>
          <w:color w:val="auto"/>
          <w:highlight w:val="none"/>
        </w:rPr>
      </w:pPr>
      <w:r>
        <w:rPr>
          <w:rFonts w:ascii="Times New Roman" w:hAnsi="Times New Roman" w:eastAsia="宋体" w:cs="Times New Roman"/>
          <w:color w:val="auto"/>
          <w:highlight w:val="none"/>
        </w:rPr>
        <w:t>绩效评价标准通常包括计划标准、行业标准、历史标准等。</w:t>
      </w:r>
      <w:r>
        <w:rPr>
          <w:rFonts w:hint="eastAsia" w:ascii="Times New Roman" w:hAnsi="Times New Roman" w:eastAsia="宋体" w:cs="Times New Roman"/>
          <w:color w:val="auto"/>
          <w:highlight w:val="none"/>
        </w:rPr>
        <w:t>本次绩效评价采用计划标准</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行业标准</w:t>
      </w:r>
      <w:r>
        <w:rPr>
          <w:rFonts w:hint="eastAsia" w:ascii="Times New Roman" w:hAnsi="Times New Roman" w:eastAsia="宋体" w:cs="Times New Roman"/>
          <w:color w:val="auto"/>
          <w:highlight w:val="none"/>
        </w:rPr>
        <w:t>，</w:t>
      </w:r>
      <w:r>
        <w:rPr>
          <w:rFonts w:ascii="Times New Roman" w:hAnsi="Times New Roman" w:eastAsia="宋体" w:cs="Times New Roman"/>
          <w:color w:val="auto"/>
          <w:highlight w:val="none"/>
        </w:rPr>
        <w:t>本次绩效评价优先参照国家公布的行业指标数据制定的评价标准</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无行业标准的</w:t>
      </w:r>
      <w:r>
        <w:rPr>
          <w:rFonts w:hint="eastAsia" w:ascii="Times New Roman" w:hAnsi="Times New Roman" w:eastAsia="宋体" w:cs="Times New Roman"/>
          <w:color w:val="auto"/>
          <w:highlight w:val="none"/>
        </w:rPr>
        <w:t>以预先制定的目标、计划、预算、定额等作为评价标准，对比分析项目产出、效益的完成情况。对于定性指标，通过文献查阅、问卷调查及访谈方式，采集相关数据，运用等级描述法，设置分级标准，体现该指标认可程度的差异。对于定量指标，通过公式计算、数据统计等方式予以量化，可以准确衡量，并设定目标值的考核指标。</w:t>
      </w:r>
    </w:p>
    <w:p w14:paraId="16C0A28D">
      <w:pPr>
        <w:pStyle w:val="5"/>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ascii="Times New Roman" w:hAnsi="Times New Roman" w:eastAsia="宋体" w:cs="Times New Roman"/>
          <w:color w:val="auto"/>
          <w:highlight w:val="none"/>
        </w:rPr>
      </w:pPr>
      <w:bookmarkStart w:id="64" w:name="_Toc1260500485"/>
      <w:bookmarkStart w:id="65" w:name="_Toc5514"/>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五</w:t>
      </w:r>
      <w:r>
        <w:rPr>
          <w:rFonts w:hint="eastAsia" w:ascii="Times New Roman" w:hAnsi="Times New Roman" w:eastAsia="宋体" w:cs="Times New Roman"/>
          <w:color w:val="auto"/>
          <w:highlight w:val="none"/>
        </w:rPr>
        <w:t>）</w:t>
      </w:r>
      <w:r>
        <w:rPr>
          <w:rFonts w:ascii="Times New Roman" w:hAnsi="Times New Roman" w:eastAsia="宋体" w:cs="Times New Roman"/>
          <w:color w:val="auto"/>
          <w:highlight w:val="none"/>
        </w:rPr>
        <w:t>绩效评价</w:t>
      </w:r>
      <w:r>
        <w:rPr>
          <w:rFonts w:hint="eastAsia" w:ascii="Times New Roman" w:hAnsi="Times New Roman" w:eastAsia="宋体" w:cs="Times New Roman"/>
          <w:color w:val="auto"/>
          <w:highlight w:val="none"/>
        </w:rPr>
        <w:t>方法</w:t>
      </w:r>
      <w:bookmarkEnd w:id="64"/>
      <w:bookmarkEnd w:id="65"/>
    </w:p>
    <w:p w14:paraId="04C546E9">
      <w:pPr>
        <w:spacing w:before="0" w:after="0" w:line="360" w:lineRule="auto"/>
        <w:ind w:firstLine="42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该项目绩效。</w:t>
      </w:r>
    </w:p>
    <w:p w14:paraId="6824B9B2">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bookmarkStart w:id="66" w:name="_Toc305473740"/>
      <w:r>
        <w:rPr>
          <w:rFonts w:hint="eastAsia" w:ascii="Times New Roman" w:hAnsi="Times New Roman" w:eastAsia="宋体" w:cs="Times New Roman"/>
          <w:color w:val="auto"/>
          <w:highlight w:val="none"/>
        </w:rPr>
        <w:t>（1）项目决策类指标评价方法</w:t>
      </w:r>
    </w:p>
    <w:p w14:paraId="68C133A4">
      <w:pPr>
        <w:spacing w:before="0" w:after="0" w:line="360" w:lineRule="auto"/>
        <w:ind w:firstLine="42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立项依据充分性：比较法和文献法，查找法律法规政策以及规划，对比实际执行内容和政策支持内容是否匹配，分析立项依据充分性。</w:t>
      </w:r>
    </w:p>
    <w:p w14:paraId="53717A9E">
      <w:pPr>
        <w:spacing w:after="0" w:line="360" w:lineRule="auto"/>
        <w:ind w:firstLine="42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立项程序规范性：比较法和文献法，查找</w:t>
      </w:r>
      <w:r>
        <w:rPr>
          <w:rFonts w:hint="eastAsia" w:ascii="Times New Roman" w:hAnsi="Times New Roman" w:eastAsia="宋体" w:cs="Times New Roman"/>
          <w:color w:val="auto"/>
          <w:highlight w:val="none"/>
          <w:lang w:val="en-US" w:eastAsia="zh-CN"/>
        </w:rPr>
        <w:t>《关于伊宁县2024年农村公路日常养护项目施工图设计文件的批复》（伊县交发</w:t>
      </w:r>
      <w:r>
        <w:rPr>
          <w:rFonts w:hint="eastAsia" w:ascii="Times New Roman" w:hAnsi="Times New Roman" w:eastAsia="宋体" w:cs="Times New Roman"/>
          <w:color w:val="auto"/>
          <w:highlight w:val="none"/>
        </w:rPr>
        <w:t>〔20</w:t>
      </w:r>
      <w:r>
        <w:rPr>
          <w:rFonts w:hint="eastAsia" w:ascii="Times New Roman" w:hAnsi="Times New Roman" w:eastAsia="宋体" w:cs="Times New Roman"/>
          <w:color w:val="auto"/>
          <w:highlight w:val="none"/>
          <w:lang w:val="en-US" w:eastAsia="zh-CN"/>
        </w:rPr>
        <w:t>24</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7号）、《关于做好2024年度农村公路养护工作的通知》《关于伊宁县2024年农村公路日常养护项目可行性研究报告的批复》（伊县发改字</w:t>
      </w:r>
      <w:r>
        <w:rPr>
          <w:rFonts w:hint="eastAsia" w:ascii="Times New Roman" w:hAnsi="Times New Roman" w:eastAsia="宋体" w:cs="Times New Roman"/>
          <w:color w:val="auto"/>
          <w:highlight w:val="none"/>
        </w:rPr>
        <w:t>〔20</w:t>
      </w:r>
      <w:r>
        <w:rPr>
          <w:rFonts w:hint="eastAsia" w:ascii="Times New Roman" w:hAnsi="Times New Roman" w:eastAsia="宋体" w:cs="Times New Roman"/>
          <w:color w:val="auto"/>
          <w:highlight w:val="none"/>
          <w:lang w:val="en-US" w:eastAsia="zh-CN"/>
        </w:rPr>
        <w:t>24</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117号）</w:t>
      </w:r>
      <w:r>
        <w:rPr>
          <w:rFonts w:hint="eastAsia" w:ascii="Times New Roman" w:hAnsi="Times New Roman" w:eastAsia="宋体" w:cs="Times New Roman"/>
          <w:color w:val="auto"/>
          <w:sz w:val="21"/>
          <w:szCs w:val="21"/>
          <w:highlight w:val="none"/>
        </w:rPr>
        <w:t>要求，对比分析实际执行程序是否按照政策及文件要求执行，分析立项程序的规范性。</w:t>
      </w:r>
    </w:p>
    <w:p w14:paraId="4C30A887">
      <w:pPr>
        <w:spacing w:before="0" w:after="0" w:line="360" w:lineRule="auto"/>
        <w:ind w:firstLine="42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绩效目标合理性：文献法和因素分析法，对比分析年初编制项目支出绩效目标表与</w:t>
      </w:r>
      <w:r>
        <w:rPr>
          <w:rFonts w:hint="eastAsia" w:ascii="Times New Roman" w:hAnsi="Times New Roman" w:eastAsia="宋体" w:cs="Times New Roman"/>
          <w:color w:val="auto"/>
          <w:highlight w:val="none"/>
          <w:lang w:val="en-US" w:eastAsia="zh-CN"/>
        </w:rPr>
        <w:t>《关于伊宁县2024年农村公路日常养护项目可行性研究报告的批复》（伊县发改字</w:t>
      </w:r>
      <w:r>
        <w:rPr>
          <w:rFonts w:hint="eastAsia" w:ascii="Times New Roman" w:hAnsi="Times New Roman" w:eastAsia="宋体" w:cs="Times New Roman"/>
          <w:color w:val="auto"/>
          <w:highlight w:val="none"/>
        </w:rPr>
        <w:t>〔20</w:t>
      </w:r>
      <w:r>
        <w:rPr>
          <w:rFonts w:hint="eastAsia" w:ascii="Times New Roman" w:hAnsi="Times New Roman" w:eastAsia="宋体" w:cs="Times New Roman"/>
          <w:color w:val="auto"/>
          <w:highlight w:val="none"/>
          <w:lang w:val="en-US" w:eastAsia="zh-CN"/>
        </w:rPr>
        <w:t>24</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117号）</w:t>
      </w:r>
      <w:r>
        <w:rPr>
          <w:rFonts w:hint="eastAsia" w:ascii="Times New Roman" w:hAnsi="Times New Roman" w:eastAsia="宋体" w:cs="Times New Roman"/>
          <w:color w:val="auto"/>
          <w:sz w:val="21"/>
          <w:szCs w:val="21"/>
          <w:highlight w:val="none"/>
          <w:lang w:val="en-US" w:eastAsia="zh-CN"/>
        </w:rPr>
        <w:t>及《</w:t>
      </w:r>
      <w:r>
        <w:rPr>
          <w:rFonts w:hint="eastAsia" w:ascii="Times New Roman" w:hAnsi="Times New Roman" w:eastAsia="宋体" w:cs="Times New Roman"/>
          <w:color w:val="auto"/>
          <w:sz w:val="21"/>
          <w:szCs w:val="21"/>
          <w:highlight w:val="none"/>
        </w:rPr>
        <w:t>2024年伊宁县农村公路日常养护实施方案</w:t>
      </w:r>
      <w:r>
        <w:rPr>
          <w:rFonts w:hint="eastAsia" w:ascii="Times New Roman" w:hAnsi="Times New Roman" w:eastAsia="宋体" w:cs="Times New Roman"/>
          <w:color w:val="auto"/>
          <w:sz w:val="21"/>
          <w:szCs w:val="21"/>
          <w:highlight w:val="none"/>
          <w:lang w:val="en-US" w:eastAsia="zh-CN"/>
        </w:rPr>
        <w:t>》</w:t>
      </w:r>
      <w:r>
        <w:rPr>
          <w:rFonts w:hint="eastAsia" w:ascii="Times New Roman" w:hAnsi="Times New Roman" w:eastAsia="宋体" w:cs="Times New Roman"/>
          <w:color w:val="auto"/>
          <w:sz w:val="21"/>
          <w:szCs w:val="21"/>
          <w:highlight w:val="none"/>
        </w:rPr>
        <w:t>的相关性、资金的匹配性等。</w:t>
      </w:r>
    </w:p>
    <w:p w14:paraId="79565278">
      <w:pPr>
        <w:pStyle w:val="2"/>
        <w:spacing w:line="360" w:lineRule="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绩效指标明确性：</w:t>
      </w:r>
      <w:r>
        <w:rPr>
          <w:rFonts w:hint="eastAsia" w:ascii="Times New Roman" w:hAnsi="Times New Roman" w:eastAsia="宋体" w:cs="Times New Roman"/>
          <w:color w:val="auto"/>
          <w:highlight w:val="none"/>
        </w:rPr>
        <w:t>文献法和因素分析法，对比分析年初编制项目支出绩效目标表与项目内容的相关性</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绩效指标指向</w:t>
      </w:r>
      <w:r>
        <w:rPr>
          <w:rFonts w:hint="eastAsia" w:ascii="Times New Roman" w:hAnsi="Times New Roman" w:eastAsia="宋体" w:cs="Times New Roman"/>
          <w:color w:val="auto"/>
          <w:highlight w:val="none"/>
          <w:lang w:val="en-US" w:eastAsia="zh-CN"/>
        </w:rPr>
        <w:t>是否</w:t>
      </w:r>
      <w:r>
        <w:rPr>
          <w:rFonts w:hint="eastAsia" w:ascii="Times New Roman" w:hAnsi="Times New Roman" w:eastAsia="宋体" w:cs="Times New Roman"/>
          <w:color w:val="auto"/>
          <w:highlight w:val="none"/>
        </w:rPr>
        <w:t>明确，可通过清晰、可衡量的指标予以体现，指标设置清晰准确等。</w:t>
      </w:r>
    </w:p>
    <w:p w14:paraId="5389278D">
      <w:pPr>
        <w:spacing w:before="0" w:after="0" w:line="360" w:lineRule="auto"/>
        <w:ind w:firstLine="42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预算编制科学性：比较法和因素分析法，项目预算编制是否经过科学论证、有明确标准，资金额度与年度目标是否相适应，用以反映和考核项目预算编制的科学性、合理性情况。</w:t>
      </w:r>
    </w:p>
    <w:p w14:paraId="04E1BE00">
      <w:pPr>
        <w:spacing w:before="0" w:after="0" w:line="360" w:lineRule="auto"/>
        <w:ind w:firstLine="42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资金分配合理性：因素分析法，综合分析资金的分配依据是否充分，分配金额是否与项目实施单位需求金额一致。</w:t>
      </w:r>
    </w:p>
    <w:p w14:paraId="4EDE3A98">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（2）项目过程类指标评价方法</w:t>
      </w:r>
    </w:p>
    <w:p w14:paraId="24AA2E49">
      <w:pPr>
        <w:spacing w:before="0" w:after="0" w:line="360" w:lineRule="auto"/>
        <w:ind w:firstLine="42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资金到位率：比较法和因素分析法，项目是否完成且资金到位数满足年度预算规模需求；项目尚未完成，分析实际完成值和预期指标值之间的差距和原因。</w:t>
      </w:r>
    </w:p>
    <w:p w14:paraId="23A87ECE">
      <w:pPr>
        <w:spacing w:before="0" w:after="0" w:line="360" w:lineRule="auto"/>
        <w:ind w:firstLine="42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预算执行率：比较法和因素分析法，项目是否完成且执行数控制在年度预算规模之内的；项目尚未完成，并分析实际完成值和预期指标值之间的差距和原因。</w:t>
      </w:r>
    </w:p>
    <w:p w14:paraId="4B904E35">
      <w:pPr>
        <w:spacing w:before="0" w:after="0" w:line="360" w:lineRule="auto"/>
        <w:ind w:firstLine="42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资金使用合规性：比较法、文献法和因素分析法等，通过实地调研，检查项目资金使用情况，对比专项资金管理办法要求，分析资金使用合规性。</w:t>
      </w:r>
    </w:p>
    <w:p w14:paraId="5EDC70BC">
      <w:pPr>
        <w:spacing w:before="0" w:after="0" w:line="360" w:lineRule="auto"/>
        <w:ind w:firstLine="42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管理制度健全性：比较法</w:t>
      </w:r>
      <w:r>
        <w:rPr>
          <w:rFonts w:hint="eastAsia" w:ascii="Times New Roman" w:hAnsi="Times New Roman" w:eastAsia="宋体" w:cs="Times New Roman"/>
          <w:color w:val="auto"/>
          <w:sz w:val="21"/>
          <w:szCs w:val="21"/>
          <w:highlight w:val="none"/>
          <w:lang w:val="en-US" w:eastAsia="zh-CN"/>
        </w:rPr>
        <w:t>和</w:t>
      </w:r>
      <w:r>
        <w:rPr>
          <w:rFonts w:hint="eastAsia" w:ascii="Times New Roman" w:hAnsi="Times New Roman" w:eastAsia="宋体" w:cs="Times New Roman"/>
          <w:color w:val="auto"/>
          <w:sz w:val="21"/>
          <w:szCs w:val="21"/>
          <w:highlight w:val="none"/>
        </w:rPr>
        <w:t>因素分析法，</w:t>
      </w:r>
      <w:r>
        <w:rPr>
          <w:rFonts w:hint="eastAsia" w:ascii="Times New Roman" w:hAnsi="Times New Roman" w:eastAsia="宋体" w:cs="Times New Roman"/>
          <w:color w:val="auto"/>
          <w:sz w:val="21"/>
          <w:szCs w:val="21"/>
          <w:highlight w:val="none"/>
          <w:lang w:val="en-US" w:eastAsia="zh-CN"/>
        </w:rPr>
        <w:t>项目</w:t>
      </w:r>
      <w:r>
        <w:rPr>
          <w:rFonts w:hint="eastAsia" w:ascii="Times New Roman" w:hAnsi="Times New Roman" w:eastAsia="宋体" w:cs="Times New Roman"/>
          <w:color w:val="auto"/>
          <w:sz w:val="21"/>
          <w:szCs w:val="21"/>
          <w:highlight w:val="none"/>
        </w:rPr>
        <w:t>是否已制定或具有相应的财务和业务管理制度；财务和业务管理制度是否</w:t>
      </w:r>
      <w:r>
        <w:rPr>
          <w:rFonts w:hint="eastAsia" w:ascii="Times New Roman" w:hAnsi="Times New Roman" w:eastAsia="宋体" w:cs="Times New Roman"/>
          <w:color w:val="auto"/>
          <w:sz w:val="21"/>
          <w:szCs w:val="21"/>
          <w:highlight w:val="none"/>
          <w:lang w:val="en-US" w:eastAsia="zh-CN"/>
        </w:rPr>
        <w:t>健全</w:t>
      </w:r>
      <w:r>
        <w:rPr>
          <w:rFonts w:hint="eastAsia" w:ascii="Times New Roman" w:hAnsi="Times New Roman" w:eastAsia="宋体" w:cs="Times New Roman"/>
          <w:color w:val="auto"/>
          <w:sz w:val="21"/>
          <w:szCs w:val="21"/>
          <w:highlight w:val="none"/>
        </w:rPr>
        <w:t>。</w:t>
      </w:r>
    </w:p>
    <w:p w14:paraId="1AF70278">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制度执行有效性：比较法</w:t>
      </w:r>
      <w:r>
        <w:rPr>
          <w:rFonts w:hint="eastAsia" w:ascii="Times New Roman" w:hAnsi="Times New Roman" w:eastAsia="宋体" w:cs="Times New Roman"/>
          <w:color w:val="auto"/>
          <w:sz w:val="21"/>
          <w:szCs w:val="21"/>
          <w:highlight w:val="none"/>
          <w:lang w:val="en-US" w:eastAsia="zh-CN"/>
        </w:rPr>
        <w:t>和</w:t>
      </w:r>
      <w:r>
        <w:rPr>
          <w:rFonts w:hint="eastAsia" w:ascii="Times New Roman" w:hAnsi="Times New Roman" w:eastAsia="宋体" w:cs="Times New Roman"/>
          <w:color w:val="auto"/>
          <w:sz w:val="21"/>
          <w:szCs w:val="21"/>
          <w:highlight w:val="none"/>
        </w:rPr>
        <w:t>因素分析法，</w:t>
      </w:r>
      <w:r>
        <w:rPr>
          <w:rFonts w:hint="eastAsia" w:ascii="Times New Roman" w:hAnsi="Times New Roman" w:eastAsia="宋体" w:cs="Times New Roman"/>
          <w:color w:val="auto"/>
          <w:sz w:val="21"/>
          <w:szCs w:val="21"/>
          <w:highlight w:val="none"/>
          <w:lang w:val="en-US" w:eastAsia="zh-CN"/>
        </w:rPr>
        <w:t>考核</w:t>
      </w:r>
      <w:r>
        <w:rPr>
          <w:rFonts w:hint="eastAsia" w:ascii="Times New Roman" w:hAnsi="Times New Roman" w:eastAsia="宋体" w:cs="Times New Roman"/>
          <w:color w:val="auto"/>
          <w:sz w:val="21"/>
          <w:szCs w:val="21"/>
          <w:highlight w:val="none"/>
        </w:rPr>
        <w:t>项目组织实施机制</w:t>
      </w:r>
      <w:r>
        <w:rPr>
          <w:rFonts w:hint="eastAsia" w:ascii="Times New Roman" w:hAnsi="Times New Roman" w:eastAsia="宋体" w:cs="Times New Roman"/>
          <w:color w:val="auto"/>
          <w:sz w:val="21"/>
          <w:szCs w:val="21"/>
          <w:highlight w:val="none"/>
          <w:lang w:val="en-US" w:eastAsia="zh-CN"/>
        </w:rPr>
        <w:t>是否</w:t>
      </w:r>
      <w:r>
        <w:rPr>
          <w:rFonts w:hint="eastAsia" w:ascii="Times New Roman" w:hAnsi="Times New Roman" w:eastAsia="宋体" w:cs="Times New Roman"/>
          <w:color w:val="auto"/>
          <w:sz w:val="21"/>
          <w:szCs w:val="21"/>
          <w:highlight w:val="none"/>
        </w:rPr>
        <w:t>健全、责任分工</w:t>
      </w:r>
      <w:r>
        <w:rPr>
          <w:rFonts w:hint="eastAsia" w:ascii="Times New Roman" w:hAnsi="Times New Roman" w:eastAsia="宋体" w:cs="Times New Roman"/>
          <w:color w:val="auto"/>
          <w:sz w:val="21"/>
          <w:szCs w:val="21"/>
          <w:highlight w:val="none"/>
          <w:lang w:val="en-US" w:eastAsia="zh-CN"/>
        </w:rPr>
        <w:t>是否</w:t>
      </w:r>
      <w:r>
        <w:rPr>
          <w:rFonts w:hint="eastAsia" w:ascii="Times New Roman" w:hAnsi="Times New Roman" w:eastAsia="宋体" w:cs="Times New Roman"/>
          <w:color w:val="auto"/>
          <w:sz w:val="21"/>
          <w:szCs w:val="21"/>
          <w:highlight w:val="none"/>
        </w:rPr>
        <w:t>明确；设计、咨询等建设参与方的引入方式及程序</w:t>
      </w:r>
      <w:r>
        <w:rPr>
          <w:rFonts w:hint="eastAsia" w:ascii="Times New Roman" w:hAnsi="Times New Roman" w:eastAsia="宋体" w:cs="Times New Roman"/>
          <w:color w:val="auto"/>
          <w:sz w:val="21"/>
          <w:szCs w:val="21"/>
          <w:highlight w:val="none"/>
          <w:lang w:val="en-US" w:eastAsia="zh-CN"/>
        </w:rPr>
        <w:t>是否</w:t>
      </w:r>
      <w:r>
        <w:rPr>
          <w:rFonts w:hint="eastAsia" w:ascii="Times New Roman" w:hAnsi="Times New Roman" w:eastAsia="宋体" w:cs="Times New Roman"/>
          <w:color w:val="auto"/>
          <w:sz w:val="21"/>
          <w:szCs w:val="21"/>
          <w:highlight w:val="none"/>
        </w:rPr>
        <w:t>规范</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lang w:val="en-US" w:eastAsia="zh-CN"/>
        </w:rPr>
        <w:t>项目</w:t>
      </w:r>
      <w:r>
        <w:rPr>
          <w:rFonts w:hint="eastAsia" w:ascii="Times New Roman" w:hAnsi="Times New Roman" w:eastAsia="宋体" w:cs="Times New Roman"/>
          <w:color w:val="auto"/>
          <w:sz w:val="21"/>
          <w:szCs w:val="21"/>
          <w:highlight w:val="none"/>
        </w:rPr>
        <w:t>合同签订、变更、审批等管理</w:t>
      </w:r>
      <w:r>
        <w:rPr>
          <w:rFonts w:hint="eastAsia" w:ascii="Times New Roman" w:hAnsi="Times New Roman" w:eastAsia="宋体" w:cs="Times New Roman"/>
          <w:color w:val="auto"/>
          <w:sz w:val="21"/>
          <w:szCs w:val="21"/>
          <w:highlight w:val="none"/>
          <w:lang w:val="en-US" w:eastAsia="zh-CN"/>
        </w:rPr>
        <w:t>是否</w:t>
      </w:r>
      <w:r>
        <w:rPr>
          <w:rFonts w:hint="eastAsia" w:ascii="Times New Roman" w:hAnsi="Times New Roman" w:eastAsia="宋体" w:cs="Times New Roman"/>
          <w:color w:val="auto"/>
          <w:sz w:val="21"/>
          <w:szCs w:val="21"/>
          <w:highlight w:val="none"/>
        </w:rPr>
        <w:t>规范</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rPr>
        <w:t>项目管理与过程监督制度落实</w:t>
      </w:r>
      <w:r>
        <w:rPr>
          <w:rFonts w:hint="eastAsia" w:ascii="Times New Roman" w:hAnsi="Times New Roman" w:eastAsia="宋体" w:cs="Times New Roman"/>
          <w:color w:val="auto"/>
          <w:sz w:val="21"/>
          <w:szCs w:val="21"/>
          <w:highlight w:val="none"/>
          <w:lang w:val="en-US" w:eastAsia="zh-CN"/>
        </w:rPr>
        <w:t>是否</w:t>
      </w:r>
      <w:r>
        <w:rPr>
          <w:rFonts w:hint="eastAsia" w:ascii="Times New Roman" w:hAnsi="Times New Roman" w:eastAsia="宋体" w:cs="Times New Roman"/>
          <w:color w:val="auto"/>
          <w:sz w:val="21"/>
          <w:szCs w:val="21"/>
          <w:highlight w:val="none"/>
        </w:rPr>
        <w:t>到位；项目建设程序</w:t>
      </w:r>
      <w:r>
        <w:rPr>
          <w:rFonts w:hint="eastAsia" w:ascii="Times New Roman" w:hAnsi="Times New Roman" w:eastAsia="宋体" w:cs="Times New Roman"/>
          <w:color w:val="auto"/>
          <w:sz w:val="21"/>
          <w:szCs w:val="21"/>
          <w:highlight w:val="none"/>
          <w:lang w:val="en-US" w:eastAsia="zh-CN"/>
        </w:rPr>
        <w:t>是否</w:t>
      </w:r>
      <w:r>
        <w:rPr>
          <w:rFonts w:hint="eastAsia" w:ascii="Times New Roman" w:hAnsi="Times New Roman" w:eastAsia="宋体" w:cs="Times New Roman"/>
          <w:color w:val="auto"/>
          <w:sz w:val="21"/>
          <w:szCs w:val="21"/>
          <w:highlight w:val="none"/>
        </w:rPr>
        <w:t>规范，</w:t>
      </w:r>
      <w:r>
        <w:rPr>
          <w:rFonts w:hint="eastAsia" w:ascii="Times New Roman" w:hAnsi="Times New Roman" w:eastAsia="宋体" w:cs="Times New Roman"/>
          <w:color w:val="auto"/>
          <w:sz w:val="21"/>
          <w:szCs w:val="21"/>
          <w:highlight w:val="none"/>
          <w:lang w:val="en-US" w:eastAsia="zh-CN"/>
        </w:rPr>
        <w:t>是否</w:t>
      </w:r>
      <w:r>
        <w:rPr>
          <w:rFonts w:hint="eastAsia" w:ascii="Times New Roman" w:hAnsi="Times New Roman" w:eastAsia="宋体" w:cs="Times New Roman"/>
          <w:color w:val="auto"/>
          <w:sz w:val="21"/>
          <w:szCs w:val="21"/>
          <w:highlight w:val="none"/>
        </w:rPr>
        <w:t>缺少相应建设审批程序；项目竣工验收程序</w:t>
      </w:r>
      <w:r>
        <w:rPr>
          <w:rFonts w:hint="eastAsia" w:ascii="Times New Roman" w:hAnsi="Times New Roman" w:eastAsia="宋体" w:cs="Times New Roman"/>
          <w:color w:val="auto"/>
          <w:sz w:val="21"/>
          <w:szCs w:val="21"/>
          <w:highlight w:val="none"/>
          <w:lang w:val="en-US" w:eastAsia="zh-CN"/>
        </w:rPr>
        <w:t>是否</w:t>
      </w:r>
      <w:r>
        <w:rPr>
          <w:rFonts w:hint="eastAsia" w:ascii="Times New Roman" w:hAnsi="Times New Roman" w:eastAsia="宋体" w:cs="Times New Roman"/>
          <w:color w:val="auto"/>
          <w:sz w:val="21"/>
          <w:szCs w:val="21"/>
          <w:highlight w:val="none"/>
        </w:rPr>
        <w:t>规范，</w:t>
      </w:r>
      <w:r>
        <w:rPr>
          <w:rFonts w:hint="eastAsia" w:ascii="Times New Roman" w:hAnsi="Times New Roman" w:eastAsia="宋体" w:cs="Times New Roman"/>
          <w:color w:val="auto"/>
          <w:sz w:val="21"/>
          <w:szCs w:val="21"/>
          <w:highlight w:val="none"/>
          <w:lang w:val="en-US" w:eastAsia="zh-CN"/>
        </w:rPr>
        <w:t>是否</w:t>
      </w:r>
      <w:r>
        <w:rPr>
          <w:rFonts w:hint="eastAsia" w:ascii="Times New Roman" w:hAnsi="Times New Roman" w:eastAsia="宋体" w:cs="Times New Roman"/>
          <w:color w:val="auto"/>
          <w:sz w:val="21"/>
          <w:szCs w:val="21"/>
          <w:highlight w:val="none"/>
        </w:rPr>
        <w:t>按要求开展验收，验收文件</w:t>
      </w:r>
      <w:r>
        <w:rPr>
          <w:rFonts w:hint="eastAsia" w:ascii="Times New Roman" w:hAnsi="Times New Roman" w:eastAsia="宋体" w:cs="Times New Roman"/>
          <w:color w:val="auto"/>
          <w:sz w:val="21"/>
          <w:szCs w:val="21"/>
          <w:highlight w:val="none"/>
          <w:lang w:val="en-US" w:eastAsia="zh-CN"/>
        </w:rPr>
        <w:t>是否</w:t>
      </w:r>
      <w:r>
        <w:rPr>
          <w:rFonts w:hint="eastAsia" w:ascii="Times New Roman" w:hAnsi="Times New Roman" w:eastAsia="宋体" w:cs="Times New Roman"/>
          <w:color w:val="auto"/>
          <w:sz w:val="21"/>
          <w:szCs w:val="21"/>
          <w:highlight w:val="none"/>
        </w:rPr>
        <w:t>完整、</w:t>
      </w:r>
      <w:r>
        <w:rPr>
          <w:rFonts w:hint="eastAsia" w:ascii="Times New Roman" w:hAnsi="Times New Roman" w:eastAsia="宋体" w:cs="Times New Roman"/>
          <w:color w:val="auto"/>
          <w:sz w:val="21"/>
          <w:szCs w:val="21"/>
          <w:highlight w:val="none"/>
          <w:lang w:val="en-US" w:eastAsia="zh-CN"/>
        </w:rPr>
        <w:t>是否</w:t>
      </w:r>
      <w:r>
        <w:rPr>
          <w:rFonts w:hint="eastAsia" w:ascii="Times New Roman" w:hAnsi="Times New Roman" w:eastAsia="宋体" w:cs="Times New Roman"/>
          <w:color w:val="auto"/>
          <w:sz w:val="21"/>
          <w:szCs w:val="21"/>
          <w:highlight w:val="none"/>
        </w:rPr>
        <w:t>规范等；工程变更审核、批准批注</w:t>
      </w:r>
      <w:r>
        <w:rPr>
          <w:rFonts w:hint="eastAsia" w:ascii="Times New Roman" w:hAnsi="Times New Roman" w:eastAsia="宋体" w:cs="Times New Roman"/>
          <w:color w:val="auto"/>
          <w:sz w:val="21"/>
          <w:szCs w:val="21"/>
          <w:highlight w:val="none"/>
          <w:lang w:val="en-US" w:eastAsia="zh-CN"/>
        </w:rPr>
        <w:t>是否</w:t>
      </w:r>
      <w:r>
        <w:rPr>
          <w:rFonts w:hint="eastAsia" w:ascii="Times New Roman" w:hAnsi="Times New Roman" w:eastAsia="宋体" w:cs="Times New Roman"/>
          <w:color w:val="auto"/>
          <w:sz w:val="21"/>
          <w:szCs w:val="21"/>
          <w:highlight w:val="none"/>
        </w:rPr>
        <w:t>规范，变更手续</w:t>
      </w:r>
      <w:r>
        <w:rPr>
          <w:rFonts w:hint="eastAsia" w:ascii="Times New Roman" w:hAnsi="Times New Roman" w:eastAsia="宋体" w:cs="Times New Roman"/>
          <w:color w:val="auto"/>
          <w:sz w:val="21"/>
          <w:szCs w:val="21"/>
          <w:highlight w:val="none"/>
          <w:lang w:val="en-US" w:eastAsia="zh-CN"/>
        </w:rPr>
        <w:t>是否</w:t>
      </w:r>
      <w:r>
        <w:rPr>
          <w:rFonts w:hint="eastAsia" w:ascii="Times New Roman" w:hAnsi="Times New Roman" w:eastAsia="宋体" w:cs="Times New Roman"/>
          <w:color w:val="auto"/>
          <w:sz w:val="21"/>
          <w:szCs w:val="21"/>
          <w:highlight w:val="none"/>
        </w:rPr>
        <w:t>完整等。</w:t>
      </w:r>
    </w:p>
    <w:p w14:paraId="568655BA">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（3）项目产出类指标评价方法</w:t>
      </w:r>
    </w:p>
    <w:p w14:paraId="1857A3C1">
      <w:pPr>
        <w:bidi w:val="0"/>
        <w:spacing w:before="0" w:after="0" w:line="360" w:lineRule="auto"/>
        <w:ind w:firstLine="420" w:firstLineChars="200"/>
        <w:rPr>
          <w:rFonts w:hint="eastAsia"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highlight w:val="none"/>
          <w:lang w:eastAsia="zh-CN"/>
        </w:rPr>
        <w:t>农村公路养护里程：</w:t>
      </w:r>
      <w:r>
        <w:rPr>
          <w:rFonts w:hint="default" w:ascii="Times New Roman" w:hAnsi="Times New Roman" w:eastAsia="宋体" w:cs="Times New Roman"/>
          <w:color w:val="auto"/>
          <w:kern w:val="0"/>
          <w:sz w:val="21"/>
          <w:szCs w:val="21"/>
          <w:highlight w:val="none"/>
          <w:lang w:val="en-US" w:eastAsia="zh-CN" w:bidi="ar"/>
        </w:rPr>
        <w:t>比较法，</w:t>
      </w:r>
      <w:r>
        <w:rPr>
          <w:rFonts w:hint="default" w:ascii="Times New Roman" w:hAnsi="Times New Roman" w:eastAsia="宋体" w:cs="Times New Roman"/>
          <w:color w:val="auto"/>
          <w:sz w:val="21"/>
          <w:szCs w:val="21"/>
          <w:highlight w:val="none"/>
        </w:rPr>
        <w:t>通过对实际完成值和预期指标值</w:t>
      </w:r>
      <w:r>
        <w:rPr>
          <w:rFonts w:hint="default" w:ascii="Times New Roman" w:hAnsi="Times New Roman" w:eastAsia="宋体" w:cs="Times New Roman"/>
          <w:color w:val="auto"/>
          <w:sz w:val="21"/>
          <w:szCs w:val="21"/>
          <w:highlight w:val="none"/>
          <w:lang w:val="en-US" w:eastAsia="zh-CN"/>
        </w:rPr>
        <w:t>进行</w:t>
      </w:r>
      <w:r>
        <w:rPr>
          <w:rFonts w:hint="default" w:ascii="Times New Roman" w:hAnsi="Times New Roman" w:eastAsia="宋体" w:cs="Times New Roman"/>
          <w:color w:val="auto"/>
          <w:sz w:val="21"/>
          <w:szCs w:val="21"/>
          <w:highlight w:val="none"/>
        </w:rPr>
        <w:t>对比分析，</w:t>
      </w:r>
      <w:r>
        <w:rPr>
          <w:rFonts w:hint="default" w:ascii="Times New Roman" w:hAnsi="Times New Roman" w:eastAsia="宋体" w:cs="Times New Roman"/>
          <w:color w:val="auto"/>
          <w:kern w:val="0"/>
          <w:sz w:val="21"/>
          <w:szCs w:val="21"/>
          <w:highlight w:val="none"/>
          <w:lang w:val="en-US" w:eastAsia="zh-CN" w:bidi="ar"/>
        </w:rPr>
        <w:t>考核项目是否按要求完成</w:t>
      </w:r>
      <w:r>
        <w:rPr>
          <w:rFonts w:hint="eastAsia" w:ascii="Times New Roman" w:hAnsi="Times New Roman" w:eastAsia="宋体" w:cs="Times New Roman"/>
          <w:color w:val="auto"/>
          <w:highlight w:val="none"/>
          <w:lang w:eastAsia="zh-CN"/>
        </w:rPr>
        <w:t>农村公路养护里程</w:t>
      </w:r>
      <w:r>
        <w:rPr>
          <w:rFonts w:hint="default" w:ascii="Times New Roman" w:hAnsi="Times New Roman" w:eastAsia="宋体" w:cs="Times New Roman"/>
          <w:color w:val="auto"/>
          <w:kern w:val="0"/>
          <w:sz w:val="21"/>
          <w:szCs w:val="21"/>
          <w:highlight w:val="none"/>
          <w:lang w:val="en-US" w:eastAsia="zh-CN" w:bidi="ar"/>
        </w:rPr>
        <w:t>的预期目标；若预期目标未达成，</w:t>
      </w:r>
      <w:r>
        <w:rPr>
          <w:rFonts w:hint="default" w:ascii="Times New Roman" w:hAnsi="Times New Roman" w:eastAsia="宋体" w:cs="Times New Roman"/>
          <w:color w:val="auto"/>
          <w:sz w:val="21"/>
          <w:szCs w:val="21"/>
          <w:highlight w:val="none"/>
        </w:rPr>
        <w:t>分析实际完成值和预期指标值之间的差距和原因</w:t>
      </w:r>
      <w:r>
        <w:rPr>
          <w:rFonts w:hint="default" w:ascii="Times New Roman" w:hAnsi="Times New Roman" w:eastAsia="宋体" w:cs="Times New Roman"/>
          <w:color w:val="auto"/>
          <w:sz w:val="21"/>
          <w:szCs w:val="21"/>
          <w:highlight w:val="none"/>
          <w:lang w:eastAsia="zh-CN"/>
        </w:rPr>
        <w:t>。</w:t>
      </w:r>
    </w:p>
    <w:p w14:paraId="498D7A07">
      <w:pPr>
        <w:pageBreakBefore w:val="0"/>
        <w:widowControl/>
        <w:kinsoku/>
        <w:wordWrap/>
        <w:overflowPunct/>
        <w:topLinePunct w:val="0"/>
        <w:autoSpaceDE/>
        <w:autoSpaceDN/>
        <w:bidi w:val="0"/>
        <w:adjustRightInd w:val="0"/>
        <w:snapToGrid w:val="0"/>
        <w:spacing w:line="360" w:lineRule="auto"/>
        <w:ind w:firstLine="0"/>
        <w:textAlignment w:val="auto"/>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养护公路条数：</w:t>
      </w:r>
      <w:r>
        <w:rPr>
          <w:rFonts w:hint="eastAsia" w:ascii="Times New Roman" w:hAnsi="Times New Roman" w:eastAsia="宋体" w:cs="Times New Roman"/>
          <w:color w:val="auto"/>
          <w:kern w:val="0"/>
          <w:sz w:val="21"/>
          <w:szCs w:val="21"/>
          <w:highlight w:val="none"/>
          <w:lang w:val="en-US" w:eastAsia="zh-CN" w:bidi="ar"/>
        </w:rPr>
        <w:t>比较法，通过对实际完成值和预期指标值进行对比分析，考核项目是否按要求完成</w:t>
      </w:r>
      <w:r>
        <w:rPr>
          <w:rFonts w:hint="eastAsia" w:ascii="Times New Roman" w:hAnsi="Times New Roman" w:eastAsia="宋体" w:cs="Times New Roman"/>
          <w:color w:val="auto"/>
          <w:highlight w:val="none"/>
          <w:lang w:val="en-US" w:eastAsia="zh-CN"/>
        </w:rPr>
        <w:t>养护公路条数</w:t>
      </w:r>
      <w:r>
        <w:rPr>
          <w:rFonts w:hint="eastAsia" w:ascii="Times New Roman" w:hAnsi="Times New Roman" w:eastAsia="宋体" w:cs="Times New Roman"/>
          <w:color w:val="auto"/>
          <w:kern w:val="0"/>
          <w:sz w:val="21"/>
          <w:szCs w:val="21"/>
          <w:highlight w:val="none"/>
          <w:lang w:val="en-US" w:eastAsia="zh-CN" w:bidi="ar"/>
        </w:rPr>
        <w:t>的预期目标；若预期目标未达成，分析实际完成值和预期指标值之间的差距和原因。</w:t>
      </w:r>
    </w:p>
    <w:p w14:paraId="3F57E7E2">
      <w:pPr>
        <w:pageBreakBefore w:val="0"/>
        <w:widowControl/>
        <w:kinsoku/>
        <w:wordWrap/>
        <w:overflowPunct/>
        <w:topLinePunct w:val="0"/>
        <w:autoSpaceDE/>
        <w:autoSpaceDN/>
        <w:bidi w:val="0"/>
        <w:adjustRightInd w:val="0"/>
        <w:snapToGrid w:val="0"/>
        <w:spacing w:line="360" w:lineRule="auto"/>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公路养护工程合格率</w:t>
      </w:r>
      <w:r>
        <w:rPr>
          <w:rFonts w:hint="default" w:ascii="Times New Roman" w:hAnsi="Times New Roman" w:eastAsia="宋体" w:cs="Times New Roman"/>
          <w:color w:val="auto"/>
          <w:kern w:val="0"/>
          <w:sz w:val="21"/>
          <w:szCs w:val="21"/>
          <w:highlight w:val="none"/>
          <w:lang w:val="en-US" w:eastAsia="zh-CN" w:bidi="ar"/>
        </w:rPr>
        <w:t>比较法，通过</w:t>
      </w:r>
      <w:r>
        <w:rPr>
          <w:rFonts w:hint="eastAsia" w:ascii="Times New Roman" w:hAnsi="Times New Roman" w:eastAsia="宋体" w:cs="Times New Roman"/>
          <w:color w:val="auto"/>
          <w:kern w:val="0"/>
          <w:sz w:val="21"/>
          <w:szCs w:val="21"/>
          <w:highlight w:val="none"/>
          <w:lang w:val="en-US" w:eastAsia="zh-CN" w:bidi="ar"/>
        </w:rPr>
        <w:t>对</w:t>
      </w:r>
      <w:r>
        <w:rPr>
          <w:rFonts w:hint="default" w:ascii="Times New Roman" w:hAnsi="Times New Roman" w:eastAsia="宋体" w:cs="Times New Roman"/>
          <w:color w:val="auto"/>
          <w:sz w:val="21"/>
          <w:szCs w:val="21"/>
          <w:highlight w:val="none"/>
          <w:lang w:val="en-US" w:eastAsia="zh-CN"/>
        </w:rPr>
        <w:t>《公路工程交工验收证书》</w:t>
      </w:r>
      <w:r>
        <w:rPr>
          <w:rFonts w:hint="eastAsia" w:ascii="Times New Roman" w:hAnsi="Times New Roman" w:eastAsia="宋体" w:cs="Times New Roman"/>
          <w:color w:val="auto"/>
          <w:sz w:val="21"/>
          <w:szCs w:val="21"/>
          <w:highlight w:val="none"/>
          <w:lang w:val="en-US" w:eastAsia="zh-CN"/>
        </w:rPr>
        <w:t>中</w:t>
      </w:r>
      <w:r>
        <w:rPr>
          <w:rFonts w:hint="default" w:ascii="Times New Roman" w:hAnsi="Times New Roman" w:eastAsia="宋体" w:cs="Times New Roman"/>
          <w:color w:val="auto"/>
          <w:kern w:val="0"/>
          <w:sz w:val="21"/>
          <w:szCs w:val="21"/>
          <w:highlight w:val="none"/>
          <w:lang w:val="en-US" w:eastAsia="zh-CN" w:bidi="ar"/>
        </w:rPr>
        <w:t>实际完成值和</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施工合同</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中</w:t>
      </w:r>
      <w:r>
        <w:rPr>
          <w:rFonts w:hint="default" w:ascii="Times New Roman" w:hAnsi="Times New Roman" w:eastAsia="宋体" w:cs="Times New Roman"/>
          <w:color w:val="auto"/>
          <w:kern w:val="0"/>
          <w:sz w:val="21"/>
          <w:szCs w:val="21"/>
          <w:highlight w:val="none"/>
          <w:lang w:val="en-US" w:eastAsia="zh-CN" w:bidi="ar"/>
        </w:rPr>
        <w:t>预期指标值进行对比分析，考察项目实际验收与合同约定完成验收的情况，若预期目标未达成，分析实际完成值和预期指标值之间的差距和原因。</w:t>
      </w:r>
    </w:p>
    <w:p w14:paraId="4C2DDED9">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项目开工及时率：</w:t>
      </w:r>
      <w:r>
        <w:rPr>
          <w:rFonts w:hint="default" w:ascii="Times New Roman" w:hAnsi="Times New Roman" w:eastAsia="宋体" w:cs="Times New Roman"/>
          <w:color w:val="auto"/>
          <w:kern w:val="0"/>
          <w:sz w:val="21"/>
          <w:szCs w:val="21"/>
          <w:highlight w:val="none"/>
          <w:lang w:val="en-US" w:eastAsia="zh-CN" w:bidi="ar"/>
        </w:rPr>
        <w:t>比较法，通过对</w:t>
      </w:r>
      <w:r>
        <w:rPr>
          <w:rFonts w:hint="eastAsia" w:ascii="Times New Roman" w:hAnsi="Times New Roman" w:eastAsia="宋体" w:cs="Times New Roman"/>
          <w:color w:val="auto"/>
          <w:kern w:val="0"/>
          <w:sz w:val="21"/>
          <w:szCs w:val="21"/>
          <w:highlight w:val="none"/>
          <w:lang w:val="en-US" w:eastAsia="zh-CN" w:bidi="ar"/>
        </w:rPr>
        <w:t>项目《关于伊宁县2024年农村公路日常养护项目开工的批复》（伊县交项字〔2024〕14号）</w:t>
      </w:r>
      <w:r>
        <w:rPr>
          <w:rFonts w:hint="default" w:ascii="Times New Roman" w:hAnsi="Times New Roman" w:eastAsia="宋体" w:cs="Times New Roman"/>
          <w:color w:val="auto"/>
          <w:kern w:val="0"/>
          <w:sz w:val="21"/>
          <w:szCs w:val="21"/>
          <w:highlight w:val="none"/>
          <w:lang w:val="en-US" w:eastAsia="zh-CN" w:bidi="ar"/>
        </w:rPr>
        <w:t>和</w:t>
      </w:r>
      <w:r>
        <w:rPr>
          <w:rFonts w:hint="eastAsia" w:ascii="Times New Roman" w:hAnsi="Times New Roman" w:eastAsia="宋体" w:cs="Times New Roman"/>
          <w:color w:val="auto"/>
          <w:szCs w:val="21"/>
          <w:highlight w:val="none"/>
          <w:lang w:val="en-US" w:eastAsia="zh-CN"/>
        </w:rPr>
        <w:t>《施工合同》</w:t>
      </w:r>
      <w:r>
        <w:rPr>
          <w:rFonts w:hint="eastAsia" w:ascii="Times New Roman" w:hAnsi="Times New Roman" w:eastAsia="宋体" w:cs="Times New Roman"/>
          <w:color w:val="auto"/>
          <w:sz w:val="21"/>
          <w:szCs w:val="21"/>
          <w:highlight w:val="none"/>
          <w:lang w:val="en-US" w:eastAsia="zh-CN"/>
        </w:rPr>
        <w:t>中</w:t>
      </w:r>
      <w:r>
        <w:rPr>
          <w:rFonts w:hint="default" w:ascii="Times New Roman" w:hAnsi="Times New Roman" w:eastAsia="宋体" w:cs="Times New Roman"/>
          <w:color w:val="auto"/>
          <w:sz w:val="21"/>
          <w:szCs w:val="21"/>
          <w:highlight w:val="none"/>
          <w:lang w:val="en-US" w:eastAsia="zh-CN"/>
        </w:rPr>
        <w:t>项目计划实施时间</w:t>
      </w:r>
      <w:r>
        <w:rPr>
          <w:rFonts w:hint="default" w:ascii="Times New Roman" w:hAnsi="Times New Roman" w:eastAsia="宋体" w:cs="Times New Roman"/>
          <w:color w:val="auto"/>
          <w:kern w:val="0"/>
          <w:sz w:val="21"/>
          <w:szCs w:val="21"/>
          <w:highlight w:val="none"/>
          <w:lang w:val="en-US" w:eastAsia="zh-CN" w:bidi="ar"/>
        </w:rPr>
        <w:t>进行对比分析，考察项目是否按规定时间开工。</w:t>
      </w:r>
    </w:p>
    <w:p w14:paraId="7628D80F">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项目完工及时率：</w:t>
      </w:r>
      <w:r>
        <w:rPr>
          <w:rFonts w:hint="default" w:ascii="Times New Roman" w:hAnsi="Times New Roman" w:eastAsia="宋体" w:cs="Times New Roman"/>
          <w:color w:val="auto"/>
          <w:sz w:val="21"/>
          <w:szCs w:val="21"/>
          <w:highlight w:val="none"/>
          <w:lang w:val="en-US" w:eastAsia="zh-CN"/>
        </w:rPr>
        <w:t>比较法，通过对《公路工程交工验收证书》和</w:t>
      </w:r>
      <w:r>
        <w:rPr>
          <w:rFonts w:hint="eastAsia" w:ascii="Times New Roman" w:hAnsi="Times New Roman" w:eastAsia="宋体" w:cs="Times New Roman"/>
          <w:color w:val="auto"/>
          <w:szCs w:val="21"/>
          <w:highlight w:val="none"/>
          <w:lang w:val="en-US" w:eastAsia="zh-CN"/>
        </w:rPr>
        <w:t>《施工合同》</w:t>
      </w:r>
      <w:r>
        <w:rPr>
          <w:rFonts w:hint="eastAsia" w:ascii="Times New Roman" w:hAnsi="Times New Roman" w:eastAsia="宋体" w:cs="Times New Roman"/>
          <w:color w:val="auto"/>
          <w:sz w:val="21"/>
          <w:szCs w:val="21"/>
          <w:highlight w:val="none"/>
          <w:lang w:val="en-US" w:eastAsia="zh-CN"/>
        </w:rPr>
        <w:t>中</w:t>
      </w:r>
      <w:r>
        <w:rPr>
          <w:rFonts w:hint="default" w:ascii="Times New Roman" w:hAnsi="Times New Roman" w:eastAsia="宋体" w:cs="Times New Roman"/>
          <w:color w:val="auto"/>
          <w:sz w:val="21"/>
          <w:szCs w:val="21"/>
          <w:highlight w:val="none"/>
          <w:lang w:val="en-US" w:eastAsia="zh-CN"/>
        </w:rPr>
        <w:t>项目计划实施时间进行对比分析，考察项目是否按规定时间完工。</w:t>
      </w:r>
    </w:p>
    <w:p w14:paraId="6F846ECC">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eastAsia="zh-CN"/>
        </w:rPr>
        <w:t>工程建安成本控制率</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sz w:val="21"/>
          <w:szCs w:val="21"/>
          <w:highlight w:val="none"/>
          <w:lang w:val="en-US" w:eastAsia="zh-CN"/>
        </w:rPr>
        <w:t>比较法和因素分析法，通过对该项目竣工</w:t>
      </w:r>
      <w:r>
        <w:rPr>
          <w:rFonts w:hint="eastAsia" w:ascii="Times New Roman" w:hAnsi="Times New Roman" w:eastAsia="宋体" w:cs="Times New Roman"/>
          <w:color w:val="auto"/>
          <w:sz w:val="21"/>
          <w:szCs w:val="21"/>
          <w:highlight w:val="none"/>
          <w:lang w:val="en-US" w:eastAsia="zh-CN"/>
        </w:rPr>
        <w:t>结算</w:t>
      </w:r>
      <w:r>
        <w:rPr>
          <w:rFonts w:hint="default" w:ascii="Times New Roman" w:hAnsi="Times New Roman" w:eastAsia="宋体" w:cs="Times New Roman"/>
          <w:color w:val="auto"/>
          <w:sz w:val="21"/>
          <w:szCs w:val="21"/>
          <w:highlight w:val="none"/>
          <w:lang w:val="en-US" w:eastAsia="zh-CN"/>
        </w:rPr>
        <w:t>的金额与</w:t>
      </w:r>
      <w:r>
        <w:rPr>
          <w:rFonts w:hint="eastAsia" w:ascii="Times New Roman" w:hAnsi="Times New Roman" w:eastAsia="宋体" w:cs="Times New Roman"/>
          <w:color w:val="auto"/>
          <w:highlight w:val="none"/>
          <w:lang w:val="en-US" w:eastAsia="zh-CN"/>
        </w:rPr>
        <w:t>施工图预算批复的工程建安费用</w:t>
      </w:r>
      <w:r>
        <w:rPr>
          <w:rFonts w:hint="eastAsia" w:ascii="Times New Roman" w:hAnsi="Times New Roman" w:eastAsia="宋体" w:cs="Times New Roman"/>
          <w:color w:val="auto"/>
          <w:sz w:val="21"/>
          <w:szCs w:val="21"/>
          <w:highlight w:val="none"/>
          <w:lang w:val="en-US" w:eastAsia="zh-CN"/>
        </w:rPr>
        <w:t>进行对比分析</w:t>
      </w:r>
      <w:r>
        <w:rPr>
          <w:rFonts w:hint="default" w:ascii="Times New Roman" w:hAnsi="Times New Roman" w:eastAsia="宋体" w:cs="Times New Roman"/>
          <w:color w:val="auto"/>
          <w:sz w:val="21"/>
          <w:szCs w:val="21"/>
          <w:highlight w:val="none"/>
          <w:lang w:val="en-US" w:eastAsia="zh-CN"/>
        </w:rPr>
        <w:t>，考核</w:t>
      </w:r>
      <w:r>
        <w:rPr>
          <w:rFonts w:hint="eastAsia" w:ascii="Times New Roman" w:hAnsi="Times New Roman" w:eastAsia="宋体" w:cs="Times New Roman"/>
          <w:color w:val="auto"/>
          <w:highlight w:val="none"/>
          <w:lang w:eastAsia="zh-CN"/>
        </w:rPr>
        <w:t>工程建安成本控制率</w:t>
      </w:r>
      <w:r>
        <w:rPr>
          <w:rFonts w:hint="default" w:ascii="Times New Roman" w:hAnsi="Times New Roman" w:eastAsia="宋体" w:cs="Times New Roman"/>
          <w:color w:val="auto"/>
          <w:sz w:val="21"/>
          <w:szCs w:val="21"/>
          <w:highlight w:val="none"/>
        </w:rPr>
        <w:t>是否合理有效，是否</w:t>
      </w:r>
      <w:r>
        <w:rPr>
          <w:rFonts w:hint="eastAsia" w:ascii="Times New Roman" w:hAnsi="Times New Roman" w:eastAsia="宋体" w:cs="Times New Roman"/>
          <w:color w:val="auto"/>
          <w:sz w:val="21"/>
          <w:szCs w:val="21"/>
          <w:highlight w:val="none"/>
          <w:lang w:val="en-US" w:eastAsia="zh-CN"/>
        </w:rPr>
        <w:t>存在</w:t>
      </w:r>
      <w:r>
        <w:rPr>
          <w:rFonts w:hint="default" w:ascii="Times New Roman" w:hAnsi="Times New Roman" w:eastAsia="宋体" w:cs="Times New Roman"/>
          <w:color w:val="auto"/>
          <w:sz w:val="21"/>
          <w:szCs w:val="21"/>
          <w:highlight w:val="none"/>
        </w:rPr>
        <w:t>超预算</w:t>
      </w:r>
      <w:r>
        <w:rPr>
          <w:rFonts w:hint="default" w:ascii="Times New Roman" w:hAnsi="Times New Roman" w:eastAsia="宋体" w:cs="Times New Roman"/>
          <w:color w:val="auto"/>
          <w:sz w:val="21"/>
          <w:szCs w:val="21"/>
          <w:highlight w:val="none"/>
          <w:lang w:val="en-US" w:eastAsia="zh-CN"/>
        </w:rPr>
        <w:t>情况</w:t>
      </w:r>
      <w:r>
        <w:rPr>
          <w:rFonts w:hint="eastAsia" w:ascii="Times New Roman" w:hAnsi="Times New Roman" w:eastAsia="宋体" w:cs="Times New Roman"/>
          <w:color w:val="auto"/>
          <w:sz w:val="21"/>
          <w:szCs w:val="21"/>
          <w:highlight w:val="none"/>
          <w:lang w:val="en-US" w:eastAsia="zh-CN"/>
        </w:rPr>
        <w:t>。</w:t>
      </w:r>
    </w:p>
    <w:p w14:paraId="23314A07">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（4）项目效益类指标评价方法</w:t>
      </w:r>
    </w:p>
    <w:p w14:paraId="5CE2EE45">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rPr>
        <w:t>保障出行安全，降低交通风险</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公众评判法和因素分析法，通过问卷及抽样调查等方式</w:t>
      </w:r>
      <w:r>
        <w:rPr>
          <w:rFonts w:hint="eastAsia" w:ascii="Times New Roman" w:hAnsi="Times New Roman" w:eastAsia="宋体" w:cs="Times New Roman"/>
          <w:color w:val="auto"/>
          <w:highlight w:val="none"/>
          <w:lang w:eastAsia="zh-CN"/>
        </w:rPr>
        <w:t>考核项目实施后对保障出行安全，降低交通风险情况。</w:t>
      </w:r>
    </w:p>
    <w:p w14:paraId="12734289">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eastAsia="zh-CN"/>
        </w:rPr>
        <w:t>改善乡村生活环境：</w:t>
      </w:r>
      <w:r>
        <w:rPr>
          <w:rFonts w:hint="eastAsia" w:ascii="Times New Roman" w:hAnsi="Times New Roman" w:eastAsia="宋体" w:cs="Times New Roman"/>
          <w:color w:val="auto"/>
          <w:highlight w:val="none"/>
        </w:rPr>
        <w:t>公众评判法和因素分析法，通过问卷及抽样调查等方式评价考核项目实施后对于</w:t>
      </w:r>
      <w:r>
        <w:rPr>
          <w:rFonts w:hint="eastAsia" w:ascii="Times New Roman" w:hAnsi="Times New Roman" w:eastAsia="宋体" w:cs="Times New Roman"/>
          <w:color w:val="auto"/>
          <w:highlight w:val="none"/>
          <w:lang w:eastAsia="zh-CN"/>
        </w:rPr>
        <w:t>改善乡村生活环境</w:t>
      </w:r>
      <w:r>
        <w:rPr>
          <w:rFonts w:hint="eastAsia" w:ascii="Times New Roman" w:hAnsi="Times New Roman" w:eastAsia="宋体" w:cs="Times New Roman"/>
          <w:color w:val="auto"/>
          <w:highlight w:val="none"/>
        </w:rPr>
        <w:t>的情况。</w:t>
      </w:r>
    </w:p>
    <w:p w14:paraId="21F3016B">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rPr>
        <w:t>受益社会公众满意度</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公众评判法和因素分析法，通过问卷及抽样调查等方式评价该项目实施后受益社会公众</w:t>
      </w:r>
      <w:r>
        <w:rPr>
          <w:rFonts w:hint="eastAsia" w:ascii="Times New Roman" w:hAnsi="Times New Roman" w:eastAsia="宋体" w:cs="Times New Roman"/>
          <w:color w:val="auto"/>
          <w:highlight w:val="none"/>
          <w:lang w:eastAsia="zh-CN"/>
        </w:rPr>
        <w:t>对</w:t>
      </w:r>
      <w:r>
        <w:rPr>
          <w:rFonts w:hint="eastAsia" w:ascii="Times New Roman" w:hAnsi="Times New Roman" w:eastAsia="宋体" w:cs="Times New Roman"/>
          <w:color w:val="auto"/>
          <w:highlight w:val="none"/>
        </w:rPr>
        <w:t>其实施效果的满意程度。</w:t>
      </w:r>
    </w:p>
    <w:p w14:paraId="1D30010B">
      <w:pPr>
        <w:pStyle w:val="5"/>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ascii="Times New Roman" w:hAnsi="Times New Roman" w:eastAsia="宋体" w:cs="Times New Roman"/>
          <w:color w:val="auto"/>
          <w:highlight w:val="none"/>
        </w:rPr>
      </w:pPr>
      <w:bookmarkStart w:id="67" w:name="_Toc26751"/>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六</w:t>
      </w:r>
      <w:r>
        <w:rPr>
          <w:rFonts w:hint="eastAsia" w:ascii="Times New Roman" w:hAnsi="Times New Roman" w:eastAsia="宋体" w:cs="Times New Roman"/>
          <w:color w:val="auto"/>
          <w:highlight w:val="none"/>
        </w:rPr>
        <w:t>）</w:t>
      </w:r>
      <w:r>
        <w:rPr>
          <w:rFonts w:ascii="Times New Roman" w:hAnsi="Times New Roman" w:eastAsia="宋体" w:cs="Times New Roman"/>
          <w:color w:val="auto"/>
          <w:highlight w:val="none"/>
        </w:rPr>
        <w:t>绩效评价指标体系</w:t>
      </w:r>
      <w:r>
        <w:rPr>
          <w:rFonts w:hint="eastAsia" w:ascii="Times New Roman" w:hAnsi="Times New Roman" w:eastAsia="宋体" w:cs="Times New Roman"/>
          <w:color w:val="auto"/>
          <w:highlight w:val="none"/>
        </w:rPr>
        <w:t>设计</w:t>
      </w:r>
      <w:bookmarkEnd w:id="66"/>
      <w:bookmarkEnd w:id="67"/>
    </w:p>
    <w:p w14:paraId="12C3751A">
      <w:pPr>
        <w:keepNext w:val="0"/>
        <w:keepLines w:val="0"/>
        <w:pageBreakBefore w:val="0"/>
        <w:widowControl w:val="0"/>
        <w:kinsoku/>
        <w:wordWrap/>
        <w:overflowPunct/>
        <w:topLinePunct w:val="0"/>
        <w:autoSpaceDE/>
        <w:autoSpaceDN/>
        <w:bidi w:val="0"/>
        <w:adjustRightInd w:val="0"/>
        <w:snapToGrid w:val="0"/>
        <w:spacing w:before="0" w:after="0" w:line="360" w:lineRule="auto"/>
        <w:ind w:firstLine="420" w:firstLineChars="200"/>
        <w:textAlignment w:val="auto"/>
        <w:rPr>
          <w:rFonts w:hint="eastAsia" w:ascii="Times New Roman" w:hAnsi="Times New Roman" w:eastAsia="宋体" w:cs="Times New Roman"/>
          <w:color w:val="auto"/>
          <w:highlight w:val="none"/>
          <w:lang w:val="en-US" w:eastAsia="zh-CN"/>
        </w:rPr>
      </w:pPr>
      <w:bookmarkStart w:id="68" w:name="_Toc68364663"/>
      <w:r>
        <w:rPr>
          <w:rFonts w:hint="eastAsia" w:ascii="Times New Roman" w:hAnsi="Times New Roman" w:eastAsia="宋体" w:cs="Times New Roman"/>
          <w:color w:val="auto"/>
          <w:highlight w:val="none"/>
        </w:rPr>
        <w:t>通过对项目实施资料研读及前期调研，项目根据</w:t>
      </w:r>
      <w:r>
        <w:rPr>
          <w:rFonts w:hint="eastAsia" w:ascii="Times New Roman" w:hAnsi="Times New Roman" w:eastAsia="宋体" w:cs="Times New Roman"/>
          <w:color w:val="auto"/>
          <w:highlight w:val="none"/>
          <w:lang w:val="en-US" w:eastAsia="zh-CN"/>
        </w:rPr>
        <w:t>《关于做好2024年度农村公路养护工作的通知》《关于伊宁县2024年农村公路日常养护项目可行性研究报告的批复》（伊县发改字</w:t>
      </w:r>
      <w:r>
        <w:rPr>
          <w:rFonts w:hint="eastAsia" w:ascii="Times New Roman" w:hAnsi="Times New Roman" w:eastAsia="宋体" w:cs="Times New Roman"/>
          <w:color w:val="auto"/>
          <w:highlight w:val="none"/>
        </w:rPr>
        <w:t>〔20</w:t>
      </w:r>
      <w:r>
        <w:rPr>
          <w:rFonts w:hint="eastAsia" w:ascii="Times New Roman" w:hAnsi="Times New Roman" w:eastAsia="宋体" w:cs="Times New Roman"/>
          <w:color w:val="auto"/>
          <w:highlight w:val="none"/>
          <w:lang w:val="en-US" w:eastAsia="zh-CN"/>
        </w:rPr>
        <w:t>24</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117号）</w:t>
      </w:r>
      <w:r>
        <w:rPr>
          <w:rFonts w:hint="eastAsia" w:ascii="Times New Roman" w:hAnsi="Times New Roman" w:eastAsia="宋体" w:cs="Times New Roman"/>
          <w:b w:val="0"/>
          <w:bCs w:val="0"/>
          <w:color w:val="auto"/>
          <w:kern w:val="2"/>
          <w:sz w:val="21"/>
          <w:szCs w:val="21"/>
          <w:highlight w:val="none"/>
          <w:lang w:val="en-US" w:eastAsia="zh-CN" w:bidi="ar-SA"/>
        </w:rPr>
        <w:t>、</w:t>
      </w:r>
      <w:r>
        <w:rPr>
          <w:rFonts w:hint="eastAsia" w:ascii="Times New Roman" w:hAnsi="Times New Roman" w:eastAsia="宋体" w:cs="Times New Roman"/>
          <w:color w:val="auto"/>
          <w:szCs w:val="21"/>
          <w:highlight w:val="none"/>
          <w:lang w:val="en-US" w:eastAsia="zh-CN"/>
        </w:rPr>
        <w:t>《关于提前下达2024年中央对地方成品油改革转移支付资金用于农村公路养护支预算的通知》（伊州财建〔2023〕202号）</w:t>
      </w:r>
      <w:r>
        <w:rPr>
          <w:rFonts w:hint="eastAsia" w:ascii="Times New Roman" w:hAnsi="Times New Roman" w:eastAsia="宋体" w:cs="Times New Roman"/>
          <w:color w:val="auto"/>
          <w:highlight w:val="none"/>
          <w:lang w:val="en-US" w:eastAsia="zh-CN"/>
        </w:rPr>
        <w:t>后附绩效目标表</w:t>
      </w:r>
      <w:r>
        <w:rPr>
          <w:rFonts w:hint="eastAsia" w:ascii="Times New Roman" w:hAnsi="Times New Roman" w:eastAsia="宋体" w:cs="Times New Roman"/>
          <w:color w:val="auto"/>
          <w:highlight w:val="none"/>
        </w:rPr>
        <w:t>等</w:t>
      </w:r>
      <w:r>
        <w:rPr>
          <w:rFonts w:hint="eastAsia" w:ascii="Times New Roman" w:hAnsi="Times New Roman" w:eastAsia="宋体" w:cs="Times New Roman"/>
          <w:color w:val="auto"/>
          <w:highlight w:val="none"/>
          <w:lang w:val="en-US" w:eastAsia="zh-CN"/>
        </w:rPr>
        <w:t>工作，参照</w:t>
      </w:r>
      <w:r>
        <w:rPr>
          <w:rFonts w:hint="eastAsia" w:ascii="Times New Roman" w:hAnsi="Times New Roman" w:eastAsia="宋体" w:cs="Times New Roman"/>
          <w:color w:val="auto"/>
          <w:highlight w:val="none"/>
          <w:lang w:val="zh-TW" w:eastAsia="zh-TW"/>
        </w:rPr>
        <w:t>《项目支出绩效评价管理办法》（财预〔2020〕10号</w:t>
      </w:r>
      <w:r>
        <w:rPr>
          <w:rFonts w:hint="eastAsia" w:ascii="Times New Roman" w:hAnsi="Times New Roman" w:eastAsia="宋体" w:cs="Times New Roman"/>
          <w:color w:val="auto"/>
          <w:highlight w:val="none"/>
          <w:lang w:val="zh-TW" w:eastAsia="zh-CN"/>
        </w:rPr>
        <w:t>）</w:t>
      </w:r>
      <w:r>
        <w:rPr>
          <w:rFonts w:hint="eastAsia" w:ascii="Times New Roman" w:hAnsi="Times New Roman" w:eastAsia="宋体" w:cs="Times New Roman"/>
          <w:color w:val="auto"/>
          <w:highlight w:val="none"/>
          <w:lang w:val="zh-TW" w:eastAsia="zh-TW"/>
        </w:rPr>
        <w:t>文件要求，</w:t>
      </w:r>
      <w:r>
        <w:rPr>
          <w:rFonts w:hint="eastAsia" w:ascii="Times New Roman" w:hAnsi="Times New Roman" w:eastAsia="宋体" w:cs="Times New Roman"/>
          <w:color w:val="auto"/>
          <w:highlight w:val="none"/>
        </w:rPr>
        <w:t>结合项目的实际情况，综合考虑相关性、重要性、可衡量性、可操作性和可实现性，</w:t>
      </w:r>
      <w:r>
        <w:rPr>
          <w:rFonts w:hint="eastAsia" w:ascii="Times New Roman" w:hAnsi="Times New Roman" w:eastAsia="宋体" w:cs="Times New Roman"/>
          <w:color w:val="auto"/>
          <w:highlight w:val="none"/>
          <w:lang w:val="en-US" w:eastAsia="zh-CN"/>
        </w:rPr>
        <w:t>按照从</w:t>
      </w:r>
      <w:r>
        <w:rPr>
          <w:rFonts w:hint="eastAsia" w:ascii="Times New Roman" w:hAnsi="Times New Roman" w:eastAsia="宋体" w:cs="Times New Roman"/>
          <w:color w:val="auto"/>
          <w:highlight w:val="none"/>
        </w:rPr>
        <w:t>投入、过程到产出、效果和影响的绩效逻辑分析法设计本次绩效评价指标体系，主要围绕资金使用、项目管理、资源配置等方面，客观分析项目的产出和效果。</w:t>
      </w:r>
      <w:r>
        <w:rPr>
          <w:rFonts w:hint="eastAsia" w:ascii="Times New Roman" w:hAnsi="Times New Roman" w:eastAsia="宋体" w:cs="Times New Roman"/>
          <w:color w:val="auto"/>
          <w:highlight w:val="none"/>
          <w:lang w:val="en-US" w:eastAsia="zh-CN"/>
        </w:rPr>
        <w:t>该项目绩效</w:t>
      </w:r>
      <w:r>
        <w:rPr>
          <w:rFonts w:hint="eastAsia" w:ascii="Times New Roman" w:hAnsi="Times New Roman" w:eastAsia="宋体" w:cs="Times New Roman"/>
          <w:color w:val="auto"/>
          <w:highlight w:val="none"/>
          <w:lang w:val="zh-TW" w:eastAsia="zh-TW"/>
        </w:rPr>
        <w:t>指标体系</w:t>
      </w:r>
      <w:r>
        <w:rPr>
          <w:rFonts w:hint="eastAsia" w:ascii="Times New Roman" w:hAnsi="Times New Roman" w:eastAsia="宋体" w:cs="Times New Roman"/>
          <w:color w:val="auto"/>
          <w:highlight w:val="none"/>
          <w:lang w:val="en-US" w:eastAsia="zh-CN"/>
        </w:rPr>
        <w:t>共</w:t>
      </w:r>
      <w:r>
        <w:rPr>
          <w:rFonts w:hint="eastAsia" w:ascii="Times New Roman" w:hAnsi="Times New Roman" w:eastAsia="宋体" w:cs="Times New Roman"/>
          <w:color w:val="auto"/>
          <w:highlight w:val="none"/>
          <w:lang w:val="zh-TW" w:eastAsia="zh-TW"/>
        </w:rPr>
        <w:t>设置包括决策指标（</w:t>
      </w:r>
      <w:r>
        <w:rPr>
          <w:rFonts w:hint="eastAsia" w:ascii="Times New Roman" w:hAnsi="Times New Roman" w:eastAsia="宋体" w:cs="Times New Roman"/>
          <w:color w:val="auto"/>
          <w:highlight w:val="none"/>
          <w:lang w:val="en-US"/>
        </w:rPr>
        <w:t>1</w:t>
      </w:r>
      <w:r>
        <w:rPr>
          <w:rFonts w:hint="eastAsia" w:ascii="Times New Roman" w:hAnsi="Times New Roman" w:eastAsia="宋体" w:cs="Times New Roman"/>
          <w:color w:val="auto"/>
          <w:highlight w:val="none"/>
          <w:lang w:val="en-US" w:eastAsia="zh-CN"/>
        </w:rPr>
        <w:t>0</w:t>
      </w:r>
      <w:r>
        <w:rPr>
          <w:rFonts w:hint="eastAsia" w:ascii="Times New Roman" w:hAnsi="Times New Roman" w:eastAsia="宋体" w:cs="Times New Roman"/>
          <w:color w:val="auto"/>
          <w:highlight w:val="none"/>
          <w:lang w:val="en-US"/>
        </w:rPr>
        <w:t>.00</w:t>
      </w:r>
      <w:r>
        <w:rPr>
          <w:rFonts w:hint="eastAsia" w:ascii="Times New Roman" w:hAnsi="Times New Roman" w:eastAsia="宋体" w:cs="Times New Roman"/>
          <w:color w:val="auto"/>
          <w:highlight w:val="none"/>
          <w:lang w:val="zh-TW" w:eastAsia="zh-TW"/>
        </w:rPr>
        <w:t>%）、过程指标（</w:t>
      </w:r>
      <w:r>
        <w:rPr>
          <w:rFonts w:hint="eastAsia" w:ascii="Times New Roman" w:hAnsi="Times New Roman" w:eastAsia="宋体" w:cs="Times New Roman"/>
          <w:color w:val="auto"/>
          <w:highlight w:val="none"/>
        </w:rPr>
        <w:t>25.00</w:t>
      </w:r>
      <w:r>
        <w:rPr>
          <w:rFonts w:hint="eastAsia" w:ascii="Times New Roman" w:hAnsi="Times New Roman" w:eastAsia="宋体" w:cs="Times New Roman"/>
          <w:color w:val="auto"/>
          <w:highlight w:val="none"/>
          <w:lang w:val="zh-TW" w:eastAsia="zh-TW"/>
        </w:rPr>
        <w:t>%）、产出指标（</w:t>
      </w:r>
      <w:r>
        <w:rPr>
          <w:rFonts w:hint="eastAsia" w:ascii="Times New Roman" w:hAnsi="Times New Roman" w:eastAsia="宋体" w:cs="Times New Roman"/>
          <w:color w:val="auto"/>
          <w:highlight w:val="none"/>
        </w:rPr>
        <w:t>30.00</w:t>
      </w:r>
      <w:r>
        <w:rPr>
          <w:rFonts w:hint="eastAsia" w:ascii="Times New Roman" w:hAnsi="Times New Roman" w:eastAsia="宋体" w:cs="Times New Roman"/>
          <w:color w:val="auto"/>
          <w:highlight w:val="none"/>
          <w:lang w:val="zh-TW" w:eastAsia="zh-TW"/>
        </w:rPr>
        <w:t>%）、效益指标（</w:t>
      </w:r>
      <w:r>
        <w:rPr>
          <w:rFonts w:hint="eastAsia" w:ascii="Times New Roman" w:hAnsi="Times New Roman" w:eastAsia="宋体" w:cs="Times New Roman"/>
          <w:color w:val="auto"/>
          <w:highlight w:val="none"/>
        </w:rPr>
        <w:t>3</w:t>
      </w:r>
      <w:r>
        <w:rPr>
          <w:rFonts w:hint="eastAsia" w:ascii="Times New Roman" w:hAnsi="Times New Roman" w:eastAsia="宋体" w:cs="Times New Roman"/>
          <w:color w:val="auto"/>
          <w:highlight w:val="none"/>
          <w:lang w:val="en-US" w:eastAsia="zh-CN"/>
        </w:rPr>
        <w:t>5</w:t>
      </w:r>
      <w:r>
        <w:rPr>
          <w:rFonts w:hint="eastAsia" w:ascii="Times New Roman" w:hAnsi="Times New Roman" w:eastAsia="宋体" w:cs="Times New Roman"/>
          <w:color w:val="auto"/>
          <w:highlight w:val="none"/>
        </w:rPr>
        <w:t>.00</w:t>
      </w:r>
      <w:r>
        <w:rPr>
          <w:rFonts w:hint="eastAsia" w:ascii="Times New Roman" w:hAnsi="Times New Roman" w:eastAsia="宋体" w:cs="Times New Roman"/>
          <w:color w:val="auto"/>
          <w:highlight w:val="none"/>
          <w:lang w:val="zh-TW" w:eastAsia="zh-TW"/>
        </w:rPr>
        <w:t>%）</w:t>
      </w:r>
      <w:r>
        <w:rPr>
          <w:rFonts w:hint="eastAsia" w:ascii="Times New Roman" w:hAnsi="Times New Roman" w:eastAsia="宋体" w:cs="Times New Roman"/>
          <w:color w:val="auto"/>
          <w:highlight w:val="none"/>
          <w:lang w:val="en-US" w:eastAsia="zh-CN"/>
        </w:rPr>
        <w:t>等</w:t>
      </w:r>
      <w:r>
        <w:rPr>
          <w:rFonts w:hint="eastAsia" w:ascii="Times New Roman" w:hAnsi="Times New Roman" w:eastAsia="宋体" w:cs="Times New Roman"/>
          <w:color w:val="auto"/>
          <w:highlight w:val="none"/>
          <w:lang w:val="zh-TW" w:eastAsia="zh-TW"/>
        </w:rPr>
        <w:t>四类指标</w:t>
      </w:r>
      <w:r>
        <w:rPr>
          <w:rFonts w:hint="eastAsia" w:ascii="Times New Roman" w:hAnsi="Times New Roman" w:eastAsia="宋体" w:cs="Times New Roman"/>
          <w:color w:val="auto"/>
          <w:highlight w:val="none"/>
          <w:lang w:val="en-US" w:eastAsia="zh-CN"/>
        </w:rPr>
        <w:t>类型和权重</w:t>
      </w:r>
      <w:r>
        <w:rPr>
          <w:rFonts w:hint="eastAsia" w:ascii="Times New Roman" w:hAnsi="Times New Roman" w:eastAsia="宋体" w:cs="Times New Roman"/>
          <w:color w:val="auto"/>
          <w:highlight w:val="none"/>
          <w:lang w:val="zh-TW" w:eastAsia="zh-CN"/>
        </w:rPr>
        <w:t>，</w:t>
      </w:r>
      <w:r>
        <w:rPr>
          <w:rFonts w:hint="eastAsia" w:ascii="Times New Roman" w:hAnsi="Times New Roman" w:eastAsia="宋体" w:cs="Times New Roman"/>
          <w:color w:val="auto"/>
          <w:highlight w:val="none"/>
          <w:lang w:val="en-US" w:eastAsia="zh-CN"/>
        </w:rPr>
        <w:t>二级和三级指标根据各项指标在评价体系中的重要程度确定，考虑项目实施和管理对项目绩效的影响等因素赋予相应的权重分值</w:t>
      </w:r>
      <w:r>
        <w:rPr>
          <w:rFonts w:hint="eastAsia" w:ascii="Times New Roman" w:hAnsi="Times New Roman" w:eastAsia="宋体" w:cs="Times New Roman"/>
          <w:color w:val="auto"/>
          <w:highlight w:val="none"/>
          <w:lang w:val="zh-TW" w:eastAsia="zh-CN"/>
        </w:rPr>
        <w:t>。</w:t>
      </w:r>
      <w:r>
        <w:rPr>
          <w:rFonts w:hint="eastAsia" w:ascii="Times New Roman" w:hAnsi="Times New Roman" w:eastAsia="宋体" w:cs="Times New Roman"/>
          <w:color w:val="auto"/>
          <w:highlight w:val="none"/>
          <w:lang w:val="en-US" w:eastAsia="zh-CN"/>
        </w:rPr>
        <w:t>具体指标分类如下：</w:t>
      </w:r>
    </w:p>
    <w:p w14:paraId="1BD3A861">
      <w:pPr>
        <w:spacing w:before="0" w:after="0" w:line="360" w:lineRule="auto"/>
        <w:ind w:firstLine="420" w:firstLineChars="200"/>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lang w:val="en-US" w:eastAsia="zh-CN"/>
        </w:rPr>
        <w:t>决策指标</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bCs/>
          <w:color w:val="auto"/>
          <w:highlight w:val="none"/>
        </w:rPr>
        <w:t>从项目立项</w:t>
      </w:r>
      <w:r>
        <w:rPr>
          <w:rFonts w:hint="eastAsia" w:ascii="Times New Roman" w:hAnsi="Times New Roman" w:eastAsia="宋体" w:cs="Times New Roman"/>
          <w:bCs/>
          <w:color w:val="auto"/>
          <w:highlight w:val="none"/>
          <w:lang w:eastAsia="zh-CN"/>
        </w:rPr>
        <w:t>、</w:t>
      </w:r>
      <w:r>
        <w:rPr>
          <w:rFonts w:hint="eastAsia" w:ascii="Times New Roman" w:hAnsi="Times New Roman" w:eastAsia="宋体" w:cs="Times New Roman"/>
          <w:bCs/>
          <w:color w:val="auto"/>
          <w:highlight w:val="none"/>
        </w:rPr>
        <w:t>绩效目标</w:t>
      </w:r>
      <w:r>
        <w:rPr>
          <w:rFonts w:hint="eastAsia" w:ascii="Times New Roman" w:hAnsi="Times New Roman" w:eastAsia="宋体" w:cs="Times New Roman"/>
          <w:bCs/>
          <w:color w:val="auto"/>
          <w:highlight w:val="none"/>
          <w:lang w:eastAsia="zh-CN"/>
        </w:rPr>
        <w:t>、</w:t>
      </w:r>
      <w:r>
        <w:rPr>
          <w:rFonts w:hint="eastAsia" w:ascii="Times New Roman" w:hAnsi="Times New Roman" w:eastAsia="宋体" w:cs="Times New Roman"/>
          <w:bCs/>
          <w:color w:val="auto"/>
          <w:highlight w:val="none"/>
        </w:rPr>
        <w:t>资金投入</w:t>
      </w:r>
      <w:r>
        <w:rPr>
          <w:rFonts w:hint="eastAsia" w:ascii="Times New Roman" w:hAnsi="Times New Roman" w:eastAsia="宋体" w:cs="Times New Roman"/>
          <w:bCs/>
          <w:color w:val="auto"/>
          <w:highlight w:val="none"/>
          <w:lang w:val="en-US" w:eastAsia="zh-CN"/>
        </w:rPr>
        <w:t>三个</w:t>
      </w:r>
      <w:r>
        <w:rPr>
          <w:rFonts w:hint="eastAsia" w:ascii="Times New Roman" w:hAnsi="Times New Roman" w:eastAsia="宋体" w:cs="Times New Roman"/>
          <w:bCs/>
          <w:color w:val="auto"/>
          <w:highlight w:val="none"/>
        </w:rPr>
        <w:t>方面对</w:t>
      </w:r>
      <w:r>
        <w:rPr>
          <w:rFonts w:hint="eastAsia" w:ascii="Times New Roman" w:hAnsi="Times New Roman" w:eastAsia="宋体" w:cs="Times New Roman"/>
          <w:bCs/>
          <w:color w:val="auto"/>
          <w:highlight w:val="none"/>
          <w:lang w:val="en-US" w:eastAsia="zh-CN"/>
        </w:rPr>
        <w:t>项目</w:t>
      </w:r>
      <w:r>
        <w:rPr>
          <w:rFonts w:hint="eastAsia" w:ascii="Times New Roman" w:hAnsi="Times New Roman" w:eastAsia="宋体" w:cs="Times New Roman"/>
          <w:bCs/>
          <w:color w:val="auto"/>
          <w:highlight w:val="none"/>
        </w:rPr>
        <w:t>决策情况进行评价，</w:t>
      </w:r>
      <w:r>
        <w:rPr>
          <w:rFonts w:hint="eastAsia" w:ascii="Times New Roman" w:hAnsi="Times New Roman" w:eastAsia="宋体" w:cs="Times New Roman"/>
          <w:bCs/>
          <w:color w:val="auto"/>
          <w:highlight w:val="none"/>
          <w:lang w:val="en-US" w:eastAsia="zh-CN"/>
        </w:rPr>
        <w:t>设置了包括</w:t>
      </w:r>
      <w:r>
        <w:rPr>
          <w:rFonts w:hint="eastAsia" w:ascii="Times New Roman" w:hAnsi="Times New Roman" w:eastAsia="宋体" w:cs="Times New Roman"/>
          <w:color w:val="auto"/>
          <w:highlight w:val="none"/>
        </w:rPr>
        <w:t>A11立项依据充分性、A12立项程序规范性、A21绩效目标合理性、A22绩效指标明确性、A31预算编制科学性、A32资金分配合理性</w:t>
      </w:r>
      <w:r>
        <w:rPr>
          <w:rFonts w:hint="eastAsia" w:ascii="Times New Roman" w:hAnsi="Times New Roman" w:eastAsia="宋体" w:cs="Times New Roman"/>
          <w:color w:val="auto"/>
          <w:highlight w:val="none"/>
          <w:lang w:val="en-US" w:eastAsia="zh-CN"/>
        </w:rPr>
        <w:t>等</w:t>
      </w:r>
      <w:r>
        <w:rPr>
          <w:rFonts w:hint="eastAsia" w:ascii="Times New Roman" w:hAnsi="Times New Roman" w:eastAsia="宋体" w:cs="Times New Roman"/>
          <w:bCs/>
          <w:color w:val="auto"/>
          <w:highlight w:val="none"/>
          <w:lang w:val="en-US" w:eastAsia="zh-CN"/>
        </w:rPr>
        <w:t>6</w:t>
      </w:r>
      <w:r>
        <w:rPr>
          <w:rFonts w:hint="eastAsia" w:ascii="Times New Roman" w:hAnsi="Times New Roman" w:eastAsia="宋体" w:cs="Times New Roman"/>
          <w:bCs/>
          <w:color w:val="auto"/>
          <w:highlight w:val="none"/>
        </w:rPr>
        <w:t>个三级指标</w:t>
      </w:r>
      <w:r>
        <w:rPr>
          <w:rFonts w:hint="eastAsia" w:ascii="Times New Roman" w:hAnsi="Times New Roman" w:eastAsia="宋体" w:cs="Times New Roman"/>
          <w:color w:val="auto"/>
          <w:highlight w:val="none"/>
          <w:lang w:eastAsia="zh-CN"/>
        </w:rPr>
        <w:t>。</w:t>
      </w:r>
    </w:p>
    <w:p w14:paraId="162DE4F7">
      <w:pPr>
        <w:spacing w:before="0" w:after="0" w:line="360" w:lineRule="auto"/>
        <w:ind w:firstLine="420" w:firstLineChars="200"/>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lang w:val="en-US" w:eastAsia="zh-CN"/>
        </w:rPr>
        <w:t>过程指标：</w:t>
      </w:r>
      <w:r>
        <w:rPr>
          <w:rFonts w:hint="eastAsia" w:ascii="Times New Roman" w:hAnsi="Times New Roman" w:eastAsia="宋体" w:cs="Times New Roman"/>
          <w:bCs/>
          <w:color w:val="auto"/>
          <w:highlight w:val="none"/>
        </w:rPr>
        <w:t>从</w:t>
      </w:r>
      <w:r>
        <w:rPr>
          <w:rFonts w:hint="eastAsia" w:ascii="Times New Roman" w:hAnsi="Times New Roman" w:eastAsia="宋体" w:cs="Times New Roman"/>
          <w:bCs/>
          <w:color w:val="auto"/>
          <w:highlight w:val="none"/>
          <w:lang w:val="en-US" w:eastAsia="zh-CN"/>
        </w:rPr>
        <w:t>资金管理和组织实施两个方面</w:t>
      </w:r>
      <w:r>
        <w:rPr>
          <w:rFonts w:hint="eastAsia" w:ascii="Times New Roman" w:hAnsi="Times New Roman" w:eastAsia="宋体" w:cs="Times New Roman"/>
          <w:bCs/>
          <w:color w:val="auto"/>
          <w:highlight w:val="none"/>
        </w:rPr>
        <w:t>评价</w:t>
      </w:r>
      <w:r>
        <w:rPr>
          <w:rFonts w:hint="eastAsia" w:ascii="Times New Roman" w:hAnsi="Times New Roman" w:eastAsia="宋体" w:cs="Times New Roman"/>
          <w:bCs/>
          <w:color w:val="auto"/>
          <w:highlight w:val="none"/>
          <w:lang w:val="en-US" w:eastAsia="zh-CN"/>
        </w:rPr>
        <w:t>项目实施过程</w:t>
      </w:r>
      <w:r>
        <w:rPr>
          <w:rFonts w:hint="eastAsia" w:ascii="Times New Roman" w:hAnsi="Times New Roman" w:eastAsia="宋体" w:cs="Times New Roman"/>
          <w:bCs/>
          <w:color w:val="auto"/>
          <w:highlight w:val="none"/>
        </w:rPr>
        <w:t>情况，</w:t>
      </w:r>
      <w:r>
        <w:rPr>
          <w:rFonts w:hint="eastAsia" w:ascii="Times New Roman" w:hAnsi="Times New Roman" w:eastAsia="宋体" w:cs="Times New Roman"/>
          <w:bCs/>
          <w:color w:val="auto"/>
          <w:highlight w:val="none"/>
          <w:lang w:val="en-US" w:eastAsia="zh-CN"/>
        </w:rPr>
        <w:t>设置了包括</w:t>
      </w:r>
      <w:r>
        <w:rPr>
          <w:rFonts w:hint="eastAsia" w:ascii="Times New Roman" w:hAnsi="Times New Roman" w:eastAsia="宋体" w:cs="Times New Roman"/>
          <w:color w:val="auto"/>
          <w:highlight w:val="none"/>
        </w:rPr>
        <w:t>B11资金到位率、B12预算执行率、B13资金使用合规性、B21管理制度健全性、B22制度执行有效性</w:t>
      </w:r>
      <w:r>
        <w:rPr>
          <w:rFonts w:hint="eastAsia" w:ascii="Times New Roman" w:hAnsi="Times New Roman" w:eastAsia="宋体" w:cs="Times New Roman"/>
          <w:color w:val="auto"/>
          <w:highlight w:val="none"/>
          <w:lang w:val="en-US" w:eastAsia="zh-CN"/>
        </w:rPr>
        <w:t>等</w:t>
      </w:r>
      <w:r>
        <w:rPr>
          <w:rFonts w:hint="eastAsia" w:ascii="Times New Roman" w:hAnsi="Times New Roman" w:eastAsia="宋体" w:cs="Times New Roman"/>
          <w:bCs/>
          <w:color w:val="auto"/>
          <w:highlight w:val="none"/>
          <w:lang w:val="en-US" w:eastAsia="zh-CN"/>
        </w:rPr>
        <w:t>5</w:t>
      </w:r>
      <w:r>
        <w:rPr>
          <w:rFonts w:hint="eastAsia" w:ascii="Times New Roman" w:hAnsi="Times New Roman" w:eastAsia="宋体" w:cs="Times New Roman"/>
          <w:bCs/>
          <w:color w:val="auto"/>
          <w:highlight w:val="none"/>
        </w:rPr>
        <w:t>个三级指标</w:t>
      </w:r>
      <w:r>
        <w:rPr>
          <w:rFonts w:hint="eastAsia" w:ascii="Times New Roman" w:hAnsi="Times New Roman" w:eastAsia="宋体" w:cs="Times New Roman"/>
          <w:color w:val="auto"/>
          <w:highlight w:val="none"/>
          <w:lang w:eastAsia="zh-CN"/>
        </w:rPr>
        <w:t>。</w:t>
      </w:r>
    </w:p>
    <w:p w14:paraId="58611BA1">
      <w:pPr>
        <w:keepNext w:val="0"/>
        <w:keepLines w:val="0"/>
        <w:pageBreakBefore w:val="0"/>
        <w:widowControl w:val="0"/>
        <w:kinsoku/>
        <w:wordWrap/>
        <w:overflowPunct/>
        <w:topLinePunct w:val="0"/>
        <w:autoSpaceDE/>
        <w:autoSpaceDN/>
        <w:bidi w:val="0"/>
        <w:adjustRightInd w:val="0"/>
        <w:snapToGrid w:val="0"/>
        <w:spacing w:before="0" w:after="0" w:line="360" w:lineRule="auto"/>
        <w:ind w:firstLine="420" w:firstLineChars="200"/>
        <w:textAlignment w:val="auto"/>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rPr>
        <w:t>产出指标</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bCs/>
          <w:color w:val="auto"/>
          <w:highlight w:val="none"/>
        </w:rPr>
        <w:t>从</w:t>
      </w:r>
      <w:r>
        <w:rPr>
          <w:rFonts w:hint="eastAsia" w:ascii="Times New Roman" w:hAnsi="Times New Roman" w:eastAsia="宋体" w:cs="Times New Roman"/>
          <w:bCs/>
          <w:color w:val="auto"/>
          <w:highlight w:val="none"/>
          <w:lang w:val="en-US" w:eastAsia="zh-CN"/>
        </w:rPr>
        <w:t>数量、质量、时效、成本四</w:t>
      </w:r>
      <w:r>
        <w:rPr>
          <w:rFonts w:hint="eastAsia" w:ascii="Times New Roman" w:hAnsi="Times New Roman" w:eastAsia="宋体" w:cs="Times New Roman"/>
          <w:bCs/>
          <w:color w:val="auto"/>
          <w:highlight w:val="none"/>
        </w:rPr>
        <w:t>方面</w:t>
      </w:r>
      <w:r>
        <w:rPr>
          <w:rFonts w:hint="eastAsia" w:ascii="Times New Roman" w:hAnsi="Times New Roman" w:eastAsia="宋体" w:cs="Times New Roman"/>
          <w:bCs/>
          <w:color w:val="auto"/>
          <w:highlight w:val="none"/>
          <w:lang w:val="en-US" w:eastAsia="zh-CN"/>
        </w:rPr>
        <w:t>评价项目实施完成后的产出</w:t>
      </w:r>
      <w:r>
        <w:rPr>
          <w:rFonts w:hint="eastAsia" w:ascii="Times New Roman" w:hAnsi="Times New Roman" w:eastAsia="宋体" w:cs="Times New Roman"/>
          <w:bCs/>
          <w:color w:val="auto"/>
          <w:highlight w:val="none"/>
        </w:rPr>
        <w:t>情况，</w:t>
      </w:r>
      <w:r>
        <w:rPr>
          <w:rFonts w:hint="eastAsia" w:ascii="Times New Roman" w:hAnsi="Times New Roman" w:eastAsia="宋体" w:cs="Times New Roman"/>
          <w:bCs/>
          <w:color w:val="auto"/>
          <w:highlight w:val="none"/>
          <w:lang w:val="en-US" w:eastAsia="zh-CN"/>
        </w:rPr>
        <w:t>设置了包括</w:t>
      </w:r>
      <w:r>
        <w:rPr>
          <w:rFonts w:hint="eastAsia" w:ascii="Times New Roman" w:hAnsi="Times New Roman" w:eastAsia="宋体" w:cs="Times New Roman"/>
          <w:color w:val="auto"/>
          <w:highlight w:val="none"/>
          <w:lang w:eastAsia="zh-CN"/>
        </w:rPr>
        <w:t>C11农村公路养护里程</w:t>
      </w:r>
      <w:r>
        <w:rPr>
          <w:rFonts w:hint="eastAsia" w:ascii="Times New Roman" w:hAnsi="Times New Roman" w:eastAsia="宋体" w:cs="Times New Roman"/>
          <w:color w:val="auto"/>
          <w:highlight w:val="none"/>
          <w:lang w:val="en-US" w:eastAsia="zh-CN"/>
        </w:rPr>
        <w:t>、C12养护公路条数、C21公路养护工程合格率、C31项目开工及时率、C32项目完工及时率、C41工程建安成本控制率等6个三级指标。</w:t>
      </w:r>
    </w:p>
    <w:p w14:paraId="5908278B">
      <w:pPr>
        <w:keepNext w:val="0"/>
        <w:keepLines w:val="0"/>
        <w:pageBreakBefore w:val="0"/>
        <w:widowControl w:val="0"/>
        <w:kinsoku/>
        <w:wordWrap/>
        <w:overflowPunct/>
        <w:topLinePunct w:val="0"/>
        <w:autoSpaceDE/>
        <w:autoSpaceDN/>
        <w:bidi w:val="0"/>
        <w:adjustRightInd w:val="0"/>
        <w:snapToGrid w:val="0"/>
        <w:spacing w:before="0" w:after="0" w:line="360" w:lineRule="auto"/>
        <w:ind w:firstLine="420" w:firstLineChars="200"/>
        <w:textAlignment w:val="auto"/>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效益指标：设置了包括：D11保障出行安全，降低交通风险、D21改善乡村生活环境、D31受益社会公众满意度等3个三级指标。</w:t>
      </w:r>
    </w:p>
    <w:p w14:paraId="3935082F">
      <w:pPr>
        <w:spacing w:line="360" w:lineRule="auto"/>
        <w:ind w:firstLine="641" w:firstLineChars="0"/>
        <w:rPr>
          <w:rFonts w:hint="eastAsia" w:ascii="Times New Roman" w:hAnsi="Times New Roman" w:eastAsia="宋体" w:cs="Times New Roman"/>
          <w:b/>
          <w:bCs/>
          <w:color w:val="auto"/>
          <w:kern w:val="0"/>
          <w:sz w:val="24"/>
          <w:szCs w:val="32"/>
          <w:highlight w:val="none"/>
          <w:lang w:val="en-US" w:eastAsia="zh-CN"/>
        </w:rPr>
      </w:pPr>
      <w:bookmarkStart w:id="69" w:name="_Toc1611231850"/>
      <w:r>
        <w:rPr>
          <w:rFonts w:hint="eastAsia" w:ascii="Times New Roman" w:hAnsi="Times New Roman" w:eastAsia="宋体" w:cs="Times New Roman"/>
          <w:b/>
          <w:bCs/>
          <w:color w:val="auto"/>
          <w:kern w:val="0"/>
          <w:sz w:val="24"/>
          <w:szCs w:val="32"/>
          <w:highlight w:val="none"/>
          <w:lang w:val="en-US" w:eastAsia="zh-CN"/>
        </w:rPr>
        <w:t>（七）绩效评价工作过程</w:t>
      </w:r>
      <w:bookmarkEnd w:id="68"/>
      <w:bookmarkEnd w:id="69"/>
    </w:p>
    <w:p w14:paraId="485FCF9A">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我们接受委托，按规定开展了前期准备、制定绩效评价工作方案、组织实施、报告撰写等绩效评价工作程序。绩效评价从202</w:t>
      </w:r>
      <w:r>
        <w:rPr>
          <w:rFonts w:hint="eastAsia" w:ascii="Times New Roman" w:hAnsi="Times New Roman" w:eastAsia="宋体" w:cs="Times New Roman"/>
          <w:color w:val="auto"/>
          <w:highlight w:val="none"/>
          <w:lang w:val="en-US" w:eastAsia="zh-CN"/>
        </w:rPr>
        <w:t>5</w:t>
      </w:r>
      <w:r>
        <w:rPr>
          <w:rFonts w:hint="eastAsia" w:ascii="Times New Roman" w:hAnsi="Times New Roman" w:eastAsia="宋体" w:cs="Times New Roman"/>
          <w:color w:val="auto"/>
          <w:highlight w:val="none"/>
        </w:rPr>
        <w:t>年</w:t>
      </w:r>
      <w:r>
        <w:rPr>
          <w:rFonts w:hint="eastAsia" w:ascii="Times New Roman" w:hAnsi="Times New Roman" w:eastAsia="宋体" w:cs="Times New Roman"/>
          <w:color w:val="auto"/>
          <w:highlight w:val="none"/>
          <w:lang w:val="en-US" w:eastAsia="zh-CN"/>
        </w:rPr>
        <w:t>7</w:t>
      </w:r>
      <w:r>
        <w:rPr>
          <w:rFonts w:hint="eastAsia" w:ascii="Times New Roman" w:hAnsi="Times New Roman" w:eastAsia="宋体" w:cs="Times New Roman"/>
          <w:color w:val="auto"/>
          <w:highlight w:val="none"/>
        </w:rPr>
        <w:t>月</w:t>
      </w:r>
      <w:r>
        <w:rPr>
          <w:rFonts w:hint="eastAsia" w:ascii="Times New Roman" w:hAnsi="Times New Roman" w:eastAsia="宋体" w:cs="Times New Roman"/>
          <w:color w:val="auto"/>
          <w:highlight w:val="none"/>
          <w:lang w:val="en-US" w:eastAsia="zh-CN"/>
        </w:rPr>
        <w:t>1</w:t>
      </w:r>
      <w:r>
        <w:rPr>
          <w:rFonts w:hint="eastAsia" w:ascii="Times New Roman" w:hAnsi="Times New Roman" w:eastAsia="宋体" w:cs="Times New Roman"/>
          <w:color w:val="auto"/>
          <w:highlight w:val="none"/>
        </w:rPr>
        <w:t>日启动，在各方有效配合下，评价工作于202</w:t>
      </w:r>
      <w:r>
        <w:rPr>
          <w:rFonts w:hint="eastAsia" w:ascii="Times New Roman" w:hAnsi="Times New Roman" w:eastAsia="宋体" w:cs="Times New Roman"/>
          <w:color w:val="auto"/>
          <w:highlight w:val="none"/>
          <w:lang w:val="en-US" w:eastAsia="zh-CN"/>
        </w:rPr>
        <w:t>5</w:t>
      </w:r>
      <w:r>
        <w:rPr>
          <w:rFonts w:hint="eastAsia" w:ascii="Times New Roman" w:hAnsi="Times New Roman" w:eastAsia="宋体" w:cs="Times New Roman"/>
          <w:color w:val="auto"/>
          <w:highlight w:val="none"/>
        </w:rPr>
        <w:t>年</w:t>
      </w:r>
      <w:r>
        <w:rPr>
          <w:rFonts w:hint="eastAsia" w:ascii="Times New Roman" w:hAnsi="Times New Roman" w:eastAsia="宋体" w:cs="Times New Roman"/>
          <w:color w:val="auto"/>
          <w:highlight w:val="none"/>
          <w:lang w:val="en-US" w:eastAsia="zh-CN"/>
        </w:rPr>
        <w:t>8</w:t>
      </w:r>
      <w:r>
        <w:rPr>
          <w:rFonts w:hint="eastAsia" w:ascii="Times New Roman" w:hAnsi="Times New Roman" w:eastAsia="宋体" w:cs="Times New Roman"/>
          <w:color w:val="auto"/>
          <w:highlight w:val="none"/>
        </w:rPr>
        <w:t>月</w:t>
      </w:r>
      <w:r>
        <w:rPr>
          <w:rFonts w:hint="eastAsia" w:ascii="Times New Roman" w:hAnsi="Times New Roman" w:eastAsia="宋体" w:cs="Times New Roman"/>
          <w:color w:val="auto"/>
          <w:highlight w:val="none"/>
          <w:lang w:val="en-US" w:eastAsia="zh-CN"/>
        </w:rPr>
        <w:t>30</w:t>
      </w:r>
      <w:r>
        <w:rPr>
          <w:rFonts w:hint="eastAsia" w:ascii="Times New Roman" w:hAnsi="Times New Roman" w:eastAsia="宋体" w:cs="Times New Roman"/>
          <w:color w:val="auto"/>
          <w:highlight w:val="none"/>
        </w:rPr>
        <w:t>日前完成。主要实施过程如下：</w:t>
      </w:r>
    </w:p>
    <w:p w14:paraId="7ECCE717">
      <w:pPr>
        <w:pStyle w:val="6"/>
        <w:pageBreakBefore w:val="0"/>
        <w:widowControl w:val="0"/>
        <w:kinsoku/>
        <w:wordWrap/>
        <w:overflowPunct/>
        <w:topLinePunct w:val="0"/>
        <w:autoSpaceDE/>
        <w:autoSpaceDN/>
        <w:bidi w:val="0"/>
        <w:adjustRightInd w:val="0"/>
        <w:snapToGrid w:val="0"/>
        <w:spacing w:line="360" w:lineRule="auto"/>
        <w:ind w:firstLine="641"/>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1.前期准备</w:t>
      </w:r>
    </w:p>
    <w:p w14:paraId="67F47483">
      <w:pPr>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Times New Roman" w:hAnsi="Times New Roman" w:eastAsia="宋体" w:cs="Times New Roman"/>
          <w:b/>
          <w:bCs w:val="0"/>
          <w:color w:val="auto"/>
          <w:highlight w:val="none"/>
        </w:rPr>
      </w:pPr>
      <w:r>
        <w:rPr>
          <w:rFonts w:hint="eastAsia" w:ascii="Times New Roman" w:hAnsi="Times New Roman" w:eastAsia="宋体" w:cs="Times New Roman"/>
          <w:bCs/>
          <w:color w:val="auto"/>
          <w:highlight w:val="none"/>
          <w:lang w:eastAsia="zh-CN"/>
        </w:rPr>
        <w:t>（</w:t>
      </w:r>
      <w:r>
        <w:rPr>
          <w:rFonts w:hint="eastAsia" w:ascii="Times New Roman" w:hAnsi="Times New Roman" w:eastAsia="宋体" w:cs="Times New Roman"/>
          <w:bCs/>
          <w:color w:val="auto"/>
          <w:highlight w:val="none"/>
          <w:lang w:val="en-US" w:eastAsia="zh-CN"/>
        </w:rPr>
        <w:t>1</w:t>
      </w:r>
      <w:r>
        <w:rPr>
          <w:rFonts w:hint="eastAsia" w:ascii="Times New Roman" w:hAnsi="Times New Roman" w:eastAsia="宋体" w:cs="Times New Roman"/>
          <w:bCs/>
          <w:color w:val="auto"/>
          <w:highlight w:val="none"/>
          <w:lang w:eastAsia="zh-CN"/>
        </w:rPr>
        <w:t>）</w:t>
      </w:r>
      <w:r>
        <w:rPr>
          <w:rFonts w:hint="eastAsia" w:ascii="Times New Roman" w:hAnsi="Times New Roman" w:eastAsia="宋体" w:cs="Times New Roman"/>
          <w:color w:val="auto"/>
          <w:highlight w:val="none"/>
        </w:rPr>
        <w:t>根据该项目的基本情况，我单位组织人员收集绩效评价所需资料，经调研分析确定绩效评价目的、评价对象和范围、评价期限</w:t>
      </w:r>
      <w:r>
        <w:rPr>
          <w:rFonts w:hint="eastAsia" w:ascii="Times New Roman" w:hAnsi="Times New Roman" w:eastAsia="宋体" w:cs="Times New Roman"/>
          <w:color w:val="auto"/>
          <w:highlight w:val="none"/>
          <w:lang w:val="en-US" w:eastAsia="zh-CN"/>
        </w:rPr>
        <w:t>等</w:t>
      </w:r>
      <w:r>
        <w:rPr>
          <w:rFonts w:hint="eastAsia" w:ascii="Times New Roman" w:hAnsi="Times New Roman" w:eastAsia="宋体" w:cs="Times New Roman"/>
          <w:color w:val="auto"/>
          <w:highlight w:val="none"/>
        </w:rPr>
        <w:t>。</w:t>
      </w:r>
    </w:p>
    <w:p w14:paraId="7F745DA6">
      <w:pPr>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2</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成立绩效评价小组。</w:t>
      </w:r>
      <w:r>
        <w:rPr>
          <w:rFonts w:hint="eastAsia" w:ascii="Times New Roman" w:hAnsi="Times New Roman" w:eastAsia="宋体" w:cs="Times New Roman"/>
          <w:color w:val="auto"/>
          <w:highlight w:val="none"/>
          <w:lang w:val="en-US" w:eastAsia="zh-CN"/>
        </w:rPr>
        <w:t>绩效评价小组</w:t>
      </w:r>
      <w:r>
        <w:rPr>
          <w:rFonts w:hint="eastAsia" w:ascii="Times New Roman" w:hAnsi="Times New Roman" w:eastAsia="宋体" w:cs="Times New Roman"/>
          <w:color w:val="auto"/>
          <w:highlight w:val="none"/>
        </w:rPr>
        <w:t>实行组长负责制，项目总负责人统筹全盘工作，</w:t>
      </w:r>
      <w:r>
        <w:rPr>
          <w:rFonts w:hint="eastAsia" w:ascii="Times New Roman" w:hAnsi="Times New Roman" w:eastAsia="宋体" w:cs="Times New Roman"/>
          <w:b w:val="0"/>
          <w:bCs w:val="0"/>
          <w:color w:val="auto"/>
          <w:highlight w:val="none"/>
        </w:rPr>
        <w:t>对</w:t>
      </w:r>
      <w:r>
        <w:rPr>
          <w:rFonts w:hint="eastAsia" w:ascii="Times New Roman" w:hAnsi="Times New Roman" w:eastAsia="宋体" w:cs="Times New Roman"/>
          <w:b w:val="0"/>
          <w:bCs w:val="0"/>
          <w:color w:val="auto"/>
          <w:highlight w:val="none"/>
          <w:lang w:val="en-US" w:eastAsia="zh-CN"/>
        </w:rPr>
        <w:t>绩效评价</w:t>
      </w:r>
      <w:r>
        <w:rPr>
          <w:rFonts w:hint="eastAsia" w:ascii="Times New Roman" w:hAnsi="Times New Roman" w:eastAsia="宋体" w:cs="Times New Roman"/>
          <w:b w:val="0"/>
          <w:bCs w:val="0"/>
          <w:color w:val="auto"/>
          <w:highlight w:val="none"/>
        </w:rPr>
        <w:t>工作提供技术指导与支持，</w:t>
      </w:r>
      <w:r>
        <w:rPr>
          <w:rFonts w:hint="eastAsia" w:ascii="Times New Roman" w:hAnsi="Times New Roman" w:eastAsia="宋体" w:cs="Times New Roman"/>
          <w:b w:val="0"/>
          <w:bCs w:val="0"/>
          <w:color w:val="auto"/>
          <w:highlight w:val="none"/>
          <w:lang w:val="en-US" w:eastAsia="zh-CN"/>
        </w:rPr>
        <w:t>报告稽核人</w:t>
      </w:r>
      <w:r>
        <w:rPr>
          <w:rFonts w:hint="eastAsia" w:ascii="Times New Roman" w:hAnsi="Times New Roman" w:eastAsia="宋体" w:cs="Times New Roman"/>
          <w:b w:val="0"/>
          <w:bCs w:val="0"/>
          <w:color w:val="auto"/>
          <w:highlight w:val="none"/>
        </w:rPr>
        <w:t>对评价工作质量把关，并负责报告数据审核验收、报告撰写指导、报告验收等技术工作；绩效评价组成员计划安排</w:t>
      </w:r>
      <w:r>
        <w:rPr>
          <w:rFonts w:hint="eastAsia" w:ascii="Times New Roman" w:hAnsi="Times New Roman" w:eastAsia="宋体" w:cs="Times New Roman"/>
          <w:b w:val="0"/>
          <w:bCs w:val="0"/>
          <w:color w:val="auto"/>
          <w:highlight w:val="none"/>
          <w:lang w:val="en-US" w:eastAsia="zh-CN"/>
        </w:rPr>
        <w:t>2</w:t>
      </w:r>
      <w:r>
        <w:rPr>
          <w:rFonts w:hint="eastAsia" w:ascii="Times New Roman" w:hAnsi="Times New Roman" w:eastAsia="宋体" w:cs="Times New Roman"/>
          <w:b w:val="0"/>
          <w:bCs w:val="0"/>
          <w:color w:val="auto"/>
          <w:highlight w:val="none"/>
        </w:rPr>
        <w:t>人，完成现场调研、资料收集和检</w:t>
      </w:r>
      <w:r>
        <w:rPr>
          <w:rFonts w:hint="eastAsia" w:ascii="Times New Roman" w:hAnsi="Times New Roman" w:eastAsia="宋体" w:cs="Times New Roman"/>
          <w:color w:val="auto"/>
          <w:highlight w:val="none"/>
        </w:rPr>
        <w:t>查、项目相关人员访谈、问题清单整理、数据整理、撰写报告等工作</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具体成员及职责分工如下：</w:t>
      </w:r>
    </w:p>
    <w:p w14:paraId="4F4C08A0">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color w:val="auto"/>
          <w:kern w:val="0"/>
          <w:sz w:val="21"/>
          <w:szCs w:val="21"/>
          <w:highlight w:val="none"/>
          <w:lang w:bidi="ar"/>
        </w:rPr>
      </w:pPr>
      <w:r>
        <w:rPr>
          <w:rFonts w:hint="default" w:ascii="Times New Roman" w:hAnsi="Times New Roman" w:eastAsia="宋体" w:cs="Times New Roman"/>
          <w:b/>
          <w:color w:val="auto"/>
          <w:kern w:val="0"/>
          <w:sz w:val="21"/>
          <w:szCs w:val="21"/>
          <w:highlight w:val="none"/>
          <w:lang w:bidi="ar"/>
        </w:rPr>
        <w:br w:type="page"/>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557"/>
        <w:gridCol w:w="881"/>
        <w:gridCol w:w="1356"/>
        <w:gridCol w:w="1616"/>
        <w:gridCol w:w="3926"/>
      </w:tblGrid>
      <w:tr w14:paraId="7894F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Header/>
          <w:jc w:val="center"/>
        </w:trPr>
        <w:tc>
          <w:tcPr>
            <w:tcW w:w="334" w:type="pct"/>
            <w:noWrap w:val="0"/>
            <w:vAlign w:val="center"/>
          </w:tcPr>
          <w:p w14:paraId="3E5AF7DB">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color w:val="auto"/>
                <w:sz w:val="21"/>
                <w:szCs w:val="21"/>
                <w:highlight w:val="none"/>
                <w:lang w:eastAsia="en-US"/>
              </w:rPr>
            </w:pPr>
            <w:r>
              <w:rPr>
                <w:rFonts w:hint="default" w:ascii="Times New Roman" w:hAnsi="Times New Roman" w:eastAsia="宋体" w:cs="Times New Roman"/>
                <w:b/>
                <w:color w:val="auto"/>
                <w:kern w:val="0"/>
                <w:sz w:val="21"/>
                <w:szCs w:val="21"/>
                <w:highlight w:val="none"/>
                <w:lang w:bidi="ar"/>
              </w:rPr>
              <w:t>序号</w:t>
            </w:r>
          </w:p>
        </w:tc>
        <w:tc>
          <w:tcPr>
            <w:tcW w:w="528" w:type="pct"/>
            <w:noWrap w:val="0"/>
            <w:vAlign w:val="center"/>
          </w:tcPr>
          <w:p w14:paraId="29F9E051">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color w:val="auto"/>
                <w:sz w:val="21"/>
                <w:szCs w:val="21"/>
                <w:highlight w:val="none"/>
                <w:lang w:eastAsia="en-US"/>
              </w:rPr>
            </w:pPr>
            <w:r>
              <w:rPr>
                <w:rFonts w:hint="default" w:ascii="Times New Roman" w:hAnsi="Times New Roman" w:eastAsia="宋体" w:cs="Times New Roman"/>
                <w:b/>
                <w:color w:val="auto"/>
                <w:kern w:val="0"/>
                <w:sz w:val="21"/>
                <w:szCs w:val="21"/>
                <w:highlight w:val="none"/>
                <w:lang w:bidi="ar"/>
              </w:rPr>
              <w:t>姓名</w:t>
            </w:r>
          </w:p>
        </w:tc>
        <w:tc>
          <w:tcPr>
            <w:tcW w:w="813" w:type="pct"/>
            <w:noWrap w:val="0"/>
            <w:vAlign w:val="center"/>
          </w:tcPr>
          <w:p w14:paraId="65A88389">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rPr>
              <w:t>项目角色</w:t>
            </w:r>
          </w:p>
        </w:tc>
        <w:tc>
          <w:tcPr>
            <w:tcW w:w="969" w:type="pct"/>
            <w:noWrap w:val="0"/>
            <w:vAlign w:val="center"/>
          </w:tcPr>
          <w:p w14:paraId="623BADCC">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color w:val="auto"/>
                <w:sz w:val="21"/>
                <w:szCs w:val="21"/>
                <w:highlight w:val="none"/>
                <w:lang w:eastAsia="en-US"/>
              </w:rPr>
            </w:pPr>
            <w:r>
              <w:rPr>
                <w:rFonts w:hint="default" w:ascii="Times New Roman" w:hAnsi="Times New Roman" w:eastAsia="宋体" w:cs="Times New Roman"/>
                <w:b/>
                <w:color w:val="auto"/>
                <w:kern w:val="0"/>
                <w:sz w:val="21"/>
                <w:szCs w:val="21"/>
                <w:highlight w:val="none"/>
                <w:lang w:bidi="ar"/>
              </w:rPr>
              <w:t>资质或公司职位</w:t>
            </w:r>
          </w:p>
        </w:tc>
        <w:tc>
          <w:tcPr>
            <w:tcW w:w="2354" w:type="pct"/>
            <w:noWrap w:val="0"/>
            <w:vAlign w:val="center"/>
          </w:tcPr>
          <w:p w14:paraId="0E976016">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color w:val="auto"/>
                <w:kern w:val="0"/>
                <w:sz w:val="21"/>
                <w:szCs w:val="21"/>
                <w:highlight w:val="none"/>
                <w:lang w:bidi="ar"/>
              </w:rPr>
            </w:pPr>
            <w:r>
              <w:rPr>
                <w:rFonts w:hint="default" w:ascii="Times New Roman" w:hAnsi="Times New Roman" w:eastAsia="宋体" w:cs="Times New Roman"/>
                <w:b/>
                <w:color w:val="auto"/>
                <w:kern w:val="0"/>
                <w:sz w:val="21"/>
                <w:szCs w:val="21"/>
                <w:highlight w:val="none"/>
                <w:lang w:bidi="ar"/>
              </w:rPr>
              <w:t>主要职责</w:t>
            </w:r>
          </w:p>
        </w:tc>
      </w:tr>
      <w:tr w14:paraId="4C2F3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05" w:hRule="atLeast"/>
          <w:jc w:val="center"/>
        </w:trPr>
        <w:tc>
          <w:tcPr>
            <w:tcW w:w="334" w:type="pct"/>
            <w:noWrap w:val="0"/>
            <w:vAlign w:val="center"/>
          </w:tcPr>
          <w:p w14:paraId="1895ED1E">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1</w:t>
            </w:r>
          </w:p>
        </w:tc>
        <w:tc>
          <w:tcPr>
            <w:tcW w:w="528" w:type="pct"/>
            <w:noWrap w:val="0"/>
            <w:vAlign w:val="center"/>
          </w:tcPr>
          <w:p w14:paraId="5DCD0AC7">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Cs/>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冯延萍</w:t>
            </w:r>
          </w:p>
        </w:tc>
        <w:tc>
          <w:tcPr>
            <w:tcW w:w="813" w:type="pct"/>
            <w:noWrap w:val="0"/>
            <w:vAlign w:val="center"/>
          </w:tcPr>
          <w:p w14:paraId="526D878B">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主评人</w:t>
            </w:r>
          </w:p>
        </w:tc>
        <w:tc>
          <w:tcPr>
            <w:tcW w:w="969" w:type="pct"/>
            <w:noWrap w:val="0"/>
            <w:vAlign w:val="center"/>
          </w:tcPr>
          <w:p w14:paraId="4E989DE7">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注册会计师、中级会计师</w:t>
            </w:r>
          </w:p>
        </w:tc>
        <w:tc>
          <w:tcPr>
            <w:tcW w:w="2354" w:type="pct"/>
            <w:noWrap w:val="0"/>
            <w:vAlign w:val="center"/>
          </w:tcPr>
          <w:p w14:paraId="3E6BB965">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bCs/>
                <w:snapToGrid w:val="0"/>
                <w:color w:val="auto"/>
                <w:sz w:val="21"/>
                <w:szCs w:val="21"/>
                <w:highlight w:val="none"/>
              </w:rPr>
              <w:t>负责项目总体计划的审批，项目重大风险的整体把握，对整体检查工作进行全面技术把关和指导，以保证评价工作按时按质完成；对整体项目评价结论进行最终复核。</w:t>
            </w:r>
          </w:p>
        </w:tc>
      </w:tr>
      <w:tr w14:paraId="40895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32CEB4E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2</w:t>
            </w:r>
          </w:p>
        </w:tc>
        <w:tc>
          <w:tcPr>
            <w:tcW w:w="528" w:type="pct"/>
            <w:noWrap w:val="0"/>
            <w:vAlign w:val="center"/>
          </w:tcPr>
          <w:p w14:paraId="099F8994">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腊晓林</w:t>
            </w:r>
          </w:p>
        </w:tc>
        <w:tc>
          <w:tcPr>
            <w:tcW w:w="813" w:type="pct"/>
            <w:noWrap w:val="0"/>
            <w:vAlign w:val="center"/>
          </w:tcPr>
          <w:p w14:paraId="35B3999B">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报告复核人</w:t>
            </w:r>
          </w:p>
        </w:tc>
        <w:tc>
          <w:tcPr>
            <w:tcW w:w="969" w:type="pct"/>
            <w:noWrap w:val="0"/>
            <w:vAlign w:val="center"/>
          </w:tcPr>
          <w:p w14:paraId="639DDB56">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咨询工程师</w:t>
            </w:r>
          </w:p>
        </w:tc>
        <w:tc>
          <w:tcPr>
            <w:tcW w:w="2354" w:type="pct"/>
            <w:noWrap w:val="0"/>
            <w:vAlign w:val="center"/>
          </w:tcPr>
          <w:p w14:paraId="75A4DCAB">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宋体" w:cs="Times New Roman"/>
                <w:bCs/>
                <w:snapToGrid w:val="0"/>
                <w:color w:val="auto"/>
                <w:sz w:val="21"/>
                <w:szCs w:val="21"/>
                <w:highlight w:val="none"/>
                <w:lang w:val="en-US" w:eastAsia="zh-CN"/>
              </w:rPr>
            </w:pPr>
            <w:r>
              <w:rPr>
                <w:rFonts w:hint="default" w:ascii="Times New Roman" w:hAnsi="Times New Roman" w:eastAsia="宋体" w:cs="Times New Roman"/>
                <w:color w:val="auto"/>
                <w:sz w:val="21"/>
                <w:szCs w:val="21"/>
                <w:highlight w:val="none"/>
              </w:rPr>
              <w:t>通过稽核强化工作质量管理，严格把控评价结果报告质量关，</w:t>
            </w:r>
            <w:r>
              <w:rPr>
                <w:rFonts w:hint="default" w:ascii="Times New Roman" w:hAnsi="Times New Roman" w:eastAsia="宋体" w:cs="Times New Roman"/>
                <w:bCs/>
                <w:snapToGrid w:val="0"/>
                <w:color w:val="auto"/>
                <w:sz w:val="21"/>
                <w:szCs w:val="21"/>
                <w:highlight w:val="none"/>
                <w:lang w:val="en-US" w:eastAsia="zh-CN"/>
              </w:rPr>
              <w:t>审核实施方案，负责对项目成果进行复核，</w:t>
            </w:r>
            <w:r>
              <w:rPr>
                <w:rFonts w:hint="default" w:ascii="Times New Roman" w:hAnsi="Times New Roman" w:eastAsia="宋体" w:cs="Times New Roman"/>
                <w:color w:val="auto"/>
                <w:sz w:val="21"/>
                <w:szCs w:val="21"/>
                <w:highlight w:val="none"/>
              </w:rPr>
              <w:t>杜绝或减少对外出具的报告中出现不应出错或低级错误的发生，确保工作质量不出现重大纰漏。</w:t>
            </w:r>
          </w:p>
        </w:tc>
      </w:tr>
      <w:tr w14:paraId="6174C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24C936A4">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kern w:val="0"/>
                <w:sz w:val="21"/>
                <w:szCs w:val="21"/>
                <w:highlight w:val="none"/>
                <w:lang w:val="en-US" w:eastAsia="zh-CN" w:bidi="ar"/>
              </w:rPr>
              <w:t>3</w:t>
            </w:r>
          </w:p>
        </w:tc>
        <w:tc>
          <w:tcPr>
            <w:tcW w:w="528" w:type="pct"/>
            <w:noWrap w:val="0"/>
            <w:vAlign w:val="center"/>
          </w:tcPr>
          <w:p w14:paraId="3C4C5AB5">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张珊</w:t>
            </w:r>
          </w:p>
        </w:tc>
        <w:tc>
          <w:tcPr>
            <w:tcW w:w="813" w:type="pct"/>
            <w:noWrap w:val="0"/>
            <w:vAlign w:val="center"/>
          </w:tcPr>
          <w:p w14:paraId="33008C1F">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eastAsia="en-US"/>
              </w:rPr>
            </w:pPr>
            <w:r>
              <w:rPr>
                <w:rFonts w:hint="default" w:ascii="Times New Roman" w:hAnsi="Times New Roman" w:eastAsia="宋体" w:cs="Times New Roman"/>
                <w:color w:val="auto"/>
                <w:sz w:val="21"/>
                <w:szCs w:val="21"/>
                <w:highlight w:val="none"/>
              </w:rPr>
              <w:t>项目负责人</w:t>
            </w:r>
          </w:p>
        </w:tc>
        <w:tc>
          <w:tcPr>
            <w:tcW w:w="969" w:type="pct"/>
            <w:noWrap w:val="0"/>
            <w:vAlign w:val="center"/>
          </w:tcPr>
          <w:p w14:paraId="571773F6">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项目</w:t>
            </w:r>
            <w:r>
              <w:rPr>
                <w:rFonts w:hint="default" w:ascii="Times New Roman" w:hAnsi="Times New Roman" w:eastAsia="宋体" w:cs="Times New Roman"/>
                <w:color w:val="auto"/>
                <w:sz w:val="21"/>
                <w:szCs w:val="21"/>
                <w:highlight w:val="none"/>
                <w:lang w:eastAsia="zh-Hans"/>
              </w:rPr>
              <w:t>经理</w:t>
            </w:r>
          </w:p>
        </w:tc>
        <w:tc>
          <w:tcPr>
            <w:tcW w:w="2354" w:type="pct"/>
            <w:noWrap w:val="0"/>
            <w:vAlign w:val="center"/>
          </w:tcPr>
          <w:p w14:paraId="4023A032">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宋体" w:cs="Times New Roman"/>
                <w:color w:val="auto"/>
                <w:kern w:val="0"/>
                <w:sz w:val="21"/>
                <w:szCs w:val="21"/>
                <w:highlight w:val="none"/>
                <w:lang w:eastAsia="zh-CN" w:bidi="ar"/>
              </w:rPr>
            </w:pPr>
            <w:r>
              <w:rPr>
                <w:rFonts w:hint="default" w:ascii="Times New Roman" w:hAnsi="Times New Roman" w:eastAsia="宋体" w:cs="Times New Roman"/>
                <w:bCs/>
                <w:snapToGrid w:val="0"/>
                <w:color w:val="auto"/>
                <w:sz w:val="21"/>
                <w:szCs w:val="21"/>
                <w:highlight w:val="none"/>
              </w:rPr>
              <w:t>负责制定项目实施计划，并组织开展具体评价工作，把控项目质量、项目进度和方向，推动服务方案执行和落实；讨论阶段性成果，向本单位和委托方关于本项目进展情况定期汇报进展情况；及时完成项目成果</w:t>
            </w:r>
            <w:r>
              <w:rPr>
                <w:rFonts w:hint="default" w:ascii="Times New Roman" w:hAnsi="Times New Roman" w:eastAsia="宋体" w:cs="Times New Roman"/>
                <w:bCs/>
                <w:snapToGrid w:val="0"/>
                <w:color w:val="auto"/>
                <w:sz w:val="21"/>
                <w:szCs w:val="21"/>
                <w:highlight w:val="none"/>
                <w:lang w:eastAsia="zh-CN"/>
              </w:rPr>
              <w:t>。</w:t>
            </w:r>
          </w:p>
        </w:tc>
      </w:tr>
      <w:tr w14:paraId="660C2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391D2188">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4</w:t>
            </w:r>
          </w:p>
        </w:tc>
        <w:tc>
          <w:tcPr>
            <w:tcW w:w="528" w:type="pct"/>
            <w:noWrap w:val="0"/>
            <w:vAlign w:val="center"/>
          </w:tcPr>
          <w:p w14:paraId="2F618D1F">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Cs/>
                <w:snapToGrid w:val="0"/>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孙婕</w:t>
            </w:r>
          </w:p>
        </w:tc>
        <w:tc>
          <w:tcPr>
            <w:tcW w:w="813" w:type="pct"/>
            <w:noWrap w:val="0"/>
            <w:vAlign w:val="center"/>
          </w:tcPr>
          <w:p w14:paraId="0CC185AB">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rPr>
              <w:t>项目绩效评价人员</w:t>
            </w:r>
          </w:p>
        </w:tc>
        <w:tc>
          <w:tcPr>
            <w:tcW w:w="969" w:type="pct"/>
            <w:noWrap w:val="0"/>
            <w:vAlign w:val="center"/>
          </w:tcPr>
          <w:p w14:paraId="1DA67CFC">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项目助理</w:t>
            </w:r>
          </w:p>
        </w:tc>
        <w:tc>
          <w:tcPr>
            <w:tcW w:w="2354" w:type="pct"/>
            <w:noWrap w:val="0"/>
            <w:vAlign w:val="center"/>
          </w:tcPr>
          <w:p w14:paraId="08B44B68">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宋体" w:cs="Times New Roman"/>
                <w:bCs/>
                <w:snapToGrid w:val="0"/>
                <w:color w:val="auto"/>
                <w:sz w:val="21"/>
                <w:szCs w:val="21"/>
                <w:highlight w:val="none"/>
                <w:lang w:val="en-US" w:eastAsia="zh-CN"/>
              </w:rPr>
            </w:pPr>
            <w:r>
              <w:rPr>
                <w:rFonts w:hint="default" w:ascii="Times New Roman" w:hAnsi="Times New Roman" w:eastAsia="宋体" w:cs="Times New Roman"/>
                <w:bCs/>
                <w:snapToGrid w:val="0"/>
                <w:color w:val="auto"/>
                <w:sz w:val="21"/>
                <w:szCs w:val="21"/>
                <w:highlight w:val="none"/>
              </w:rPr>
              <w:t>按照计划和分工</w:t>
            </w:r>
            <w:r>
              <w:rPr>
                <w:rFonts w:hint="default" w:ascii="Times New Roman" w:hAnsi="Times New Roman" w:eastAsia="宋体" w:cs="Times New Roman"/>
                <w:bCs/>
                <w:snapToGrid w:val="0"/>
                <w:color w:val="auto"/>
                <w:sz w:val="21"/>
                <w:szCs w:val="21"/>
                <w:highlight w:val="none"/>
                <w:lang w:eastAsia="zh-CN"/>
              </w:rPr>
              <w:t>完成</w:t>
            </w:r>
            <w:r>
              <w:rPr>
                <w:rFonts w:hint="default" w:ascii="Times New Roman" w:hAnsi="Times New Roman" w:eastAsia="宋体" w:cs="Times New Roman"/>
                <w:bCs/>
                <w:snapToGrid w:val="0"/>
                <w:color w:val="auto"/>
                <w:sz w:val="21"/>
                <w:szCs w:val="21"/>
                <w:highlight w:val="none"/>
              </w:rPr>
              <w:t>现场调研、资料收集和检查、项目相关人员访谈、问题清单整理、数据整理、撰写报告等工作。</w:t>
            </w:r>
          </w:p>
        </w:tc>
      </w:tr>
    </w:tbl>
    <w:p w14:paraId="10A77F8F">
      <w:pPr>
        <w:spacing w:before="0" w:after="0" w:line="360" w:lineRule="auto"/>
        <w:rPr>
          <w:rFonts w:hint="eastAsia"/>
          <w:color w:val="auto"/>
          <w:highlight w:val="none"/>
        </w:rPr>
      </w:pPr>
    </w:p>
    <w:p w14:paraId="5045BEC6">
      <w:pPr>
        <w:pStyle w:val="6"/>
        <w:spacing w:before="0" w:after="0" w:line="360" w:lineRule="auto"/>
        <w:ind w:firstLine="641"/>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2.确定绩效评价工作方案</w:t>
      </w:r>
    </w:p>
    <w:p w14:paraId="460653B7">
      <w:pPr>
        <w:bidi w:val="0"/>
        <w:spacing w:before="0" w:after="0" w:line="360" w:lineRule="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绩效评价小组根据前期初步收集的项目资料，根据项目实施内容及政策文件要求，</w:t>
      </w:r>
      <w:r>
        <w:rPr>
          <w:rFonts w:hint="eastAsia" w:ascii="Times New Roman" w:hAnsi="Times New Roman" w:eastAsia="宋体" w:cs="Times New Roman"/>
          <w:color w:val="auto"/>
          <w:highlight w:val="none"/>
          <w:lang w:val="en-US" w:eastAsia="zh-CN"/>
        </w:rPr>
        <w:t>于2025</w:t>
      </w:r>
      <w:r>
        <w:rPr>
          <w:rFonts w:hint="eastAsia" w:ascii="Times New Roman" w:hAnsi="Times New Roman" w:eastAsia="宋体" w:cs="Times New Roman"/>
          <w:color w:val="auto"/>
          <w:highlight w:val="none"/>
        </w:rPr>
        <w:t>年</w:t>
      </w:r>
      <w:r>
        <w:rPr>
          <w:rFonts w:hint="eastAsia" w:ascii="Times New Roman" w:hAnsi="Times New Roman" w:eastAsia="宋体" w:cs="Times New Roman"/>
          <w:color w:val="auto"/>
          <w:highlight w:val="none"/>
          <w:lang w:val="en-US" w:eastAsia="zh-CN"/>
        </w:rPr>
        <w:t>7</w:t>
      </w:r>
      <w:r>
        <w:rPr>
          <w:rFonts w:hint="eastAsia" w:ascii="Times New Roman" w:hAnsi="Times New Roman" w:eastAsia="宋体" w:cs="Times New Roman"/>
          <w:color w:val="auto"/>
          <w:highlight w:val="none"/>
        </w:rPr>
        <w:t>月</w:t>
      </w:r>
      <w:r>
        <w:rPr>
          <w:rFonts w:hint="eastAsia" w:ascii="Times New Roman" w:hAnsi="Times New Roman" w:eastAsia="宋体" w:cs="Times New Roman"/>
          <w:color w:val="auto"/>
          <w:highlight w:val="none"/>
          <w:lang w:val="en-US" w:eastAsia="zh-CN"/>
        </w:rPr>
        <w:t>1</w:t>
      </w:r>
      <w:r>
        <w:rPr>
          <w:rFonts w:hint="eastAsia" w:ascii="Times New Roman" w:hAnsi="Times New Roman" w:eastAsia="宋体" w:cs="Times New Roman"/>
          <w:color w:val="auto"/>
          <w:highlight w:val="none"/>
        </w:rPr>
        <w:t>日</w:t>
      </w:r>
      <w:r>
        <w:rPr>
          <w:rFonts w:hint="eastAsia" w:ascii="Times New Roman" w:hAnsi="Times New Roman" w:eastAsia="宋体" w:cs="Times New Roman"/>
          <w:color w:val="auto"/>
          <w:highlight w:val="none"/>
          <w:lang w:val="en-US" w:eastAsia="zh-CN"/>
        </w:rPr>
        <w:t>前编制</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spacing w:val="8"/>
          <w:highlight w:val="none"/>
          <w:lang w:val="en-US" w:eastAsia="zh-CN"/>
        </w:rPr>
        <w:t>伊宁县成品油税费农村公路日常养护项</w:t>
      </w:r>
      <w:r>
        <w:rPr>
          <w:rFonts w:hint="eastAsia" w:ascii="Times New Roman" w:hAnsi="Times New Roman" w:eastAsia="宋体" w:cs="Times New Roman"/>
          <w:color w:val="auto"/>
          <w:spacing w:val="8"/>
          <w:highlight w:val="none"/>
        </w:rPr>
        <w:t>目</w:t>
      </w:r>
      <w:r>
        <w:rPr>
          <w:rFonts w:hint="eastAsia" w:ascii="Times New Roman" w:hAnsi="Times New Roman" w:eastAsia="宋体" w:cs="Times New Roman"/>
          <w:color w:val="auto"/>
          <w:highlight w:val="none"/>
        </w:rPr>
        <w:t>绩效评价实施方案》</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经</w:t>
      </w:r>
      <w:r>
        <w:rPr>
          <w:rFonts w:hint="eastAsia" w:ascii="Times New Roman" w:hAnsi="Times New Roman" w:eastAsia="宋体" w:cs="Times New Roman"/>
          <w:color w:val="auto"/>
          <w:highlight w:val="none"/>
          <w:lang w:val="en-US" w:eastAsia="zh-CN"/>
        </w:rPr>
        <w:t>项目负责人审核</w:t>
      </w:r>
      <w:r>
        <w:rPr>
          <w:rFonts w:hint="eastAsia" w:ascii="Times New Roman" w:hAnsi="Times New Roman" w:eastAsia="宋体" w:cs="Times New Roman"/>
          <w:color w:val="auto"/>
          <w:highlight w:val="none"/>
        </w:rPr>
        <w:t>通过后，项目绩效评价工作正式启动。</w:t>
      </w:r>
    </w:p>
    <w:p w14:paraId="72EC2729">
      <w:pPr>
        <w:pStyle w:val="6"/>
        <w:spacing w:before="0" w:after="0" w:line="360" w:lineRule="auto"/>
        <w:ind w:firstLine="641"/>
        <w:rPr>
          <w:rFonts w:hint="eastAsia" w:ascii="Times New Roman" w:hAnsi="Times New Roman" w:eastAsia="宋体" w:cs="Times New Roman"/>
          <w:color w:val="auto"/>
          <w:highlight w:val="none"/>
        </w:rPr>
      </w:pPr>
      <w:bookmarkStart w:id="70" w:name="_Toc68364664"/>
      <w:r>
        <w:rPr>
          <w:rFonts w:hint="eastAsia" w:ascii="Times New Roman" w:hAnsi="Times New Roman" w:eastAsia="宋体" w:cs="Times New Roman"/>
          <w:color w:val="auto"/>
          <w:highlight w:val="none"/>
        </w:rPr>
        <w:t>3.组织实施</w:t>
      </w:r>
    </w:p>
    <w:p w14:paraId="0457C609">
      <w:pPr>
        <w:spacing w:before="0" w:after="0" w:line="360" w:lineRule="auto"/>
        <w:ind w:firstLine="64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2025</w:t>
      </w:r>
      <w:r>
        <w:rPr>
          <w:rFonts w:hint="eastAsia" w:ascii="Times New Roman" w:hAnsi="Times New Roman" w:eastAsia="宋体" w:cs="Times New Roman"/>
          <w:color w:val="auto"/>
          <w:highlight w:val="none"/>
        </w:rPr>
        <w:t>年</w:t>
      </w:r>
      <w:r>
        <w:rPr>
          <w:rFonts w:hint="eastAsia" w:ascii="Times New Roman" w:hAnsi="Times New Roman" w:eastAsia="宋体" w:cs="Times New Roman"/>
          <w:color w:val="auto"/>
          <w:highlight w:val="none"/>
          <w:lang w:val="en-US" w:eastAsia="zh-CN"/>
        </w:rPr>
        <w:t>7</w:t>
      </w:r>
      <w:r>
        <w:rPr>
          <w:rFonts w:hint="eastAsia" w:ascii="Times New Roman" w:hAnsi="Times New Roman" w:eastAsia="宋体" w:cs="Times New Roman"/>
          <w:color w:val="auto"/>
          <w:highlight w:val="none"/>
        </w:rPr>
        <w:t>月</w:t>
      </w:r>
      <w:r>
        <w:rPr>
          <w:rFonts w:hint="eastAsia" w:ascii="Times New Roman" w:hAnsi="Times New Roman" w:eastAsia="宋体" w:cs="Times New Roman"/>
          <w:color w:val="auto"/>
          <w:highlight w:val="none"/>
          <w:lang w:val="en-US" w:eastAsia="zh-CN"/>
        </w:rPr>
        <w:t>2</w:t>
      </w:r>
      <w:r>
        <w:rPr>
          <w:rFonts w:hint="eastAsia" w:ascii="Times New Roman" w:hAnsi="Times New Roman" w:eastAsia="宋体" w:cs="Times New Roman"/>
          <w:color w:val="auto"/>
          <w:highlight w:val="none"/>
        </w:rPr>
        <w:t>日</w:t>
      </w:r>
      <w:r>
        <w:rPr>
          <w:rFonts w:hint="eastAsia" w:ascii="Times New Roman" w:hAnsi="Times New Roman" w:eastAsia="宋体" w:cs="Times New Roman"/>
          <w:color w:val="auto"/>
          <w:highlight w:val="none"/>
          <w:lang w:val="en-US" w:eastAsia="zh-CN"/>
        </w:rPr>
        <w:t>至2025</w:t>
      </w:r>
      <w:r>
        <w:rPr>
          <w:rFonts w:hint="eastAsia" w:ascii="Times New Roman" w:hAnsi="Times New Roman" w:eastAsia="宋体" w:cs="Times New Roman"/>
          <w:color w:val="auto"/>
          <w:highlight w:val="none"/>
        </w:rPr>
        <w:t>年</w:t>
      </w:r>
      <w:r>
        <w:rPr>
          <w:rFonts w:hint="eastAsia" w:ascii="Times New Roman" w:hAnsi="Times New Roman" w:eastAsia="宋体" w:cs="Times New Roman"/>
          <w:color w:val="auto"/>
          <w:highlight w:val="none"/>
          <w:lang w:val="en-US" w:eastAsia="zh-CN"/>
        </w:rPr>
        <w:t>7</w:t>
      </w:r>
      <w:r>
        <w:rPr>
          <w:rFonts w:hint="eastAsia" w:ascii="Times New Roman" w:hAnsi="Times New Roman" w:eastAsia="宋体" w:cs="Times New Roman"/>
          <w:color w:val="auto"/>
          <w:highlight w:val="none"/>
        </w:rPr>
        <w:t>月</w:t>
      </w:r>
      <w:r>
        <w:rPr>
          <w:rFonts w:hint="eastAsia" w:ascii="Times New Roman" w:hAnsi="Times New Roman" w:eastAsia="宋体" w:cs="Times New Roman"/>
          <w:color w:val="auto"/>
          <w:highlight w:val="none"/>
          <w:lang w:val="en-US" w:eastAsia="zh-CN"/>
        </w:rPr>
        <w:t>20</w:t>
      </w:r>
      <w:r>
        <w:rPr>
          <w:rFonts w:hint="eastAsia" w:ascii="Times New Roman" w:hAnsi="Times New Roman" w:eastAsia="宋体" w:cs="Times New Roman"/>
          <w:color w:val="auto"/>
          <w:highlight w:val="none"/>
        </w:rPr>
        <w:t>日</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绩效评价组采取现场和非现场评价相结合的方式开展调研、查阅基础资料、数据采集、问卷调查、访谈、数据分析等绩效评价工作，具体实施情况如下：</w:t>
      </w:r>
    </w:p>
    <w:p w14:paraId="20DDF9B1">
      <w:pPr>
        <w:spacing w:before="0" w:after="0" w:line="360" w:lineRule="auto"/>
        <w:ind w:firstLine="640"/>
        <w:rPr>
          <w:rFonts w:hint="eastAsia" w:ascii="Times New Roman" w:hAnsi="Times New Roman" w:eastAsia="宋体" w:cs="Times New Roman"/>
          <w:color w:val="auto"/>
          <w:highlight w:val="none"/>
        </w:rPr>
      </w:pPr>
      <w:bookmarkStart w:id="71" w:name="_Toc11994"/>
      <w:r>
        <w:rPr>
          <w:rFonts w:hint="eastAsia" w:ascii="Times New Roman" w:hAnsi="Times New Roman" w:eastAsia="宋体" w:cs="Times New Roman"/>
          <w:color w:val="auto"/>
          <w:highlight w:val="none"/>
        </w:rPr>
        <w:t>（1）与</w:t>
      </w:r>
      <w:r>
        <w:rPr>
          <w:rFonts w:hint="eastAsia" w:ascii="Times New Roman" w:hAnsi="Times New Roman" w:eastAsia="宋体" w:cs="Times New Roman"/>
          <w:color w:val="auto"/>
          <w:highlight w:val="none"/>
          <w:lang w:val="en-US" w:eastAsia="zh-CN"/>
        </w:rPr>
        <w:t>伊宁县交通运输局相关业务处室</w:t>
      </w:r>
      <w:r>
        <w:rPr>
          <w:rFonts w:hint="eastAsia" w:ascii="Times New Roman" w:hAnsi="Times New Roman" w:eastAsia="宋体" w:cs="Times New Roman"/>
          <w:color w:val="auto"/>
          <w:highlight w:val="none"/>
        </w:rPr>
        <w:t>管理人员进行访谈沟通，全面了解项目实施的目的、预算安排、组织管理、实施结果等方面的内容。根据</w:t>
      </w:r>
      <w:r>
        <w:rPr>
          <w:rFonts w:hint="eastAsia" w:ascii="Times New Roman" w:hAnsi="Times New Roman" w:eastAsia="宋体" w:cs="Times New Roman"/>
          <w:color w:val="auto"/>
          <w:highlight w:val="none"/>
          <w:lang w:val="en-US" w:eastAsia="zh-CN"/>
        </w:rPr>
        <w:t>伊宁县交通运输局</w:t>
      </w:r>
      <w:r>
        <w:rPr>
          <w:rFonts w:hint="eastAsia" w:ascii="Times New Roman" w:hAnsi="Times New Roman" w:eastAsia="宋体" w:cs="Times New Roman"/>
          <w:color w:val="auto"/>
          <w:highlight w:val="none"/>
        </w:rPr>
        <w:t>提供的项目立项、实施、资金使用及管理等方面的资料，对资料进行梳理、分析，并对标相关的政策依据、法律法规、单位制度等，完成绩效评价内容所需的印证资料整理汇总。</w:t>
      </w:r>
    </w:p>
    <w:bookmarkEnd w:id="71"/>
    <w:p w14:paraId="37E600E2">
      <w:pPr>
        <w:spacing w:before="0" w:after="0" w:line="360" w:lineRule="auto"/>
        <w:ind w:firstLine="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2</w:t>
      </w:r>
      <w:r>
        <w:rPr>
          <w:rFonts w:hint="eastAsia" w:ascii="Times New Roman" w:hAnsi="Times New Roman" w:eastAsia="宋体" w:cs="Times New Roman"/>
          <w:color w:val="auto"/>
          <w:highlight w:val="none"/>
        </w:rPr>
        <w:t>）</w:t>
      </w:r>
      <w:bookmarkStart w:id="72" w:name="_Toc26870"/>
      <w:bookmarkStart w:id="73" w:name="_Toc419984726"/>
      <w:bookmarkStart w:id="74" w:name="_Toc428278235"/>
      <w:r>
        <w:rPr>
          <w:rFonts w:hint="eastAsia" w:ascii="Times New Roman" w:hAnsi="Times New Roman" w:eastAsia="宋体" w:cs="Times New Roman"/>
          <w:color w:val="auto"/>
          <w:highlight w:val="none"/>
          <w:lang w:val="en-US" w:eastAsia="zh-CN"/>
        </w:rPr>
        <w:t>对</w:t>
      </w:r>
      <w:r>
        <w:rPr>
          <w:rFonts w:hint="eastAsia" w:ascii="Times New Roman" w:hAnsi="Times New Roman" w:eastAsia="宋体" w:cs="Times New Roman"/>
          <w:color w:val="auto"/>
          <w:spacing w:val="8"/>
          <w:highlight w:val="none"/>
          <w:lang w:val="en-US" w:eastAsia="zh-CN"/>
        </w:rPr>
        <w:t>伊宁县成品油税费农村公路日常养护项</w:t>
      </w:r>
      <w:r>
        <w:rPr>
          <w:rFonts w:hint="eastAsia" w:ascii="Times New Roman" w:hAnsi="Times New Roman" w:eastAsia="宋体" w:cs="Times New Roman"/>
          <w:color w:val="auto"/>
          <w:spacing w:val="8"/>
          <w:highlight w:val="none"/>
        </w:rPr>
        <w:t>目</w:t>
      </w:r>
      <w:r>
        <w:rPr>
          <w:rFonts w:hint="eastAsia" w:ascii="Times New Roman" w:hAnsi="Times New Roman" w:eastAsia="宋体" w:cs="Times New Roman"/>
          <w:b w:val="0"/>
          <w:bCs w:val="0"/>
          <w:color w:val="auto"/>
          <w:kern w:val="2"/>
          <w:sz w:val="21"/>
          <w:szCs w:val="21"/>
          <w:highlight w:val="none"/>
          <w:lang w:val="en-US" w:eastAsia="zh-CN" w:bidi="ar-SA"/>
        </w:rPr>
        <w:t>进行</w:t>
      </w:r>
      <w:r>
        <w:rPr>
          <w:rFonts w:hint="eastAsia" w:ascii="Times New Roman" w:hAnsi="Times New Roman" w:eastAsia="宋体" w:cs="Times New Roman"/>
          <w:color w:val="auto"/>
          <w:highlight w:val="none"/>
        </w:rPr>
        <w:t>实地调研和现场勘察</w:t>
      </w:r>
      <w:r>
        <w:rPr>
          <w:rFonts w:hint="eastAsia" w:ascii="Times New Roman" w:hAnsi="Times New Roman" w:eastAsia="宋体" w:cs="Times New Roman"/>
          <w:color w:val="auto"/>
          <w:highlight w:val="none"/>
          <w:lang w:eastAsia="zh-CN"/>
        </w:rPr>
        <w:t>：尽职开展前期调查，全面收集项目决策依据、财政预算安排执行情况、项目建设资料等相关资料，完成绩效评价内容所需的印证资料整理汇总。了解项目实施情况，对项目管理进行调查、记录，与项目负责人进行交谈，并对必要的财务、</w:t>
      </w:r>
      <w:r>
        <w:rPr>
          <w:rFonts w:hint="eastAsia" w:ascii="Times New Roman" w:hAnsi="Times New Roman" w:eastAsia="宋体" w:cs="Times New Roman"/>
          <w:color w:val="auto"/>
          <w:highlight w:val="none"/>
          <w:lang w:val="en-US" w:eastAsia="zh-CN"/>
        </w:rPr>
        <w:t>审计报告</w:t>
      </w:r>
      <w:r>
        <w:rPr>
          <w:rFonts w:hint="eastAsia" w:ascii="Times New Roman" w:hAnsi="Times New Roman" w:eastAsia="宋体" w:cs="Times New Roman"/>
          <w:color w:val="auto"/>
          <w:highlight w:val="none"/>
          <w:lang w:eastAsia="zh-CN"/>
        </w:rPr>
        <w:t>进行现场调研取证，了解项目状况。</w:t>
      </w:r>
    </w:p>
    <w:p w14:paraId="639E6610">
      <w:pPr>
        <w:spacing w:before="0" w:after="0" w:line="360" w:lineRule="auto"/>
        <w:ind w:firstLine="64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3</w:t>
      </w:r>
      <w:r>
        <w:rPr>
          <w:rFonts w:hint="eastAsia" w:ascii="Times New Roman" w:hAnsi="Times New Roman" w:eastAsia="宋体" w:cs="Times New Roman"/>
          <w:color w:val="auto"/>
          <w:highlight w:val="none"/>
          <w:lang w:eastAsia="zh-CN"/>
        </w:rPr>
        <w:t>）</w:t>
      </w:r>
      <w:bookmarkEnd w:id="72"/>
      <w:bookmarkEnd w:id="73"/>
      <w:bookmarkEnd w:id="74"/>
      <w:r>
        <w:rPr>
          <w:rFonts w:hint="eastAsia" w:ascii="Times New Roman" w:hAnsi="Times New Roman" w:eastAsia="宋体" w:cs="Times New Roman"/>
          <w:color w:val="auto"/>
          <w:highlight w:val="none"/>
        </w:rPr>
        <w:t>经调研了解，</w:t>
      </w:r>
      <w:r>
        <w:rPr>
          <w:rFonts w:hint="eastAsia" w:ascii="Times New Roman" w:hAnsi="Times New Roman" w:eastAsia="宋体" w:cs="Times New Roman"/>
          <w:color w:val="auto"/>
          <w:highlight w:val="none"/>
          <w:lang w:val="en-US" w:eastAsia="zh-CN"/>
        </w:rPr>
        <w:t>该项目涉及受益的社会公众覆盖面广</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且人员流动性大。绩效</w:t>
      </w:r>
      <w:r>
        <w:rPr>
          <w:rFonts w:hint="eastAsia" w:ascii="Times New Roman" w:hAnsi="Times New Roman" w:eastAsia="宋体" w:cs="Times New Roman"/>
          <w:color w:val="auto"/>
          <w:highlight w:val="none"/>
        </w:rPr>
        <w:t>评价小组</w:t>
      </w:r>
      <w:r>
        <w:rPr>
          <w:rFonts w:hint="eastAsia" w:ascii="Times New Roman" w:hAnsi="Times New Roman" w:eastAsia="宋体" w:cs="Times New Roman"/>
          <w:color w:val="auto"/>
          <w:highlight w:val="none"/>
          <w:lang w:val="en-US" w:eastAsia="zh-CN"/>
        </w:rPr>
        <w:t>通过设计</w:t>
      </w:r>
      <w:r>
        <w:rPr>
          <w:rFonts w:hint="eastAsia" w:ascii="Times New Roman" w:hAnsi="Times New Roman" w:eastAsia="宋体" w:cs="Times New Roman"/>
          <w:color w:val="auto"/>
          <w:highlight w:val="none"/>
        </w:rPr>
        <w:t>线上电子问卷的</w:t>
      </w:r>
      <w:r>
        <w:rPr>
          <w:rFonts w:hint="eastAsia" w:ascii="Times New Roman" w:hAnsi="Times New Roman" w:eastAsia="宋体" w:cs="Times New Roman"/>
          <w:color w:val="auto"/>
          <w:highlight w:val="none"/>
          <w:lang w:val="en-US" w:eastAsia="zh-CN"/>
        </w:rPr>
        <w:t>形式随机</w:t>
      </w:r>
      <w:r>
        <w:rPr>
          <w:rFonts w:hint="eastAsia" w:ascii="Times New Roman" w:hAnsi="Times New Roman" w:eastAsia="宋体" w:cs="Times New Roman"/>
          <w:color w:val="auto"/>
          <w:highlight w:val="none"/>
        </w:rPr>
        <w:t>发放问卷</w:t>
      </w:r>
      <w:r>
        <w:rPr>
          <w:rFonts w:hint="eastAsia" w:ascii="Times New Roman" w:hAnsi="Times New Roman" w:eastAsia="宋体" w:cs="Times New Roman"/>
          <w:bCs/>
          <w:color w:val="auto"/>
          <w:highlight w:val="none"/>
        </w:rPr>
        <w:t>，</w:t>
      </w:r>
      <w:r>
        <w:rPr>
          <w:rFonts w:hint="eastAsia" w:ascii="Times New Roman" w:hAnsi="Times New Roman" w:eastAsia="宋体" w:cs="Times New Roman"/>
          <w:bCs/>
          <w:color w:val="auto"/>
          <w:highlight w:val="none"/>
          <w:lang w:val="en-US" w:eastAsia="zh-CN"/>
        </w:rPr>
        <w:t>截至绩效评价节点共</w:t>
      </w:r>
      <w:r>
        <w:rPr>
          <w:rFonts w:hint="eastAsia" w:ascii="Times New Roman" w:hAnsi="Times New Roman" w:eastAsia="宋体" w:cs="Times New Roman"/>
          <w:bCs/>
          <w:color w:val="auto"/>
          <w:highlight w:val="none"/>
        </w:rPr>
        <w:t>回收</w:t>
      </w:r>
      <w:r>
        <w:rPr>
          <w:rFonts w:hint="eastAsia" w:ascii="Times New Roman" w:hAnsi="Times New Roman" w:eastAsia="宋体" w:cs="Times New Roman"/>
          <w:bCs/>
          <w:color w:val="auto"/>
          <w:highlight w:val="none"/>
          <w:lang w:val="en-US" w:eastAsia="zh-CN"/>
        </w:rPr>
        <w:t>有效</w:t>
      </w:r>
      <w:r>
        <w:rPr>
          <w:rFonts w:hint="eastAsia" w:ascii="Times New Roman" w:hAnsi="Times New Roman" w:eastAsia="宋体" w:cs="Times New Roman"/>
          <w:bCs/>
          <w:color w:val="auto"/>
          <w:highlight w:val="none"/>
        </w:rPr>
        <w:t>问卷</w:t>
      </w:r>
      <w:r>
        <w:rPr>
          <w:rFonts w:hint="eastAsia" w:ascii="Times New Roman" w:hAnsi="Times New Roman" w:eastAsia="宋体" w:cs="Times New Roman"/>
          <w:bCs/>
          <w:color w:val="auto"/>
          <w:highlight w:val="none"/>
          <w:lang w:val="en-US" w:eastAsia="zh-CN"/>
        </w:rPr>
        <w:t>219</w:t>
      </w:r>
      <w:r>
        <w:rPr>
          <w:rFonts w:hint="eastAsia" w:ascii="Times New Roman" w:hAnsi="Times New Roman" w:eastAsia="宋体" w:cs="Times New Roman"/>
          <w:bCs/>
          <w:color w:val="auto"/>
          <w:highlight w:val="none"/>
        </w:rPr>
        <w:t>份</w:t>
      </w:r>
      <w:r>
        <w:rPr>
          <w:rFonts w:hint="eastAsia" w:ascii="Times New Roman" w:hAnsi="Times New Roman" w:eastAsia="宋体" w:cs="Times New Roman"/>
          <w:color w:val="auto"/>
          <w:highlight w:val="none"/>
        </w:rPr>
        <w:t>。</w:t>
      </w:r>
    </w:p>
    <w:p w14:paraId="1102A95F">
      <w:pPr>
        <w:spacing w:before="0" w:after="0" w:line="360" w:lineRule="auto"/>
        <w:ind w:firstLine="64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kern w:val="0"/>
          <w:szCs w:val="24"/>
          <w:highlight w:val="none"/>
        </w:rPr>
        <w:t>（5）通过对采集的数据资料进行复核汇总、分类整理和综合分析，按照设立的评价指标、标准、权重、方法实施评价，并形成评价工作底稿</w:t>
      </w:r>
      <w:r>
        <w:rPr>
          <w:rFonts w:hint="eastAsia" w:ascii="Times New Roman" w:hAnsi="Times New Roman" w:eastAsia="宋体" w:cs="Times New Roman"/>
          <w:color w:val="auto"/>
          <w:highlight w:val="none"/>
        </w:rPr>
        <w:t>。</w:t>
      </w:r>
    </w:p>
    <w:p w14:paraId="3EF024A6">
      <w:pPr>
        <w:pStyle w:val="6"/>
        <w:spacing w:before="0" w:after="0" w:line="360" w:lineRule="auto"/>
        <w:ind w:firstLine="641"/>
        <w:rPr>
          <w:rFonts w:hint="eastAsia" w:ascii="Times New Roman" w:hAnsi="Times New Roman" w:eastAsia="宋体" w:cs="Times New Roman"/>
          <w:color w:val="auto"/>
          <w:highlight w:val="none"/>
        </w:rPr>
      </w:pPr>
      <w:bookmarkStart w:id="75" w:name="_Toc2618"/>
      <w:r>
        <w:rPr>
          <w:rFonts w:hint="eastAsia" w:ascii="Times New Roman" w:hAnsi="Times New Roman" w:eastAsia="宋体" w:cs="Times New Roman"/>
          <w:color w:val="auto"/>
          <w:highlight w:val="none"/>
        </w:rPr>
        <w:t>4.撰写评价报告</w:t>
      </w:r>
      <w:bookmarkEnd w:id="75"/>
    </w:p>
    <w:p w14:paraId="2A0DCCC9">
      <w:pPr>
        <w:spacing w:before="0" w:after="0" w:line="360" w:lineRule="auto"/>
        <w:ind w:firstLine="64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2025</w:t>
      </w:r>
      <w:r>
        <w:rPr>
          <w:rFonts w:hint="eastAsia" w:ascii="Times New Roman" w:hAnsi="Times New Roman" w:eastAsia="宋体" w:cs="Times New Roman"/>
          <w:color w:val="auto"/>
          <w:highlight w:val="none"/>
        </w:rPr>
        <w:t>年</w:t>
      </w:r>
      <w:r>
        <w:rPr>
          <w:rFonts w:hint="eastAsia" w:ascii="Times New Roman" w:hAnsi="Times New Roman" w:eastAsia="宋体" w:cs="Times New Roman"/>
          <w:color w:val="auto"/>
          <w:highlight w:val="none"/>
          <w:lang w:val="en-US" w:eastAsia="zh-CN"/>
        </w:rPr>
        <w:t>7</w:t>
      </w:r>
      <w:r>
        <w:rPr>
          <w:rFonts w:hint="eastAsia" w:ascii="Times New Roman" w:hAnsi="Times New Roman" w:eastAsia="宋体" w:cs="Times New Roman"/>
          <w:color w:val="auto"/>
          <w:highlight w:val="none"/>
        </w:rPr>
        <w:t>月</w:t>
      </w:r>
      <w:r>
        <w:rPr>
          <w:rFonts w:hint="eastAsia" w:ascii="Times New Roman" w:hAnsi="Times New Roman" w:eastAsia="宋体" w:cs="Times New Roman"/>
          <w:color w:val="auto"/>
          <w:highlight w:val="none"/>
          <w:lang w:val="en-US" w:eastAsia="zh-CN"/>
        </w:rPr>
        <w:t>21</w:t>
      </w:r>
      <w:r>
        <w:rPr>
          <w:rFonts w:hint="eastAsia" w:ascii="Times New Roman" w:hAnsi="Times New Roman" w:eastAsia="宋体" w:cs="Times New Roman"/>
          <w:color w:val="auto"/>
          <w:highlight w:val="none"/>
        </w:rPr>
        <w:t>日</w:t>
      </w:r>
      <w:r>
        <w:rPr>
          <w:rFonts w:hint="eastAsia" w:ascii="Times New Roman" w:hAnsi="Times New Roman" w:eastAsia="宋体" w:cs="Times New Roman"/>
          <w:color w:val="auto"/>
          <w:highlight w:val="none"/>
          <w:lang w:val="en-US" w:eastAsia="zh-CN"/>
        </w:rPr>
        <w:t>至2025</w:t>
      </w:r>
      <w:r>
        <w:rPr>
          <w:rFonts w:hint="eastAsia" w:ascii="Times New Roman" w:hAnsi="Times New Roman" w:eastAsia="宋体" w:cs="Times New Roman"/>
          <w:color w:val="auto"/>
          <w:highlight w:val="none"/>
        </w:rPr>
        <w:t>年</w:t>
      </w:r>
      <w:r>
        <w:rPr>
          <w:rFonts w:hint="eastAsia" w:ascii="Times New Roman" w:hAnsi="Times New Roman" w:eastAsia="宋体" w:cs="Times New Roman"/>
          <w:color w:val="auto"/>
          <w:highlight w:val="none"/>
          <w:lang w:val="en-US" w:eastAsia="zh-CN"/>
        </w:rPr>
        <w:t>8</w:t>
      </w:r>
      <w:r>
        <w:rPr>
          <w:rFonts w:hint="eastAsia" w:ascii="Times New Roman" w:hAnsi="Times New Roman" w:eastAsia="宋体" w:cs="Times New Roman"/>
          <w:color w:val="auto"/>
          <w:highlight w:val="none"/>
        </w:rPr>
        <w:t>月</w:t>
      </w:r>
      <w:r>
        <w:rPr>
          <w:rFonts w:hint="eastAsia" w:ascii="Times New Roman" w:hAnsi="Times New Roman" w:eastAsia="宋体" w:cs="Times New Roman"/>
          <w:color w:val="auto"/>
          <w:highlight w:val="none"/>
          <w:lang w:val="en-US" w:eastAsia="zh-CN"/>
        </w:rPr>
        <w:t>30</w:t>
      </w:r>
      <w:r>
        <w:rPr>
          <w:rFonts w:hint="eastAsia" w:ascii="Times New Roman" w:hAnsi="Times New Roman" w:eastAsia="宋体" w:cs="Times New Roman"/>
          <w:color w:val="auto"/>
          <w:highlight w:val="none"/>
        </w:rPr>
        <w:t>日</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归集绩效评价工作底稿，起草项目绩效评价报告，经公司内部质量审核通过后向委托人提交绩效评价报告初稿，并报送项目实施单位以及行业主管部门，进行结果反馈，充分交换意见。</w:t>
      </w:r>
    </w:p>
    <w:p w14:paraId="23F4A713">
      <w:pPr>
        <w:pStyle w:val="6"/>
        <w:numPr>
          <w:ilvl w:val="0"/>
          <w:numId w:val="0"/>
        </w:numPr>
        <w:spacing w:before="0" w:after="0" w:line="360" w:lineRule="auto"/>
        <w:ind w:firstLine="422" w:firstLineChars="200"/>
        <w:rPr>
          <w:rFonts w:hint="eastAsia" w:ascii="Times New Roman" w:hAnsi="Times New Roman" w:cs="Times New Roman"/>
          <w:color w:val="auto"/>
          <w:lang w:val="en-US" w:eastAsia="zh-CN"/>
        </w:rPr>
      </w:pPr>
      <w:r>
        <w:rPr>
          <w:rFonts w:hint="eastAsia" w:ascii="Times New Roman" w:hAnsi="Times New Roman" w:cs="Times New Roman" w:eastAsiaTheme="minorEastAsia"/>
          <w:b/>
          <w:bCs/>
          <w:color w:val="auto"/>
          <w:kern w:val="0"/>
          <w:sz w:val="21"/>
          <w:szCs w:val="32"/>
          <w:lang w:val="en-US" w:eastAsia="zh-CN" w:bidi="ar-SA"/>
        </w:rPr>
        <w:t>5.</w:t>
      </w:r>
      <w:r>
        <w:rPr>
          <w:rFonts w:hint="eastAsia" w:ascii="Times New Roman" w:hAnsi="Times New Roman" w:cs="Times New Roman"/>
          <w:color w:val="auto"/>
          <w:lang w:val="en-US" w:eastAsia="zh-CN"/>
        </w:rPr>
        <w:t>报告意见反馈及沟通情况</w:t>
      </w:r>
    </w:p>
    <w:p w14:paraId="2AB31C58">
      <w:pPr>
        <w:pStyle w:val="6"/>
        <w:spacing w:before="0" w:after="0" w:line="360" w:lineRule="auto"/>
        <w:ind w:firstLine="641"/>
        <w:rPr>
          <w:rFonts w:hint="default" w:ascii="Times New Roman" w:hAnsi="Times New Roman" w:cs="Times New Roman" w:eastAsiaTheme="minorEastAsia"/>
          <w:b w:val="0"/>
          <w:bCs w:val="0"/>
          <w:color w:val="auto"/>
          <w:kern w:val="2"/>
          <w:sz w:val="21"/>
          <w:szCs w:val="21"/>
          <w:lang w:val="en-US" w:eastAsia="zh-CN" w:bidi="ar-SA"/>
        </w:rPr>
      </w:pPr>
      <w:r>
        <w:rPr>
          <w:rFonts w:hint="default" w:ascii="Times New Roman" w:hAnsi="Times New Roman" w:cs="Times New Roman" w:eastAsiaTheme="minorEastAsia"/>
          <w:b w:val="0"/>
          <w:bCs w:val="0"/>
          <w:color w:val="auto"/>
          <w:kern w:val="2"/>
          <w:sz w:val="21"/>
          <w:szCs w:val="21"/>
          <w:lang w:val="en-US" w:eastAsia="zh-CN" w:bidi="ar-SA"/>
        </w:rPr>
        <w:t>我单位于202</w:t>
      </w:r>
      <w:r>
        <w:rPr>
          <w:rFonts w:hint="eastAsia" w:ascii="Times New Roman" w:hAnsi="Times New Roman" w:cs="Times New Roman"/>
          <w:b w:val="0"/>
          <w:bCs w:val="0"/>
          <w:color w:val="auto"/>
          <w:kern w:val="2"/>
          <w:sz w:val="21"/>
          <w:szCs w:val="21"/>
          <w:lang w:val="en-US" w:eastAsia="zh-CN" w:bidi="ar-SA"/>
        </w:rPr>
        <w:t>5</w:t>
      </w:r>
      <w:r>
        <w:rPr>
          <w:rFonts w:hint="default" w:ascii="Times New Roman" w:hAnsi="Times New Roman" w:cs="Times New Roman" w:eastAsiaTheme="minorEastAsia"/>
          <w:b w:val="0"/>
          <w:bCs w:val="0"/>
          <w:color w:val="auto"/>
          <w:kern w:val="2"/>
          <w:sz w:val="21"/>
          <w:szCs w:val="21"/>
          <w:lang w:val="en-US" w:eastAsia="zh-CN" w:bidi="ar-SA"/>
        </w:rPr>
        <w:t>年</w:t>
      </w:r>
      <w:r>
        <w:rPr>
          <w:rFonts w:hint="eastAsia" w:ascii="Times New Roman" w:hAnsi="Times New Roman" w:cs="Times New Roman"/>
          <w:b w:val="0"/>
          <w:bCs w:val="0"/>
          <w:color w:val="auto"/>
          <w:kern w:val="2"/>
          <w:sz w:val="21"/>
          <w:szCs w:val="21"/>
          <w:lang w:val="en-US" w:eastAsia="zh-CN" w:bidi="ar-SA"/>
        </w:rPr>
        <w:t>9</w:t>
      </w:r>
      <w:r>
        <w:rPr>
          <w:rFonts w:hint="default" w:ascii="Times New Roman" w:hAnsi="Times New Roman" w:cs="Times New Roman" w:eastAsiaTheme="minorEastAsia"/>
          <w:b w:val="0"/>
          <w:bCs w:val="0"/>
          <w:color w:val="auto"/>
          <w:kern w:val="2"/>
          <w:sz w:val="21"/>
          <w:szCs w:val="21"/>
          <w:lang w:val="en-US" w:eastAsia="zh-CN" w:bidi="ar-SA"/>
        </w:rPr>
        <w:t>月</w:t>
      </w:r>
      <w:r>
        <w:rPr>
          <w:rFonts w:hint="eastAsia" w:ascii="Times New Roman" w:hAnsi="Times New Roman" w:cs="Times New Roman"/>
          <w:b w:val="0"/>
          <w:bCs w:val="0"/>
          <w:color w:val="auto"/>
          <w:kern w:val="2"/>
          <w:sz w:val="21"/>
          <w:szCs w:val="21"/>
          <w:lang w:val="en-US" w:eastAsia="zh-CN" w:bidi="ar-SA"/>
        </w:rPr>
        <w:t>5</w:t>
      </w:r>
      <w:r>
        <w:rPr>
          <w:rFonts w:hint="default" w:ascii="Times New Roman" w:hAnsi="Times New Roman" w:cs="Times New Roman" w:eastAsiaTheme="minorEastAsia"/>
          <w:b w:val="0"/>
          <w:bCs w:val="0"/>
          <w:color w:val="auto"/>
          <w:kern w:val="2"/>
          <w:sz w:val="21"/>
          <w:szCs w:val="21"/>
          <w:lang w:val="en-US" w:eastAsia="zh-CN" w:bidi="ar-SA"/>
        </w:rPr>
        <w:t>日将《绩效评价报告意见反馈表》 《伊宁县成品油税费农村公路日常养护项目绩效评价报告（征求意见稿）》报送至伊宁县交通运输局。</w:t>
      </w:r>
    </w:p>
    <w:p w14:paraId="45AE6D68">
      <w:pPr>
        <w:pStyle w:val="6"/>
        <w:spacing w:before="0" w:after="0" w:line="360" w:lineRule="auto"/>
        <w:ind w:firstLine="641"/>
        <w:rPr>
          <w:rFonts w:hint="eastAsia"/>
        </w:rPr>
      </w:pPr>
      <w:r>
        <w:rPr>
          <w:rFonts w:hint="default" w:ascii="Times New Roman" w:hAnsi="Times New Roman" w:cs="Times New Roman" w:eastAsiaTheme="minorEastAsia"/>
          <w:b w:val="0"/>
          <w:bCs w:val="0"/>
          <w:color w:val="auto"/>
          <w:kern w:val="2"/>
          <w:sz w:val="21"/>
          <w:szCs w:val="21"/>
          <w:lang w:val="en-US" w:eastAsia="zh-CN" w:bidi="ar-SA"/>
        </w:rPr>
        <w:t>伊宁县交通运输局于202</w:t>
      </w:r>
      <w:r>
        <w:rPr>
          <w:rFonts w:hint="eastAsia" w:ascii="Times New Roman" w:hAnsi="Times New Roman" w:cs="Times New Roman"/>
          <w:b w:val="0"/>
          <w:bCs w:val="0"/>
          <w:color w:val="auto"/>
          <w:kern w:val="2"/>
          <w:sz w:val="21"/>
          <w:szCs w:val="21"/>
          <w:lang w:val="en-US" w:eastAsia="zh-CN" w:bidi="ar-SA"/>
        </w:rPr>
        <w:t>5</w:t>
      </w:r>
      <w:r>
        <w:rPr>
          <w:rFonts w:hint="default" w:ascii="Times New Roman" w:hAnsi="Times New Roman" w:cs="Times New Roman" w:eastAsiaTheme="minorEastAsia"/>
          <w:b w:val="0"/>
          <w:bCs w:val="0"/>
          <w:color w:val="auto"/>
          <w:kern w:val="2"/>
          <w:sz w:val="21"/>
          <w:szCs w:val="21"/>
          <w:lang w:val="en-US" w:eastAsia="zh-CN" w:bidi="ar-SA"/>
        </w:rPr>
        <w:t>年</w:t>
      </w:r>
      <w:r>
        <w:rPr>
          <w:rFonts w:hint="eastAsia" w:ascii="Times New Roman" w:hAnsi="Times New Roman" w:cs="Times New Roman"/>
          <w:b w:val="0"/>
          <w:bCs w:val="0"/>
          <w:color w:val="auto"/>
          <w:kern w:val="2"/>
          <w:sz w:val="21"/>
          <w:szCs w:val="21"/>
          <w:lang w:val="en-US" w:eastAsia="zh-CN" w:bidi="ar-SA"/>
        </w:rPr>
        <w:t>9</w:t>
      </w:r>
      <w:r>
        <w:rPr>
          <w:rFonts w:hint="default" w:ascii="Times New Roman" w:hAnsi="Times New Roman" w:cs="Times New Roman" w:eastAsiaTheme="minorEastAsia"/>
          <w:b w:val="0"/>
          <w:bCs w:val="0"/>
          <w:color w:val="auto"/>
          <w:kern w:val="2"/>
          <w:sz w:val="21"/>
          <w:szCs w:val="21"/>
          <w:lang w:val="en-US" w:eastAsia="zh-CN" w:bidi="ar-SA"/>
        </w:rPr>
        <w:t>月</w:t>
      </w:r>
      <w:r>
        <w:rPr>
          <w:rFonts w:hint="eastAsia" w:ascii="Times New Roman" w:hAnsi="Times New Roman" w:cs="Times New Roman"/>
          <w:b w:val="0"/>
          <w:bCs w:val="0"/>
          <w:color w:val="auto"/>
          <w:kern w:val="2"/>
          <w:sz w:val="21"/>
          <w:szCs w:val="21"/>
          <w:lang w:val="en-US" w:eastAsia="zh-CN" w:bidi="ar-SA"/>
        </w:rPr>
        <w:t>8</w:t>
      </w:r>
      <w:r>
        <w:rPr>
          <w:rFonts w:hint="default" w:ascii="Times New Roman" w:hAnsi="Times New Roman" w:cs="Times New Roman" w:eastAsiaTheme="minorEastAsia"/>
          <w:b w:val="0"/>
          <w:bCs w:val="0"/>
          <w:color w:val="auto"/>
          <w:kern w:val="2"/>
          <w:sz w:val="21"/>
          <w:szCs w:val="21"/>
          <w:lang w:val="en-US" w:eastAsia="zh-CN" w:bidi="ar-SA"/>
        </w:rPr>
        <w:t>日反馈绩效评价报告的审核意见，反馈意见为无意见，</w:t>
      </w:r>
      <w:r>
        <w:rPr>
          <w:rFonts w:hint="eastAsia" w:ascii="Times New Roman" w:hAnsi="Times New Roman" w:cs="Times New Roman"/>
          <w:b w:val="0"/>
          <w:bCs w:val="0"/>
          <w:color w:val="auto"/>
          <w:kern w:val="2"/>
          <w:sz w:val="21"/>
          <w:szCs w:val="21"/>
          <w:lang w:val="en-US" w:eastAsia="zh-CN" w:bidi="ar-SA"/>
        </w:rPr>
        <w:t>详</w:t>
      </w:r>
      <w:r>
        <w:rPr>
          <w:rFonts w:hint="default" w:ascii="Times New Roman" w:hAnsi="Times New Roman" w:cs="Times New Roman" w:eastAsiaTheme="minorEastAsia"/>
          <w:b w:val="0"/>
          <w:bCs w:val="0"/>
          <w:color w:val="auto"/>
          <w:kern w:val="2"/>
          <w:sz w:val="21"/>
          <w:szCs w:val="21"/>
          <w:lang w:val="en-US" w:eastAsia="zh-CN" w:bidi="ar-SA"/>
        </w:rPr>
        <w:t>见《绩效评价报告意见反馈表》。</w:t>
      </w:r>
    </w:p>
    <w:p w14:paraId="6848BAA4">
      <w:pPr>
        <w:pStyle w:val="6"/>
        <w:spacing w:before="0" w:after="0" w:line="360" w:lineRule="auto"/>
        <w:ind w:firstLine="641"/>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6</w:t>
      </w:r>
      <w:r>
        <w:rPr>
          <w:rFonts w:hint="eastAsia" w:ascii="Times New Roman" w:hAnsi="Times New Roman" w:eastAsia="宋体" w:cs="Times New Roman"/>
          <w:color w:val="auto"/>
          <w:highlight w:val="none"/>
        </w:rPr>
        <w:t>.资料档案</w:t>
      </w:r>
      <w:bookmarkStart w:id="140" w:name="_GoBack"/>
      <w:bookmarkEnd w:id="140"/>
    </w:p>
    <w:p w14:paraId="7EAFC602">
      <w:pPr>
        <w:spacing w:before="0" w:after="0" w:line="360" w:lineRule="auto"/>
        <w:ind w:firstLine="64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第三方机构将绩效评价过程中收集的全部有效资料，主要包括绩效评价工作方案、绩效指标的佐证材料、各单位反馈意见和建议、实地调研记录、调查问卷、绩效评价报告等一并归档，并按照有关档案管理规定妥善管理。</w:t>
      </w:r>
    </w:p>
    <w:p w14:paraId="06859071">
      <w:pPr>
        <w:pStyle w:val="4"/>
        <w:pageBreakBefore w:val="0"/>
        <w:kinsoku/>
        <w:wordWrap/>
        <w:overflowPunct/>
        <w:topLinePunct w:val="0"/>
        <w:autoSpaceDE/>
        <w:autoSpaceDN/>
        <w:bidi w:val="0"/>
        <w:snapToGrid w:val="0"/>
        <w:spacing w:line="360" w:lineRule="auto"/>
        <w:ind w:firstLine="482"/>
        <w:rPr>
          <w:rFonts w:ascii="Times New Roman" w:hAnsi="Times New Roman" w:eastAsia="宋体" w:cs="Times New Roman"/>
          <w:color w:val="auto"/>
          <w:highlight w:val="none"/>
        </w:rPr>
      </w:pPr>
      <w:bookmarkStart w:id="76" w:name="_Toc3606"/>
      <w:bookmarkStart w:id="77" w:name="_Toc204914280"/>
      <w:r>
        <w:rPr>
          <w:rFonts w:hint="eastAsia" w:ascii="Times New Roman" w:hAnsi="Times New Roman" w:eastAsia="宋体" w:cs="Times New Roman"/>
          <w:color w:val="auto"/>
          <w:highlight w:val="none"/>
        </w:rPr>
        <w:t>四</w:t>
      </w:r>
      <w:r>
        <w:rPr>
          <w:rFonts w:ascii="Times New Roman" w:hAnsi="Times New Roman" w:eastAsia="宋体" w:cs="Times New Roman"/>
          <w:color w:val="auto"/>
          <w:highlight w:val="none"/>
        </w:rPr>
        <w:t>、综合评价情况及评价结论</w:t>
      </w:r>
      <w:bookmarkEnd w:id="70"/>
      <w:bookmarkEnd w:id="76"/>
      <w:bookmarkEnd w:id="77"/>
    </w:p>
    <w:p w14:paraId="791D307A">
      <w:pPr>
        <w:pStyle w:val="5"/>
        <w:pageBreakBefore w:val="0"/>
        <w:kinsoku/>
        <w:wordWrap/>
        <w:overflowPunct/>
        <w:topLinePunct w:val="0"/>
        <w:autoSpaceDE/>
        <w:autoSpaceDN/>
        <w:bidi w:val="0"/>
        <w:snapToGrid w:val="0"/>
        <w:spacing w:line="360" w:lineRule="auto"/>
        <w:ind w:firstLine="482"/>
        <w:rPr>
          <w:rFonts w:ascii="Times New Roman" w:hAnsi="Times New Roman" w:eastAsia="宋体" w:cs="Times New Roman"/>
          <w:color w:val="auto"/>
          <w:highlight w:val="none"/>
          <w:lang w:eastAsia="zh-TW"/>
        </w:rPr>
      </w:pPr>
      <w:bookmarkStart w:id="78" w:name="_Toc1578017819"/>
      <w:bookmarkStart w:id="79" w:name="_Toc7325"/>
      <w:bookmarkStart w:id="80" w:name="_Toc535"/>
      <w:bookmarkStart w:id="81" w:name="_Toc22544"/>
      <w:r>
        <w:rPr>
          <w:rFonts w:hint="eastAsia" w:ascii="Times New Roman" w:hAnsi="Times New Roman" w:eastAsia="宋体" w:cs="Times New Roman"/>
          <w:color w:val="auto"/>
          <w:highlight w:val="none"/>
        </w:rPr>
        <w:t>（一）评价得分情况</w:t>
      </w:r>
      <w:bookmarkEnd w:id="78"/>
      <w:bookmarkEnd w:id="79"/>
    </w:p>
    <w:p w14:paraId="3B9F84C9">
      <w:pPr>
        <w:pageBreakBefore w:val="0"/>
        <w:kinsoku/>
        <w:wordWrap/>
        <w:overflowPunct/>
        <w:topLinePunct w:val="0"/>
        <w:autoSpaceDE/>
        <w:autoSpaceDN/>
        <w:bidi w:val="0"/>
        <w:snapToGrid w:val="0"/>
        <w:spacing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zh-TW" w:eastAsia="zh-TW"/>
        </w:rPr>
        <w:t>通过调研、数据分析、访谈等方式，根据工作方案确定的指标体系及评分标准，对“</w:t>
      </w:r>
      <w:r>
        <w:rPr>
          <w:rFonts w:hint="eastAsia" w:ascii="Times New Roman" w:hAnsi="Times New Roman" w:eastAsia="宋体" w:cs="Times New Roman"/>
          <w:color w:val="auto"/>
          <w:highlight w:val="none"/>
          <w:lang w:val="en-US" w:eastAsia="zh-CN"/>
        </w:rPr>
        <w:t>伊宁县成品油税费农村公路日常养护项目</w:t>
      </w:r>
      <w:r>
        <w:rPr>
          <w:rFonts w:hint="eastAsia" w:ascii="Times New Roman" w:hAnsi="Times New Roman" w:eastAsia="宋体" w:cs="Times New Roman"/>
          <w:color w:val="auto"/>
          <w:highlight w:val="none"/>
          <w:lang w:val="zh-TW" w:eastAsia="zh-TW"/>
        </w:rPr>
        <w:t>”绩效进行客观评价</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该</w:t>
      </w:r>
      <w:r>
        <w:rPr>
          <w:rFonts w:hint="eastAsia" w:ascii="Times New Roman" w:hAnsi="Times New Roman" w:eastAsia="宋体" w:cs="Times New Roman"/>
          <w:color w:val="auto"/>
          <w:highlight w:val="none"/>
        </w:rPr>
        <w:t>项目最终得分为</w:t>
      </w:r>
      <w:r>
        <w:rPr>
          <w:rFonts w:hint="eastAsia" w:eastAsia="宋体" w:cs="Times New Roman"/>
          <w:color w:val="auto"/>
          <w:sz w:val="21"/>
          <w:szCs w:val="21"/>
          <w:highlight w:val="none"/>
          <w:lang w:val="en-US" w:eastAsia="zh-CN"/>
        </w:rPr>
        <w:t>88.50</w:t>
      </w:r>
      <w:r>
        <w:rPr>
          <w:rFonts w:hint="eastAsia" w:ascii="Times New Roman" w:hAnsi="Times New Roman" w:eastAsia="宋体" w:cs="Times New Roman"/>
          <w:color w:val="auto"/>
          <w:highlight w:val="none"/>
        </w:rPr>
        <w:t>分，评价级别属于“</w:t>
      </w:r>
      <w:r>
        <w:rPr>
          <w:rFonts w:hint="eastAsia" w:ascii="Times New Roman" w:hAnsi="Times New Roman" w:eastAsia="宋体" w:cs="Times New Roman"/>
          <w:color w:val="auto"/>
          <w:highlight w:val="none"/>
          <w:lang w:val="en-US" w:eastAsia="zh-CN"/>
        </w:rPr>
        <w:t>良</w:t>
      </w:r>
      <w:r>
        <w:rPr>
          <w:rFonts w:hint="eastAsia" w:ascii="Times New Roman" w:hAnsi="Times New Roman" w:eastAsia="宋体" w:cs="Times New Roman"/>
          <w:color w:val="auto"/>
          <w:highlight w:val="none"/>
        </w:rPr>
        <w:t>”。各部分权重和绩效分值如下表：</w:t>
      </w:r>
    </w:p>
    <w:p w14:paraId="21E59C0D">
      <w:pPr>
        <w:pStyle w:val="29"/>
        <w:pageBreakBefore w:val="0"/>
        <w:kinsoku/>
        <w:wordWrap/>
        <w:overflowPunct/>
        <w:topLinePunct w:val="0"/>
        <w:autoSpaceDE/>
        <w:autoSpaceDN/>
        <w:bidi w:val="0"/>
        <w:snapToGrid w:val="0"/>
        <w:spacing w:before="0" w:after="0" w:line="360" w:lineRule="auto"/>
        <w:jc w:val="center"/>
        <w:rPr>
          <w:rFonts w:ascii="Times New Roman" w:hAnsi="Times New Roman" w:eastAsia="宋体" w:cs="Times New Roman"/>
          <w:bCs/>
          <w:color w:val="auto"/>
          <w:sz w:val="21"/>
          <w:szCs w:val="21"/>
          <w:highlight w:val="none"/>
        </w:rPr>
      </w:pPr>
      <w:r>
        <w:rPr>
          <w:rFonts w:hint="eastAsia" w:ascii="Times New Roman" w:hAnsi="Times New Roman" w:eastAsia="宋体" w:cs="Times New Roman"/>
          <w:b/>
          <w:bCs w:val="0"/>
          <w:color w:val="auto"/>
          <w:sz w:val="21"/>
          <w:szCs w:val="21"/>
          <w:highlight w:val="none"/>
          <w:lang w:val="zh-TW" w:eastAsia="zh-TW"/>
        </w:rPr>
        <w:t>表</w:t>
      </w:r>
      <w:r>
        <w:rPr>
          <w:rFonts w:hint="eastAsia" w:ascii="Times New Roman" w:hAnsi="Times New Roman" w:eastAsia="宋体" w:cs="Times New Roman"/>
          <w:b/>
          <w:bCs w:val="0"/>
          <w:color w:val="auto"/>
          <w:sz w:val="21"/>
          <w:szCs w:val="21"/>
          <w:highlight w:val="none"/>
          <w:lang w:val="en-US" w:eastAsia="zh-CN"/>
        </w:rPr>
        <w:t>4-1</w:t>
      </w:r>
      <w:r>
        <w:rPr>
          <w:rFonts w:hint="eastAsia" w:ascii="Times New Roman" w:hAnsi="Times New Roman" w:eastAsia="宋体" w:cs="Times New Roman"/>
          <w:b/>
          <w:bCs w:val="0"/>
          <w:color w:val="auto"/>
          <w:sz w:val="21"/>
          <w:szCs w:val="21"/>
          <w:highlight w:val="none"/>
          <w:lang w:val="zh-TW"/>
        </w:rPr>
        <w:t>：</w:t>
      </w:r>
      <w:r>
        <w:rPr>
          <w:rFonts w:hint="eastAsia" w:ascii="Times New Roman" w:hAnsi="Times New Roman" w:eastAsia="宋体" w:cs="Times New Roman"/>
          <w:b/>
          <w:bCs w:val="0"/>
          <w:color w:val="auto"/>
          <w:sz w:val="21"/>
          <w:szCs w:val="21"/>
          <w:highlight w:val="none"/>
          <w:lang w:val="zh-TW" w:eastAsia="zh-CN"/>
        </w:rPr>
        <w:t>伊宁县成品油税费农村公路日常养护项目</w:t>
      </w:r>
      <w:r>
        <w:rPr>
          <w:rFonts w:hint="eastAsia" w:ascii="Times New Roman" w:hAnsi="Times New Roman" w:eastAsia="宋体" w:cs="Times New Roman"/>
          <w:b/>
          <w:bCs w:val="0"/>
          <w:color w:val="auto"/>
          <w:sz w:val="21"/>
          <w:szCs w:val="21"/>
          <w:highlight w:val="none"/>
          <w:lang w:val="zh-TW"/>
        </w:rPr>
        <w:t>得分表</w:t>
      </w:r>
    </w:p>
    <w:tbl>
      <w:tblPr>
        <w:tblStyle w:val="18"/>
        <w:tblW w:w="5001"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3"/>
        <w:gridCol w:w="1614"/>
        <w:gridCol w:w="1614"/>
        <w:gridCol w:w="1614"/>
        <w:gridCol w:w="1614"/>
        <w:gridCol w:w="1129"/>
      </w:tblGrid>
      <w:tr w14:paraId="454478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707BF5BA">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1BC17A88">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2FEF010A">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过程</w:t>
            </w:r>
            <w:r>
              <w:rPr>
                <w:rFonts w:ascii="Times New Roman" w:hAnsi="Times New Roman" w:eastAsia="宋体" w:cs="Times New Roman"/>
                <w:b/>
                <w:bCs/>
                <w:color w:val="auto"/>
                <w:sz w:val="21"/>
                <w:szCs w:val="21"/>
                <w:highlight w:val="none"/>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7C8EB2E3">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产出</w:t>
            </w:r>
            <w:r>
              <w:rPr>
                <w:rFonts w:ascii="Times New Roman" w:hAnsi="Times New Roman" w:eastAsia="宋体" w:cs="Times New Roman"/>
                <w:b/>
                <w:bCs/>
                <w:color w:val="auto"/>
                <w:sz w:val="21"/>
                <w:szCs w:val="21"/>
                <w:highlight w:val="none"/>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2B1E352F">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lang w:val="zh-TW" w:eastAsia="zh-TW"/>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效益</w:t>
            </w:r>
            <w:r>
              <w:rPr>
                <w:rFonts w:ascii="Times New Roman" w:hAnsi="Times New Roman" w:eastAsia="宋体" w:cs="Times New Roman"/>
                <w:b/>
                <w:bCs/>
                <w:color w:val="auto"/>
                <w:sz w:val="21"/>
                <w:szCs w:val="21"/>
                <w:highlight w:val="none"/>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06CA7950">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合计分值</w:t>
            </w:r>
          </w:p>
        </w:tc>
      </w:tr>
      <w:tr w14:paraId="7434F6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2FA7531C">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权重</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EB25E15">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10.00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6A7C328">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25.00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3AA80B0">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30.00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6CB2020">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35.00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AEBF9EE">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100.00</w:t>
            </w:r>
          </w:p>
        </w:tc>
      </w:tr>
      <w:tr w14:paraId="511399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0795F914">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得分</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08BCA99">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9.5</w:t>
            </w:r>
            <w:r>
              <w:rPr>
                <w:rFonts w:hint="eastAsia" w:ascii="Times New Roman" w:hAnsi="Times New Roman" w:eastAsia="宋体" w:cs="Times New Roman"/>
                <w:color w:val="auto"/>
                <w:sz w:val="21"/>
                <w:szCs w:val="21"/>
                <w:highlight w:val="none"/>
              </w:rPr>
              <w:t>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49F3C88">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1</w:t>
            </w:r>
            <w:r>
              <w:rPr>
                <w:rFonts w:hint="eastAsia" w:hAnsi="Times New Roman" w:eastAsia="宋体" w:cs="Times New Roman"/>
                <w:color w:val="auto"/>
                <w:sz w:val="21"/>
                <w:szCs w:val="21"/>
                <w:highlight w:val="none"/>
                <w:lang w:val="en-US" w:eastAsia="zh-CN"/>
              </w:rPr>
              <w:t>7</w:t>
            </w:r>
            <w:r>
              <w:rPr>
                <w:rFonts w:hint="eastAsia" w:ascii="Times New Roman" w:hAnsi="Times New Roman" w:eastAsia="宋体" w:cs="Times New Roman"/>
                <w:color w:val="auto"/>
                <w:sz w:val="21"/>
                <w:szCs w:val="21"/>
                <w:highlight w:val="none"/>
                <w:lang w:val="en-US" w:eastAsia="zh-CN"/>
              </w:rPr>
              <w:t>.00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07729DA">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27</w:t>
            </w:r>
            <w:r>
              <w:rPr>
                <w:rFonts w:hint="eastAsia" w:ascii="Times New Roman" w:hAnsi="Times New Roman" w:eastAsia="宋体" w:cs="Times New Roman"/>
                <w:color w:val="auto"/>
                <w:sz w:val="21"/>
                <w:szCs w:val="21"/>
                <w:highlight w:val="none"/>
              </w:rPr>
              <w:t>.00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7CFD676">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35</w:t>
            </w:r>
            <w:r>
              <w:rPr>
                <w:rFonts w:hint="eastAsia" w:ascii="Times New Roman" w:hAnsi="Times New Roman" w:eastAsia="宋体" w:cs="Times New Roman"/>
                <w:color w:val="auto"/>
                <w:sz w:val="21"/>
                <w:szCs w:val="21"/>
                <w:highlight w:val="none"/>
              </w:rPr>
              <w:t>.00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FB19F88">
            <w:pPr>
              <w:pStyle w:val="29"/>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highlight w:val="none"/>
                <w:lang w:val="en-US"/>
              </w:rPr>
            </w:pPr>
            <w:r>
              <w:rPr>
                <w:rFonts w:hint="eastAsia" w:hAnsi="Times New Roman" w:eastAsia="宋体" w:cs="Times New Roman"/>
                <w:color w:val="auto"/>
                <w:sz w:val="21"/>
                <w:szCs w:val="21"/>
                <w:highlight w:val="none"/>
                <w:lang w:val="en-US" w:eastAsia="zh-CN"/>
              </w:rPr>
              <w:t>88.50</w:t>
            </w:r>
          </w:p>
        </w:tc>
      </w:tr>
      <w:tr w14:paraId="3D51CE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0895CB6C">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得分率</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6DFB62B">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95</w:t>
            </w:r>
            <w:r>
              <w:rPr>
                <w:rFonts w:hint="eastAsia" w:ascii="Times New Roman" w:hAnsi="Times New Roman" w:eastAsia="宋体" w:cs="Times New Roman"/>
                <w:color w:val="auto"/>
                <w:sz w:val="21"/>
                <w:szCs w:val="21"/>
                <w:highlight w:val="none"/>
              </w:rPr>
              <w:t>.00%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340370E">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6</w:t>
            </w:r>
            <w:r>
              <w:rPr>
                <w:rFonts w:hint="eastAsia" w:hAnsi="Times New Roman" w:eastAsia="宋体" w:cs="Times New Roman"/>
                <w:color w:val="auto"/>
                <w:sz w:val="21"/>
                <w:szCs w:val="21"/>
                <w:highlight w:val="none"/>
                <w:lang w:val="en-US" w:eastAsia="zh-CN"/>
              </w:rPr>
              <w:t>8</w:t>
            </w:r>
            <w:r>
              <w:rPr>
                <w:rFonts w:hint="eastAsia" w:ascii="Times New Roman" w:hAnsi="Times New Roman" w:eastAsia="宋体" w:cs="Times New Roman"/>
                <w:color w:val="auto"/>
                <w:sz w:val="21"/>
                <w:szCs w:val="21"/>
                <w:highlight w:val="none"/>
              </w:rPr>
              <w:t>.00%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05A1DC7">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90.00</w:t>
            </w:r>
            <w:r>
              <w:rPr>
                <w:rFonts w:hint="eastAsia" w:ascii="Times New Roman" w:hAnsi="Times New Roman" w:eastAsia="宋体" w:cs="Times New Roman"/>
                <w:color w:val="auto"/>
                <w:sz w:val="21"/>
                <w:szCs w:val="21"/>
                <w:highlight w:val="none"/>
              </w:rPr>
              <w:t>%</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255910C">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100</w:t>
            </w:r>
            <w:r>
              <w:rPr>
                <w:rFonts w:hint="eastAsia" w:ascii="Times New Roman" w:hAnsi="Times New Roman" w:eastAsia="宋体" w:cs="Times New Roman"/>
                <w:color w:val="auto"/>
                <w:sz w:val="21"/>
                <w:szCs w:val="21"/>
                <w:highlight w:val="none"/>
              </w:rPr>
              <w:t>.00%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2416AEB">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hAnsi="Times New Roman" w:eastAsia="宋体" w:cs="Times New Roman"/>
                <w:color w:val="auto"/>
                <w:sz w:val="21"/>
                <w:szCs w:val="21"/>
                <w:highlight w:val="none"/>
                <w:lang w:val="en-US" w:eastAsia="zh-CN"/>
              </w:rPr>
              <w:t>88.50</w:t>
            </w:r>
            <w:r>
              <w:rPr>
                <w:rFonts w:hint="eastAsia" w:ascii="Times New Roman" w:hAnsi="Times New Roman" w:eastAsia="宋体" w:cs="Times New Roman"/>
                <w:color w:val="auto"/>
                <w:sz w:val="21"/>
                <w:szCs w:val="21"/>
                <w:highlight w:val="none"/>
              </w:rPr>
              <w:t>%</w:t>
            </w:r>
          </w:p>
        </w:tc>
      </w:tr>
    </w:tbl>
    <w:p w14:paraId="2ED23AD2">
      <w:pPr>
        <w:pageBreakBefore w:val="0"/>
        <w:kinsoku/>
        <w:wordWrap/>
        <w:overflowPunct/>
        <w:topLinePunct w:val="0"/>
        <w:autoSpaceDE/>
        <w:autoSpaceDN/>
        <w:bidi w:val="0"/>
        <w:snapToGrid w:val="0"/>
        <w:spacing w:line="360" w:lineRule="auto"/>
        <w:ind w:firstLine="420"/>
        <w:rPr>
          <w:rFonts w:ascii="Times New Roman" w:hAnsi="Times New Roman" w:eastAsia="宋体" w:cs="Times New Roman"/>
          <w:color w:val="auto"/>
          <w:highlight w:val="none"/>
        </w:rPr>
      </w:pPr>
    </w:p>
    <w:p w14:paraId="00A9C009">
      <w:pPr>
        <w:pStyle w:val="5"/>
        <w:pageBreakBefore w:val="0"/>
        <w:kinsoku/>
        <w:wordWrap/>
        <w:overflowPunct/>
        <w:topLinePunct w:val="0"/>
        <w:autoSpaceDE/>
        <w:autoSpaceDN/>
        <w:bidi w:val="0"/>
        <w:snapToGrid w:val="0"/>
        <w:spacing w:line="360" w:lineRule="auto"/>
        <w:ind w:firstLine="482"/>
        <w:rPr>
          <w:rFonts w:ascii="Times New Roman" w:hAnsi="Times New Roman" w:eastAsia="宋体" w:cs="Times New Roman"/>
          <w:color w:val="auto"/>
          <w:highlight w:val="none"/>
        </w:rPr>
      </w:pPr>
      <w:bookmarkStart w:id="82" w:name="_Toc19845"/>
      <w:bookmarkStart w:id="83" w:name="_Toc322443483"/>
      <w:bookmarkStart w:id="84" w:name="_Toc8980"/>
      <w:r>
        <w:rPr>
          <w:rFonts w:hint="eastAsia" w:ascii="Times New Roman" w:hAnsi="Times New Roman" w:eastAsia="宋体" w:cs="Times New Roman"/>
          <w:color w:val="auto"/>
          <w:highlight w:val="none"/>
        </w:rPr>
        <w:t>（二）综合评价结论</w:t>
      </w:r>
      <w:bookmarkEnd w:id="82"/>
      <w:bookmarkEnd w:id="83"/>
      <w:bookmarkEnd w:id="84"/>
    </w:p>
    <w:p w14:paraId="1B19B11B">
      <w:pPr>
        <w:pageBreakBefore w:val="0"/>
        <w:kinsoku/>
        <w:wordWrap/>
        <w:overflowPunct/>
        <w:topLinePunct w:val="0"/>
        <w:autoSpaceDE/>
        <w:autoSpaceDN/>
        <w:bidi w:val="0"/>
        <w:adjustRightInd w:val="0"/>
        <w:snapToGrid w:val="0"/>
        <w:spacing w:line="360" w:lineRule="auto"/>
        <w:ind w:firstLine="420" w:firstLineChars="200"/>
        <w:rPr>
          <w:rFonts w:hint="default" w:ascii="Times New Roman" w:hAnsi="Times New Roman" w:eastAsia="宋体" w:cs="Times New Roman"/>
          <w:color w:val="auto"/>
          <w:highlight w:val="none"/>
          <w:lang w:val="zh-TW" w:eastAsia="zh-TW"/>
        </w:rPr>
      </w:pPr>
      <w:bookmarkStart w:id="85" w:name="_Toc1206377400"/>
      <w:r>
        <w:rPr>
          <w:rFonts w:hint="default" w:ascii="Times New Roman" w:hAnsi="Times New Roman" w:eastAsia="宋体" w:cs="Times New Roman"/>
          <w:color w:val="auto"/>
          <w:highlight w:val="none"/>
          <w:lang w:val="en-US" w:eastAsia="zh-CN"/>
        </w:rPr>
        <w:t>经评价分析，</w:t>
      </w:r>
      <w:r>
        <w:rPr>
          <w:rFonts w:hint="default" w:ascii="Times New Roman" w:hAnsi="Times New Roman" w:eastAsia="宋体" w:cs="Times New Roman"/>
          <w:color w:val="auto"/>
          <w:highlight w:val="none"/>
          <w:lang w:val="zh-TW" w:eastAsia="zh-TW"/>
        </w:rPr>
        <w:t>伊宁县成品油税费农村公路日常养护项目</w:t>
      </w:r>
      <w:r>
        <w:rPr>
          <w:rFonts w:hint="default" w:ascii="Times New Roman" w:hAnsi="Times New Roman" w:eastAsia="宋体" w:cs="Times New Roman"/>
          <w:color w:val="auto"/>
          <w:highlight w:val="none"/>
          <w:lang w:val="en-US" w:eastAsia="zh-CN"/>
        </w:rPr>
        <w:t>总体实施情况良好，</w:t>
      </w:r>
      <w:r>
        <w:rPr>
          <w:rFonts w:hint="default" w:ascii="Times New Roman" w:hAnsi="Times New Roman" w:eastAsia="宋体" w:cs="Times New Roman"/>
          <w:color w:val="auto"/>
          <w:highlight w:val="none"/>
          <w:lang w:val="zh-TW" w:eastAsia="zh-TW"/>
        </w:rPr>
        <w:t>该项目实际于202</w:t>
      </w:r>
      <w:r>
        <w:rPr>
          <w:rFonts w:hint="default" w:ascii="Times New Roman" w:hAnsi="Times New Roman" w:eastAsia="宋体" w:cs="Times New Roman"/>
          <w:color w:val="auto"/>
          <w:highlight w:val="none"/>
          <w:lang w:val="en-US" w:eastAsia="zh-CN"/>
        </w:rPr>
        <w:t>4</w:t>
      </w:r>
      <w:r>
        <w:rPr>
          <w:rFonts w:hint="default" w:ascii="Times New Roman" w:hAnsi="Times New Roman" w:eastAsia="宋体" w:cs="Times New Roman"/>
          <w:color w:val="auto"/>
          <w:highlight w:val="none"/>
          <w:lang w:val="zh-TW" w:eastAsia="zh-TW"/>
        </w:rPr>
        <w:t>年</w:t>
      </w:r>
      <w:r>
        <w:rPr>
          <w:rFonts w:hint="default" w:ascii="Times New Roman" w:hAnsi="Times New Roman" w:eastAsia="宋体" w:cs="Times New Roman"/>
          <w:color w:val="auto"/>
          <w:highlight w:val="none"/>
          <w:lang w:val="en-US" w:eastAsia="zh-CN"/>
        </w:rPr>
        <w:t>6</w:t>
      </w:r>
      <w:r>
        <w:rPr>
          <w:rFonts w:hint="default" w:ascii="Times New Roman" w:hAnsi="Times New Roman" w:eastAsia="宋体" w:cs="Times New Roman"/>
          <w:color w:val="auto"/>
          <w:highlight w:val="none"/>
          <w:lang w:val="zh-TW" w:eastAsia="zh-TW"/>
        </w:rPr>
        <w:t>月</w:t>
      </w:r>
      <w:r>
        <w:rPr>
          <w:rFonts w:hint="default" w:ascii="Times New Roman" w:hAnsi="Times New Roman" w:eastAsia="宋体" w:cs="Times New Roman"/>
          <w:color w:val="auto"/>
          <w:highlight w:val="none"/>
          <w:lang w:val="en-US" w:eastAsia="zh-CN"/>
        </w:rPr>
        <w:t>25日</w:t>
      </w:r>
      <w:r>
        <w:rPr>
          <w:rFonts w:hint="default" w:ascii="Times New Roman" w:hAnsi="Times New Roman" w:eastAsia="宋体" w:cs="Times New Roman"/>
          <w:color w:val="auto"/>
          <w:highlight w:val="none"/>
          <w:lang w:val="zh-TW" w:eastAsia="zh-TW"/>
        </w:rPr>
        <w:t>开工建设，</w:t>
      </w:r>
      <w:r>
        <w:rPr>
          <w:rFonts w:hint="default" w:ascii="Times New Roman" w:hAnsi="Times New Roman" w:eastAsia="宋体" w:cs="Times New Roman"/>
          <w:color w:val="auto"/>
          <w:highlight w:val="none"/>
          <w:lang w:val="en-US" w:eastAsia="zh-CN"/>
        </w:rPr>
        <w:t>2024年</w:t>
      </w:r>
      <w:r>
        <w:rPr>
          <w:rFonts w:hint="eastAsia" w:ascii="Times New Roman" w:hAnsi="Times New Roman" w:eastAsia="宋体" w:cs="Times New Roman"/>
          <w:color w:val="auto"/>
          <w:highlight w:val="none"/>
          <w:lang w:val="en-US" w:eastAsia="zh-CN"/>
        </w:rPr>
        <w:t>9</w:t>
      </w:r>
      <w:r>
        <w:rPr>
          <w:rFonts w:hint="default" w:ascii="Times New Roman" w:hAnsi="Times New Roman" w:eastAsia="宋体" w:cs="Times New Roman"/>
          <w:color w:val="auto"/>
          <w:highlight w:val="none"/>
          <w:lang w:val="en-US" w:eastAsia="zh-CN"/>
        </w:rPr>
        <w:t>月</w:t>
      </w:r>
      <w:r>
        <w:rPr>
          <w:rFonts w:hint="eastAsia" w:ascii="Times New Roman" w:hAnsi="Times New Roman" w:eastAsia="宋体" w:cs="Times New Roman"/>
          <w:color w:val="auto"/>
          <w:highlight w:val="none"/>
          <w:lang w:val="en-US" w:eastAsia="zh-CN"/>
        </w:rPr>
        <w:t>9</w:t>
      </w:r>
      <w:r>
        <w:rPr>
          <w:rFonts w:hint="default" w:ascii="Times New Roman" w:hAnsi="Times New Roman" w:eastAsia="宋体" w:cs="Times New Roman"/>
          <w:color w:val="auto"/>
          <w:highlight w:val="none"/>
          <w:lang w:val="en-US" w:eastAsia="zh-CN"/>
        </w:rPr>
        <w:t>日</w:t>
      </w:r>
      <w:r>
        <w:rPr>
          <w:rFonts w:hint="eastAsia" w:ascii="Times New Roman" w:hAnsi="Times New Roman" w:eastAsia="宋体" w:cs="Times New Roman"/>
          <w:color w:val="auto"/>
          <w:highlight w:val="none"/>
          <w:lang w:val="en-US" w:eastAsia="zh-CN"/>
        </w:rPr>
        <w:t>交工</w:t>
      </w:r>
      <w:r>
        <w:rPr>
          <w:rFonts w:hint="default" w:ascii="Times New Roman" w:hAnsi="Times New Roman" w:eastAsia="宋体" w:cs="Times New Roman"/>
          <w:color w:val="auto"/>
          <w:highlight w:val="none"/>
          <w:lang w:val="en-US" w:eastAsia="zh-CN"/>
        </w:rPr>
        <w:t>，完成了对伊宁县27条县乡村道路合计</w:t>
      </w:r>
      <w:r>
        <w:rPr>
          <w:rFonts w:hint="eastAsia" w:eastAsia="宋体" w:cs="Times New Roman"/>
          <w:color w:val="auto"/>
          <w:highlight w:val="none"/>
          <w:lang w:val="en-US" w:eastAsia="zh-CN"/>
        </w:rPr>
        <w:t>214.2</w:t>
      </w:r>
      <w:r>
        <w:rPr>
          <w:rFonts w:hint="default" w:ascii="Times New Roman" w:hAnsi="Times New Roman" w:eastAsia="宋体" w:cs="Times New Roman"/>
          <w:color w:val="auto"/>
          <w:highlight w:val="none"/>
          <w:lang w:val="en-US" w:eastAsia="zh-CN"/>
        </w:rPr>
        <w:t>公里进行路基路面日常养护，实现保障出行安全，降低交通风险、改善乡村生活环境的目标。但在实施过程中也存在</w:t>
      </w:r>
      <w:r>
        <w:rPr>
          <w:rFonts w:hint="default" w:ascii="Times New Roman" w:hAnsi="Times New Roman" w:eastAsia="宋体" w:cs="Times New Roman"/>
          <w:b w:val="0"/>
          <w:bCs w:val="0"/>
          <w:color w:val="auto"/>
          <w:highlight w:val="none"/>
        </w:rPr>
        <w:t>项目合同履约不到位</w:t>
      </w:r>
      <w:r>
        <w:rPr>
          <w:rFonts w:hint="eastAsia" w:ascii="Times New Roman" w:hAnsi="Times New Roman" w:eastAsia="宋体" w:cs="Times New Roman"/>
          <w:b w:val="0"/>
          <w:bCs w:val="0"/>
          <w:color w:val="auto"/>
          <w:highlight w:val="none"/>
          <w:lang w:eastAsia="zh-CN"/>
        </w:rPr>
        <w:t>、</w:t>
      </w:r>
      <w:r>
        <w:rPr>
          <w:rFonts w:hint="eastAsia" w:ascii="Times New Roman" w:hAnsi="Times New Roman" w:eastAsia="宋体" w:cs="Times New Roman"/>
          <w:b w:val="0"/>
          <w:bCs w:val="0"/>
          <w:color w:val="auto"/>
          <w:highlight w:val="none"/>
          <w:lang w:val="en-US" w:eastAsia="zh-CN"/>
        </w:rPr>
        <w:t>未按合同约定进度支付款项</w:t>
      </w:r>
      <w:r>
        <w:rPr>
          <w:rFonts w:hint="eastAsia" w:eastAsia="宋体" w:cs="Times New Roman"/>
          <w:b w:val="0"/>
          <w:bCs w:val="0"/>
          <w:color w:val="auto"/>
          <w:highlight w:val="none"/>
          <w:lang w:val="en-US" w:eastAsia="zh-CN"/>
        </w:rPr>
        <w:t>、</w:t>
      </w:r>
      <w:r>
        <w:rPr>
          <w:rFonts w:hint="default" w:ascii="Times New Roman" w:hAnsi="Times New Roman" w:eastAsia="宋体" w:cs="Times New Roman"/>
          <w:b w:val="0"/>
          <w:bCs w:val="0"/>
          <w:color w:val="auto"/>
          <w:highlight w:val="none"/>
        </w:rPr>
        <w:t>未及时开展竣工财务决算审计</w:t>
      </w:r>
      <w:r>
        <w:rPr>
          <w:rFonts w:hint="eastAsia" w:eastAsia="宋体" w:cs="Times New Roman"/>
          <w:b w:val="0"/>
          <w:bCs w:val="0"/>
          <w:color w:val="auto"/>
          <w:highlight w:val="none"/>
          <w:lang w:eastAsia="zh-CN"/>
        </w:rPr>
        <w:t>、</w:t>
      </w:r>
      <w:r>
        <w:rPr>
          <w:rFonts w:hint="eastAsia" w:eastAsia="宋体" w:cs="Times New Roman"/>
          <w:b w:val="0"/>
          <w:bCs w:val="0"/>
          <w:color w:val="auto"/>
          <w:highlight w:val="none"/>
          <w:lang w:val="en-US" w:eastAsia="zh-CN"/>
        </w:rPr>
        <w:t>项目采购管理及项目档案管理不规范</w:t>
      </w:r>
      <w:r>
        <w:rPr>
          <w:rFonts w:hint="default" w:ascii="Times New Roman" w:hAnsi="Times New Roman" w:eastAsia="宋体" w:cs="Times New Roman"/>
          <w:color w:val="auto"/>
          <w:highlight w:val="none"/>
          <w:lang w:val="en-US" w:eastAsia="zh-CN"/>
        </w:rPr>
        <w:t>等问题。</w:t>
      </w:r>
    </w:p>
    <w:p w14:paraId="109041BC">
      <w:pPr>
        <w:pStyle w:val="4"/>
        <w:pageBreakBefore w:val="0"/>
        <w:kinsoku/>
        <w:wordWrap/>
        <w:overflowPunct/>
        <w:topLinePunct w:val="0"/>
        <w:autoSpaceDE/>
        <w:autoSpaceDN/>
        <w:bidi w:val="0"/>
        <w:snapToGrid w:val="0"/>
        <w:spacing w:line="360" w:lineRule="auto"/>
        <w:ind w:firstLine="482"/>
        <w:rPr>
          <w:rFonts w:ascii="Times New Roman" w:hAnsi="Times New Roman" w:eastAsia="宋体" w:cs="Times New Roman"/>
          <w:color w:val="auto"/>
          <w:highlight w:val="none"/>
        </w:rPr>
      </w:pPr>
      <w:bookmarkStart w:id="86" w:name="_Toc10676"/>
      <w:r>
        <w:rPr>
          <w:rFonts w:hint="eastAsia" w:ascii="Times New Roman" w:hAnsi="Times New Roman" w:eastAsia="宋体" w:cs="Times New Roman"/>
          <w:color w:val="auto"/>
          <w:highlight w:val="none"/>
        </w:rPr>
        <w:t>五</w:t>
      </w:r>
      <w:r>
        <w:rPr>
          <w:rFonts w:ascii="Times New Roman" w:hAnsi="Times New Roman" w:eastAsia="宋体" w:cs="Times New Roman"/>
          <w:color w:val="auto"/>
          <w:highlight w:val="none"/>
        </w:rPr>
        <w:t>、绩效评价指标分析</w:t>
      </w:r>
      <w:bookmarkEnd w:id="80"/>
      <w:bookmarkEnd w:id="81"/>
      <w:bookmarkEnd w:id="85"/>
      <w:bookmarkEnd w:id="86"/>
    </w:p>
    <w:p w14:paraId="447DBD16">
      <w:pPr>
        <w:pStyle w:val="5"/>
        <w:pageBreakBefore w:val="0"/>
        <w:kinsoku/>
        <w:wordWrap/>
        <w:overflowPunct/>
        <w:topLinePunct w:val="0"/>
        <w:autoSpaceDE/>
        <w:autoSpaceDN/>
        <w:bidi w:val="0"/>
        <w:snapToGrid w:val="0"/>
        <w:spacing w:line="360" w:lineRule="auto"/>
        <w:ind w:firstLine="482"/>
        <w:rPr>
          <w:rFonts w:ascii="Times New Roman" w:hAnsi="Times New Roman" w:eastAsia="宋体" w:cs="Times New Roman"/>
          <w:color w:val="auto"/>
          <w:highlight w:val="none"/>
        </w:rPr>
      </w:pPr>
      <w:bookmarkStart w:id="87" w:name="_Toc30518"/>
      <w:bookmarkStart w:id="88" w:name="_Toc18078"/>
      <w:bookmarkStart w:id="89" w:name="_Toc22260"/>
      <w:bookmarkStart w:id="90" w:name="_Toc1191850473"/>
      <w:r>
        <w:rPr>
          <w:rFonts w:ascii="Times New Roman" w:hAnsi="Times New Roman" w:eastAsia="宋体" w:cs="Times New Roman"/>
          <w:color w:val="auto"/>
          <w:highlight w:val="none"/>
        </w:rPr>
        <w:t>（一）项目决策情况</w:t>
      </w:r>
      <w:bookmarkEnd w:id="87"/>
      <w:bookmarkEnd w:id="88"/>
      <w:bookmarkEnd w:id="89"/>
      <w:bookmarkEnd w:id="90"/>
    </w:p>
    <w:p w14:paraId="7B890BA1">
      <w:pPr>
        <w:pageBreakBefore w:val="0"/>
        <w:kinsoku/>
        <w:wordWrap/>
        <w:overflowPunct/>
        <w:topLinePunct w:val="0"/>
        <w:autoSpaceDE/>
        <w:autoSpaceDN/>
        <w:bidi w:val="0"/>
        <w:adjustRightInd/>
        <w:snapToGrid w:val="0"/>
        <w:spacing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项目决策类指标由3个二级指标和</w:t>
      </w:r>
      <w:r>
        <w:rPr>
          <w:rFonts w:hint="eastAsia" w:ascii="Times New Roman" w:hAnsi="Times New Roman" w:eastAsia="宋体" w:cs="Times New Roman"/>
          <w:color w:val="auto"/>
          <w:highlight w:val="none"/>
          <w:lang w:val="en-US" w:eastAsia="zh-CN"/>
        </w:rPr>
        <w:t>6</w:t>
      </w:r>
      <w:r>
        <w:rPr>
          <w:rFonts w:hint="eastAsia" w:ascii="Times New Roman" w:hAnsi="Times New Roman" w:eastAsia="宋体" w:cs="Times New Roman"/>
          <w:color w:val="auto"/>
          <w:highlight w:val="none"/>
        </w:rPr>
        <w:t>个三级指标构成，权重分10.00分，实际得分</w:t>
      </w:r>
      <w:r>
        <w:rPr>
          <w:rFonts w:hint="eastAsia" w:ascii="Times New Roman" w:hAnsi="Times New Roman" w:eastAsia="宋体" w:cs="Times New Roman"/>
          <w:color w:val="auto"/>
          <w:highlight w:val="none"/>
          <w:lang w:val="en-US" w:eastAsia="zh-CN"/>
        </w:rPr>
        <w:t>9.5</w:t>
      </w:r>
      <w:r>
        <w:rPr>
          <w:rFonts w:hint="eastAsia" w:ascii="Times New Roman" w:hAnsi="Times New Roman" w:eastAsia="宋体" w:cs="Times New Roman"/>
          <w:color w:val="auto"/>
          <w:highlight w:val="none"/>
        </w:rPr>
        <w:t>0分，得分率为</w:t>
      </w:r>
      <w:r>
        <w:rPr>
          <w:rFonts w:hint="eastAsia" w:ascii="Times New Roman" w:hAnsi="Times New Roman" w:eastAsia="宋体" w:cs="Times New Roman"/>
          <w:color w:val="auto"/>
          <w:highlight w:val="none"/>
          <w:lang w:val="en-US" w:eastAsia="zh-CN"/>
        </w:rPr>
        <w:t>95</w:t>
      </w:r>
      <w:r>
        <w:rPr>
          <w:rFonts w:hint="eastAsia" w:ascii="Times New Roman" w:hAnsi="Times New Roman" w:eastAsia="宋体" w:cs="Times New Roman"/>
          <w:color w:val="auto"/>
          <w:highlight w:val="none"/>
        </w:rPr>
        <w:t>.00%。各指标业绩值和绩效分值如下表所示：</w:t>
      </w:r>
    </w:p>
    <w:p w14:paraId="3E5091D6">
      <w:pPr>
        <w:pageBreakBefore w:val="0"/>
        <w:kinsoku/>
        <w:wordWrap/>
        <w:overflowPunct/>
        <w:topLinePunct w:val="0"/>
        <w:autoSpaceDE/>
        <w:autoSpaceDN/>
        <w:bidi w:val="0"/>
        <w:snapToGrid w:val="0"/>
        <w:spacing w:line="360" w:lineRule="auto"/>
        <w:ind w:firstLine="0" w:firstLineChars="0"/>
        <w:jc w:val="center"/>
        <w:rPr>
          <w:rFonts w:ascii="Times New Roman" w:hAnsi="Times New Roman" w:eastAsia="宋体" w:cs="Times New Roman"/>
          <w:b/>
          <w:bCs/>
          <w:color w:val="auto"/>
          <w:szCs w:val="16"/>
          <w:highlight w:val="none"/>
        </w:rPr>
      </w:pPr>
      <w:r>
        <w:rPr>
          <w:rFonts w:ascii="Times New Roman" w:hAnsi="Times New Roman" w:eastAsia="宋体" w:cs="Times New Roman"/>
          <w:b/>
          <w:bCs/>
          <w:color w:val="auto"/>
          <w:szCs w:val="16"/>
          <w:highlight w:val="none"/>
        </w:rPr>
        <w:t>表</w:t>
      </w:r>
      <w:r>
        <w:rPr>
          <w:rFonts w:hint="eastAsia" w:ascii="Times New Roman" w:hAnsi="Times New Roman" w:eastAsia="宋体" w:cs="Times New Roman"/>
          <w:b/>
          <w:bCs/>
          <w:color w:val="auto"/>
          <w:szCs w:val="16"/>
          <w:highlight w:val="none"/>
          <w:lang w:val="en-US" w:eastAsia="zh-CN"/>
        </w:rPr>
        <w:t>5</w:t>
      </w:r>
      <w:r>
        <w:rPr>
          <w:rFonts w:ascii="Times New Roman" w:hAnsi="Times New Roman" w:eastAsia="宋体" w:cs="Times New Roman"/>
          <w:b/>
          <w:bCs/>
          <w:color w:val="auto"/>
          <w:szCs w:val="16"/>
          <w:highlight w:val="none"/>
        </w:rPr>
        <w:t>-1：项目决策类指标及分值</w:t>
      </w:r>
    </w:p>
    <w:tbl>
      <w:tblPr>
        <w:tblStyle w:val="18"/>
        <w:tblW w:w="4998" w:type="pct"/>
        <w:tblInd w:w="0" w:type="dxa"/>
        <w:tblLayout w:type="autofit"/>
        <w:tblCellMar>
          <w:top w:w="0" w:type="dxa"/>
          <w:left w:w="0" w:type="dxa"/>
          <w:bottom w:w="0" w:type="dxa"/>
          <w:right w:w="0" w:type="dxa"/>
        </w:tblCellMar>
      </w:tblPr>
      <w:tblGrid>
        <w:gridCol w:w="1071"/>
        <w:gridCol w:w="1060"/>
        <w:gridCol w:w="2132"/>
        <w:gridCol w:w="855"/>
        <w:gridCol w:w="1155"/>
        <w:gridCol w:w="633"/>
        <w:gridCol w:w="643"/>
        <w:gridCol w:w="778"/>
      </w:tblGrid>
      <w:tr w14:paraId="78AC6FC4">
        <w:tblPrEx>
          <w:tblCellMar>
            <w:top w:w="0" w:type="dxa"/>
            <w:left w:w="0" w:type="dxa"/>
            <w:bottom w:w="0" w:type="dxa"/>
            <w:right w:w="0" w:type="dxa"/>
          </w:tblCellMar>
        </w:tblPrEx>
        <w:trPr>
          <w:trHeight w:val="397" w:hRule="atLeast"/>
          <w:tblHeader/>
        </w:trPr>
        <w:tc>
          <w:tcPr>
            <w:tcW w:w="643"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B5D4832">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一级指标</w:t>
            </w:r>
          </w:p>
        </w:tc>
        <w:tc>
          <w:tcPr>
            <w:tcW w:w="636"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16501FC">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二级指标</w:t>
            </w:r>
          </w:p>
        </w:tc>
        <w:tc>
          <w:tcPr>
            <w:tcW w:w="127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0AB7A92">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三级指标</w:t>
            </w:r>
          </w:p>
        </w:tc>
        <w:tc>
          <w:tcPr>
            <w:tcW w:w="513"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45F86A0">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目标值</w:t>
            </w:r>
          </w:p>
        </w:tc>
        <w:tc>
          <w:tcPr>
            <w:tcW w:w="69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6A73284">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实际完成值</w:t>
            </w:r>
          </w:p>
        </w:tc>
        <w:tc>
          <w:tcPr>
            <w:tcW w:w="380"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212A8B6">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权重</w:t>
            </w:r>
          </w:p>
        </w:tc>
        <w:tc>
          <w:tcPr>
            <w:tcW w:w="386"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76C2F2B">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得分</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8D8C6FA">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得分率</w:t>
            </w:r>
          </w:p>
        </w:tc>
      </w:tr>
      <w:tr w14:paraId="2AB6F208">
        <w:tblPrEx>
          <w:tblCellMar>
            <w:top w:w="0" w:type="dxa"/>
            <w:left w:w="0" w:type="dxa"/>
            <w:bottom w:w="0" w:type="dxa"/>
            <w:right w:w="0" w:type="dxa"/>
          </w:tblCellMar>
        </w:tblPrEx>
        <w:trPr>
          <w:trHeight w:val="397" w:hRule="atLeast"/>
        </w:trPr>
        <w:tc>
          <w:tcPr>
            <w:tcW w:w="643"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5A7FCB2">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bidi="ar"/>
              </w:rPr>
              <w:t>A决策（10.00分）　</w:t>
            </w:r>
          </w:p>
        </w:tc>
        <w:tc>
          <w:tcPr>
            <w:tcW w:w="636"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699DC61">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bidi="ar"/>
              </w:rPr>
              <w:t>A1项目立项（3.00分）　</w:t>
            </w:r>
          </w:p>
        </w:tc>
        <w:tc>
          <w:tcPr>
            <w:tcW w:w="127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72A2459">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A11立项依据充分性</w:t>
            </w:r>
          </w:p>
        </w:tc>
        <w:tc>
          <w:tcPr>
            <w:tcW w:w="513"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253459E">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充分</w:t>
            </w:r>
          </w:p>
        </w:tc>
        <w:tc>
          <w:tcPr>
            <w:tcW w:w="69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896E721">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bidi="ar"/>
              </w:rPr>
              <w:t>充分</w:t>
            </w:r>
          </w:p>
        </w:tc>
        <w:tc>
          <w:tcPr>
            <w:tcW w:w="380"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9E57B43">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bidi="ar"/>
              </w:rPr>
              <w:t>1.50</w:t>
            </w:r>
          </w:p>
        </w:tc>
        <w:tc>
          <w:tcPr>
            <w:tcW w:w="386"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9A68CA9">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bidi="ar"/>
              </w:rPr>
              <w:t>1.50</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6C9C3EA">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val="en-US" w:eastAsia="zh-CN" w:bidi="ar"/>
              </w:rPr>
              <w:t>10</w:t>
            </w:r>
            <w:r>
              <w:rPr>
                <w:rFonts w:hint="eastAsia" w:ascii="Times New Roman" w:hAnsi="Times New Roman" w:eastAsia="宋体" w:cs="Times New Roman"/>
                <w:color w:val="auto"/>
                <w:kern w:val="2"/>
                <w:sz w:val="21"/>
                <w:szCs w:val="21"/>
                <w:highlight w:val="none"/>
                <w:lang w:bidi="ar"/>
              </w:rPr>
              <w:t>0.00%</w:t>
            </w:r>
          </w:p>
        </w:tc>
      </w:tr>
      <w:tr w14:paraId="060C1706">
        <w:tblPrEx>
          <w:tblCellMar>
            <w:top w:w="0" w:type="dxa"/>
            <w:left w:w="0" w:type="dxa"/>
            <w:bottom w:w="0" w:type="dxa"/>
            <w:right w:w="0" w:type="dxa"/>
          </w:tblCellMar>
        </w:tblPrEx>
        <w:trPr>
          <w:trHeight w:val="397" w:hRule="atLeast"/>
        </w:trPr>
        <w:tc>
          <w:tcPr>
            <w:tcW w:w="64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6FEBE56">
            <w:pPr>
              <w:pageBreakBefore w:val="0"/>
              <w:widowControl/>
              <w:kinsoku/>
              <w:wordWrap/>
              <w:overflowPunct/>
              <w:topLinePunct w:val="0"/>
              <w:autoSpaceDE/>
              <w:autoSpaceDN/>
              <w:bidi w:val="0"/>
              <w:adjustRightInd/>
              <w:snapToGrid w:val="0"/>
              <w:spacing w:before="0" w:after="0" w:line="240" w:lineRule="auto"/>
              <w:ind w:firstLine="420" w:firstLineChars="0"/>
              <w:jc w:val="left"/>
              <w:textAlignment w:val="auto"/>
              <w:rPr>
                <w:rFonts w:hint="eastAsia" w:ascii="Times New Roman" w:hAnsi="Times New Roman" w:eastAsia="宋体" w:cs="Times New Roman"/>
                <w:color w:val="auto"/>
                <w:kern w:val="2"/>
                <w:sz w:val="21"/>
                <w:szCs w:val="21"/>
                <w:highlight w:val="none"/>
                <w:lang w:bidi="ar"/>
              </w:rPr>
            </w:pPr>
          </w:p>
        </w:tc>
        <w:tc>
          <w:tcPr>
            <w:tcW w:w="636"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5E93D8A">
            <w:pPr>
              <w:pageBreakBefore w:val="0"/>
              <w:widowControl/>
              <w:kinsoku/>
              <w:wordWrap/>
              <w:overflowPunct/>
              <w:topLinePunct w:val="0"/>
              <w:autoSpaceDE/>
              <w:autoSpaceDN/>
              <w:bidi w:val="0"/>
              <w:adjustRightInd/>
              <w:snapToGrid w:val="0"/>
              <w:spacing w:before="0" w:after="0" w:line="240" w:lineRule="auto"/>
              <w:ind w:firstLine="420" w:firstLineChars="0"/>
              <w:jc w:val="left"/>
              <w:textAlignment w:val="auto"/>
              <w:rPr>
                <w:rFonts w:hint="eastAsia" w:ascii="Times New Roman" w:hAnsi="Times New Roman" w:eastAsia="宋体" w:cs="Times New Roman"/>
                <w:color w:val="auto"/>
                <w:kern w:val="2"/>
                <w:sz w:val="21"/>
                <w:szCs w:val="21"/>
                <w:highlight w:val="none"/>
                <w:lang w:bidi="ar"/>
              </w:rPr>
            </w:pPr>
          </w:p>
        </w:tc>
        <w:tc>
          <w:tcPr>
            <w:tcW w:w="127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C1394FB">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A12立项程序规范性</w:t>
            </w:r>
          </w:p>
        </w:tc>
        <w:tc>
          <w:tcPr>
            <w:tcW w:w="513"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7CD4492">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合规</w:t>
            </w:r>
          </w:p>
        </w:tc>
        <w:tc>
          <w:tcPr>
            <w:tcW w:w="69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4E4FA1E">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bidi="ar"/>
              </w:rPr>
              <w:t>合规</w:t>
            </w:r>
          </w:p>
        </w:tc>
        <w:tc>
          <w:tcPr>
            <w:tcW w:w="380"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D313FC1">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bidi="ar"/>
              </w:rPr>
              <w:t>1.50</w:t>
            </w:r>
          </w:p>
        </w:tc>
        <w:tc>
          <w:tcPr>
            <w:tcW w:w="386"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8C3C724">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bidi="ar"/>
              </w:rPr>
              <w:t>1.50</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3B82652">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val="en-US" w:eastAsia="zh-CN" w:bidi="ar"/>
              </w:rPr>
              <w:t>10</w:t>
            </w:r>
            <w:r>
              <w:rPr>
                <w:rFonts w:hint="eastAsia" w:ascii="Times New Roman" w:hAnsi="Times New Roman" w:eastAsia="宋体" w:cs="Times New Roman"/>
                <w:color w:val="auto"/>
                <w:kern w:val="2"/>
                <w:sz w:val="21"/>
                <w:szCs w:val="21"/>
                <w:highlight w:val="none"/>
                <w:lang w:bidi="ar"/>
              </w:rPr>
              <w:t>0.00%</w:t>
            </w:r>
          </w:p>
        </w:tc>
      </w:tr>
      <w:tr w14:paraId="63431B29">
        <w:tblPrEx>
          <w:tblCellMar>
            <w:top w:w="0" w:type="dxa"/>
            <w:left w:w="0" w:type="dxa"/>
            <w:bottom w:w="0" w:type="dxa"/>
            <w:right w:w="0" w:type="dxa"/>
          </w:tblCellMar>
        </w:tblPrEx>
        <w:trPr>
          <w:trHeight w:val="397" w:hRule="atLeast"/>
        </w:trPr>
        <w:tc>
          <w:tcPr>
            <w:tcW w:w="64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749BC40">
            <w:pPr>
              <w:pageBreakBefore w:val="0"/>
              <w:widowControl/>
              <w:kinsoku/>
              <w:wordWrap/>
              <w:overflowPunct/>
              <w:topLinePunct w:val="0"/>
              <w:autoSpaceDE/>
              <w:autoSpaceDN/>
              <w:bidi w:val="0"/>
              <w:adjustRightInd/>
              <w:snapToGrid w:val="0"/>
              <w:spacing w:before="0" w:after="0" w:line="240" w:lineRule="auto"/>
              <w:ind w:firstLine="420" w:firstLineChars="0"/>
              <w:jc w:val="left"/>
              <w:textAlignment w:val="auto"/>
              <w:rPr>
                <w:rFonts w:hint="eastAsia" w:ascii="Times New Roman" w:hAnsi="Times New Roman" w:eastAsia="宋体" w:cs="Times New Roman"/>
                <w:color w:val="auto"/>
                <w:kern w:val="2"/>
                <w:sz w:val="21"/>
                <w:szCs w:val="21"/>
                <w:highlight w:val="none"/>
                <w:lang w:bidi="ar"/>
              </w:rPr>
            </w:pPr>
          </w:p>
        </w:tc>
        <w:tc>
          <w:tcPr>
            <w:tcW w:w="636"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B9D91C4">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bidi="ar"/>
              </w:rPr>
              <w:t>A2绩效目标（4.00分）　</w:t>
            </w:r>
          </w:p>
        </w:tc>
        <w:tc>
          <w:tcPr>
            <w:tcW w:w="127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16860EC">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A21绩效目标合理性</w:t>
            </w:r>
          </w:p>
        </w:tc>
        <w:tc>
          <w:tcPr>
            <w:tcW w:w="513"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3BA9B41">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合理</w:t>
            </w:r>
          </w:p>
        </w:tc>
        <w:tc>
          <w:tcPr>
            <w:tcW w:w="69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3AA8DBE">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bidi="ar"/>
              </w:rPr>
              <w:t>合理</w:t>
            </w:r>
          </w:p>
        </w:tc>
        <w:tc>
          <w:tcPr>
            <w:tcW w:w="380"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757DFD3">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bidi="ar"/>
              </w:rPr>
              <w:t>2.00</w:t>
            </w:r>
          </w:p>
        </w:tc>
        <w:tc>
          <w:tcPr>
            <w:tcW w:w="386"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3BC9EAE">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bidi="ar"/>
              </w:rPr>
              <w:t>2.00</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CCC0D26">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val="en-US" w:eastAsia="zh-CN" w:bidi="ar"/>
              </w:rPr>
              <w:t>10</w:t>
            </w:r>
            <w:r>
              <w:rPr>
                <w:rFonts w:hint="eastAsia" w:ascii="Times New Roman" w:hAnsi="Times New Roman" w:eastAsia="宋体" w:cs="Times New Roman"/>
                <w:color w:val="auto"/>
                <w:kern w:val="2"/>
                <w:sz w:val="21"/>
                <w:szCs w:val="21"/>
                <w:highlight w:val="none"/>
                <w:lang w:bidi="ar"/>
              </w:rPr>
              <w:t>0.00%</w:t>
            </w:r>
          </w:p>
        </w:tc>
      </w:tr>
      <w:tr w14:paraId="1201F3A5">
        <w:tblPrEx>
          <w:tblCellMar>
            <w:top w:w="0" w:type="dxa"/>
            <w:left w:w="0" w:type="dxa"/>
            <w:bottom w:w="0" w:type="dxa"/>
            <w:right w:w="0" w:type="dxa"/>
          </w:tblCellMar>
        </w:tblPrEx>
        <w:trPr>
          <w:trHeight w:val="397" w:hRule="atLeast"/>
        </w:trPr>
        <w:tc>
          <w:tcPr>
            <w:tcW w:w="64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F9BDDFD">
            <w:pPr>
              <w:pageBreakBefore w:val="0"/>
              <w:widowControl/>
              <w:kinsoku/>
              <w:wordWrap/>
              <w:overflowPunct/>
              <w:topLinePunct w:val="0"/>
              <w:autoSpaceDE/>
              <w:autoSpaceDN/>
              <w:bidi w:val="0"/>
              <w:adjustRightInd/>
              <w:snapToGrid w:val="0"/>
              <w:spacing w:before="0" w:after="0" w:line="240" w:lineRule="auto"/>
              <w:ind w:firstLine="420" w:firstLineChars="0"/>
              <w:jc w:val="left"/>
              <w:textAlignment w:val="auto"/>
              <w:rPr>
                <w:rFonts w:hint="eastAsia" w:ascii="Times New Roman" w:hAnsi="Times New Roman" w:eastAsia="宋体" w:cs="Times New Roman"/>
                <w:color w:val="auto"/>
                <w:kern w:val="2"/>
                <w:sz w:val="21"/>
                <w:szCs w:val="21"/>
                <w:highlight w:val="none"/>
                <w:lang w:bidi="ar"/>
              </w:rPr>
            </w:pPr>
          </w:p>
        </w:tc>
        <w:tc>
          <w:tcPr>
            <w:tcW w:w="636"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8B575FB">
            <w:pPr>
              <w:pageBreakBefore w:val="0"/>
              <w:widowControl/>
              <w:kinsoku/>
              <w:wordWrap/>
              <w:overflowPunct/>
              <w:topLinePunct w:val="0"/>
              <w:autoSpaceDE/>
              <w:autoSpaceDN/>
              <w:bidi w:val="0"/>
              <w:adjustRightInd/>
              <w:snapToGrid w:val="0"/>
              <w:spacing w:before="0" w:after="0" w:line="240" w:lineRule="auto"/>
              <w:ind w:firstLine="420" w:firstLineChars="0"/>
              <w:jc w:val="left"/>
              <w:textAlignment w:val="auto"/>
              <w:rPr>
                <w:rFonts w:hint="eastAsia" w:ascii="Times New Roman" w:hAnsi="Times New Roman" w:eastAsia="宋体" w:cs="Times New Roman"/>
                <w:color w:val="auto"/>
                <w:kern w:val="2"/>
                <w:sz w:val="21"/>
                <w:szCs w:val="21"/>
                <w:highlight w:val="none"/>
                <w:lang w:bidi="ar"/>
              </w:rPr>
            </w:pPr>
          </w:p>
        </w:tc>
        <w:tc>
          <w:tcPr>
            <w:tcW w:w="127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C9D0CAB">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A22绩效指标明确性</w:t>
            </w:r>
          </w:p>
        </w:tc>
        <w:tc>
          <w:tcPr>
            <w:tcW w:w="513"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499885B">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明确</w:t>
            </w:r>
          </w:p>
        </w:tc>
        <w:tc>
          <w:tcPr>
            <w:tcW w:w="69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B0C442B">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bidi="ar"/>
              </w:rPr>
              <w:t>明确</w:t>
            </w:r>
          </w:p>
        </w:tc>
        <w:tc>
          <w:tcPr>
            <w:tcW w:w="380"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B57F41E">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bidi="ar"/>
              </w:rPr>
              <w:t>2.00</w:t>
            </w:r>
          </w:p>
        </w:tc>
        <w:tc>
          <w:tcPr>
            <w:tcW w:w="386"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5EF9800">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bidi="ar"/>
              </w:rPr>
              <w:t>2.00</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D338FDA">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val="en-US" w:eastAsia="zh-CN" w:bidi="ar"/>
              </w:rPr>
              <w:t>10</w:t>
            </w:r>
            <w:r>
              <w:rPr>
                <w:rFonts w:hint="eastAsia" w:ascii="Times New Roman" w:hAnsi="Times New Roman" w:eastAsia="宋体" w:cs="Times New Roman"/>
                <w:color w:val="auto"/>
                <w:kern w:val="2"/>
                <w:sz w:val="21"/>
                <w:szCs w:val="21"/>
                <w:highlight w:val="none"/>
                <w:lang w:bidi="ar"/>
              </w:rPr>
              <w:t>0.00%</w:t>
            </w:r>
          </w:p>
        </w:tc>
      </w:tr>
      <w:tr w14:paraId="53FB1B5B">
        <w:tblPrEx>
          <w:tblCellMar>
            <w:top w:w="0" w:type="dxa"/>
            <w:left w:w="0" w:type="dxa"/>
            <w:bottom w:w="0" w:type="dxa"/>
            <w:right w:w="0" w:type="dxa"/>
          </w:tblCellMar>
        </w:tblPrEx>
        <w:trPr>
          <w:trHeight w:val="397" w:hRule="atLeast"/>
        </w:trPr>
        <w:tc>
          <w:tcPr>
            <w:tcW w:w="64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6EE9A50">
            <w:pPr>
              <w:pageBreakBefore w:val="0"/>
              <w:widowControl/>
              <w:kinsoku/>
              <w:wordWrap/>
              <w:overflowPunct/>
              <w:topLinePunct w:val="0"/>
              <w:autoSpaceDE/>
              <w:autoSpaceDN/>
              <w:bidi w:val="0"/>
              <w:adjustRightInd/>
              <w:snapToGrid w:val="0"/>
              <w:spacing w:before="0" w:after="0" w:line="240" w:lineRule="auto"/>
              <w:ind w:firstLine="420" w:firstLineChars="0"/>
              <w:jc w:val="left"/>
              <w:textAlignment w:val="auto"/>
              <w:rPr>
                <w:rFonts w:hint="eastAsia" w:ascii="Times New Roman" w:hAnsi="Times New Roman" w:eastAsia="宋体" w:cs="Times New Roman"/>
                <w:color w:val="auto"/>
                <w:kern w:val="2"/>
                <w:sz w:val="21"/>
                <w:szCs w:val="21"/>
                <w:highlight w:val="none"/>
                <w:lang w:bidi="ar"/>
              </w:rPr>
            </w:pPr>
          </w:p>
        </w:tc>
        <w:tc>
          <w:tcPr>
            <w:tcW w:w="636"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A09F54A">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bidi="ar"/>
              </w:rPr>
              <w:t>A3资金投入（3.00分）</w:t>
            </w:r>
          </w:p>
        </w:tc>
        <w:tc>
          <w:tcPr>
            <w:tcW w:w="127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330EBF0">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A31预算编制科学性</w:t>
            </w:r>
          </w:p>
        </w:tc>
        <w:tc>
          <w:tcPr>
            <w:tcW w:w="513"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D5056D8">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科学</w:t>
            </w:r>
          </w:p>
        </w:tc>
        <w:tc>
          <w:tcPr>
            <w:tcW w:w="69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1564CAA">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bidi="ar"/>
              </w:rPr>
              <w:t>科学</w:t>
            </w:r>
          </w:p>
        </w:tc>
        <w:tc>
          <w:tcPr>
            <w:tcW w:w="380"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4C4F575">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bidi="ar"/>
              </w:rPr>
              <w:t>1.50</w:t>
            </w:r>
          </w:p>
        </w:tc>
        <w:tc>
          <w:tcPr>
            <w:tcW w:w="386"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A807422">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bidi="ar"/>
              </w:rPr>
              <w:t>1.</w:t>
            </w:r>
            <w:r>
              <w:rPr>
                <w:rFonts w:hint="eastAsia" w:ascii="Times New Roman" w:hAnsi="Times New Roman" w:eastAsia="宋体" w:cs="Times New Roman"/>
                <w:color w:val="auto"/>
                <w:kern w:val="2"/>
                <w:sz w:val="21"/>
                <w:szCs w:val="21"/>
                <w:highlight w:val="none"/>
                <w:lang w:val="en-US" w:eastAsia="zh-CN" w:bidi="ar"/>
              </w:rPr>
              <w:t>5</w:t>
            </w:r>
            <w:r>
              <w:rPr>
                <w:rFonts w:hint="eastAsia" w:ascii="Times New Roman" w:hAnsi="Times New Roman" w:eastAsia="宋体" w:cs="Times New Roman"/>
                <w:color w:val="auto"/>
                <w:kern w:val="2"/>
                <w:sz w:val="21"/>
                <w:szCs w:val="21"/>
                <w:highlight w:val="none"/>
                <w:lang w:bidi="ar"/>
              </w:rPr>
              <w:t>0</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77C6F38">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val="en-US" w:eastAsia="zh-CN" w:bidi="ar"/>
              </w:rPr>
              <w:t>10</w:t>
            </w:r>
            <w:r>
              <w:rPr>
                <w:rFonts w:hint="eastAsia" w:ascii="Times New Roman" w:hAnsi="Times New Roman" w:eastAsia="宋体" w:cs="Times New Roman"/>
                <w:color w:val="auto"/>
                <w:kern w:val="2"/>
                <w:sz w:val="21"/>
                <w:szCs w:val="21"/>
                <w:highlight w:val="none"/>
                <w:lang w:bidi="ar"/>
              </w:rPr>
              <w:t>0.00%</w:t>
            </w:r>
          </w:p>
        </w:tc>
      </w:tr>
      <w:tr w14:paraId="008E8594">
        <w:tblPrEx>
          <w:tblCellMar>
            <w:top w:w="0" w:type="dxa"/>
            <w:left w:w="0" w:type="dxa"/>
            <w:bottom w:w="0" w:type="dxa"/>
            <w:right w:w="0" w:type="dxa"/>
          </w:tblCellMar>
        </w:tblPrEx>
        <w:trPr>
          <w:trHeight w:val="397" w:hRule="atLeast"/>
        </w:trPr>
        <w:tc>
          <w:tcPr>
            <w:tcW w:w="64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122A76D">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p>
        </w:tc>
        <w:tc>
          <w:tcPr>
            <w:tcW w:w="636"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034BBB3">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p>
        </w:tc>
        <w:tc>
          <w:tcPr>
            <w:tcW w:w="127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44EAC50">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A32资金分配合理性</w:t>
            </w:r>
          </w:p>
        </w:tc>
        <w:tc>
          <w:tcPr>
            <w:tcW w:w="513"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EDF46E1">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合理</w:t>
            </w:r>
          </w:p>
        </w:tc>
        <w:tc>
          <w:tcPr>
            <w:tcW w:w="69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392318E">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较</w:t>
            </w:r>
            <w:r>
              <w:rPr>
                <w:rFonts w:hint="eastAsia" w:ascii="Times New Roman" w:hAnsi="Times New Roman" w:eastAsia="宋体" w:cs="Times New Roman"/>
                <w:color w:val="auto"/>
                <w:kern w:val="0"/>
                <w:sz w:val="21"/>
                <w:szCs w:val="21"/>
                <w:highlight w:val="none"/>
                <w:lang w:bidi="ar"/>
              </w:rPr>
              <w:t>合理</w:t>
            </w:r>
          </w:p>
        </w:tc>
        <w:tc>
          <w:tcPr>
            <w:tcW w:w="380"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8840833">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bidi="ar"/>
              </w:rPr>
              <w:t>1.50</w:t>
            </w:r>
          </w:p>
        </w:tc>
        <w:tc>
          <w:tcPr>
            <w:tcW w:w="386"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C89A81D">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bidi="ar"/>
              </w:rPr>
              <w:t>1.</w:t>
            </w:r>
            <w:r>
              <w:rPr>
                <w:rFonts w:hint="eastAsia" w:ascii="Times New Roman" w:hAnsi="Times New Roman" w:eastAsia="宋体" w:cs="Times New Roman"/>
                <w:color w:val="auto"/>
                <w:kern w:val="2"/>
                <w:sz w:val="21"/>
                <w:szCs w:val="21"/>
                <w:highlight w:val="none"/>
                <w:lang w:val="en-US" w:eastAsia="zh-CN" w:bidi="ar"/>
              </w:rPr>
              <w:t>0</w:t>
            </w:r>
            <w:r>
              <w:rPr>
                <w:rFonts w:hint="eastAsia" w:ascii="Times New Roman" w:hAnsi="Times New Roman" w:eastAsia="宋体" w:cs="Times New Roman"/>
                <w:color w:val="auto"/>
                <w:kern w:val="2"/>
                <w:sz w:val="21"/>
                <w:szCs w:val="21"/>
                <w:highlight w:val="none"/>
                <w:lang w:bidi="ar"/>
              </w:rPr>
              <w:t>0</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EFD58FA">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val="en-US" w:eastAsia="zh-CN" w:bidi="ar"/>
              </w:rPr>
              <w:t>66.67</w:t>
            </w:r>
            <w:r>
              <w:rPr>
                <w:rFonts w:hint="eastAsia" w:ascii="Times New Roman" w:hAnsi="Times New Roman" w:eastAsia="宋体" w:cs="Times New Roman"/>
                <w:color w:val="auto"/>
                <w:kern w:val="2"/>
                <w:sz w:val="21"/>
                <w:szCs w:val="21"/>
                <w:highlight w:val="none"/>
                <w:lang w:bidi="ar"/>
              </w:rPr>
              <w:t>%</w:t>
            </w:r>
          </w:p>
        </w:tc>
      </w:tr>
      <w:tr w14:paraId="1A0D723F">
        <w:tblPrEx>
          <w:tblCellMar>
            <w:top w:w="0" w:type="dxa"/>
            <w:left w:w="0" w:type="dxa"/>
            <w:bottom w:w="0" w:type="dxa"/>
            <w:right w:w="0" w:type="dxa"/>
          </w:tblCellMar>
        </w:tblPrEx>
        <w:trPr>
          <w:trHeight w:val="397" w:hRule="atLeast"/>
        </w:trPr>
        <w:tc>
          <w:tcPr>
            <w:tcW w:w="2559" w:type="pct"/>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E0C4AE9">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合计</w:t>
            </w:r>
          </w:p>
        </w:tc>
        <w:tc>
          <w:tcPr>
            <w:tcW w:w="513"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B22BD88">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p>
        </w:tc>
        <w:tc>
          <w:tcPr>
            <w:tcW w:w="69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9CA979E">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p>
        </w:tc>
        <w:tc>
          <w:tcPr>
            <w:tcW w:w="380"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F41AA11">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bidi="ar"/>
              </w:rPr>
              <w:t>10.00</w:t>
            </w:r>
          </w:p>
        </w:tc>
        <w:tc>
          <w:tcPr>
            <w:tcW w:w="386"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87C4024">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auto"/>
              <w:rPr>
                <w:rFonts w:hint="eastAsia" w:ascii="Times New Roman" w:hAnsi="Times New Roman" w:eastAsia="宋体" w:cs="Times New Roman"/>
                <w:color w:val="auto"/>
                <w:kern w:val="2"/>
                <w:sz w:val="21"/>
                <w:szCs w:val="21"/>
                <w:highlight w:val="none"/>
                <w:lang w:val="en-US" w:eastAsia="zh-CN" w:bidi="ar"/>
              </w:rPr>
            </w:pPr>
            <w:r>
              <w:rPr>
                <w:rFonts w:hint="eastAsia" w:ascii="Times New Roman" w:hAnsi="Times New Roman" w:eastAsia="宋体" w:cs="Times New Roman"/>
                <w:color w:val="auto"/>
                <w:kern w:val="2"/>
                <w:sz w:val="21"/>
                <w:szCs w:val="21"/>
                <w:highlight w:val="none"/>
                <w:lang w:eastAsia="zh-CN" w:bidi="ar"/>
              </w:rPr>
              <w:t>9</w:t>
            </w:r>
            <w:r>
              <w:rPr>
                <w:rFonts w:hint="eastAsia" w:ascii="Times New Roman" w:hAnsi="Times New Roman" w:eastAsia="宋体" w:cs="Times New Roman"/>
                <w:color w:val="auto"/>
                <w:kern w:val="2"/>
                <w:sz w:val="21"/>
                <w:szCs w:val="21"/>
                <w:highlight w:val="none"/>
                <w:lang w:val="en-US" w:eastAsia="zh-CN" w:bidi="ar"/>
              </w:rPr>
              <w:t>.5</w:t>
            </w:r>
            <w:r>
              <w:rPr>
                <w:rFonts w:hint="eastAsia" w:ascii="Times New Roman" w:hAnsi="Times New Roman" w:eastAsia="宋体" w:cs="Times New Roman"/>
                <w:color w:val="auto"/>
                <w:kern w:val="2"/>
                <w:sz w:val="21"/>
                <w:szCs w:val="21"/>
                <w:highlight w:val="none"/>
                <w:lang w:bidi="ar"/>
              </w:rPr>
              <w:t>0</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E288C0F">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auto"/>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eastAsia="zh-CN" w:bidi="ar"/>
              </w:rPr>
              <w:t>9</w:t>
            </w:r>
            <w:r>
              <w:rPr>
                <w:rFonts w:hint="eastAsia" w:ascii="Times New Roman" w:hAnsi="Times New Roman" w:eastAsia="宋体" w:cs="Times New Roman"/>
                <w:color w:val="auto"/>
                <w:kern w:val="2"/>
                <w:sz w:val="21"/>
                <w:szCs w:val="21"/>
                <w:highlight w:val="none"/>
                <w:lang w:val="en-US" w:eastAsia="zh-CN" w:bidi="ar"/>
              </w:rPr>
              <w:t>5</w:t>
            </w:r>
            <w:r>
              <w:rPr>
                <w:rFonts w:hint="eastAsia" w:ascii="Times New Roman" w:hAnsi="Times New Roman" w:eastAsia="宋体" w:cs="Times New Roman"/>
                <w:color w:val="auto"/>
                <w:kern w:val="2"/>
                <w:sz w:val="21"/>
                <w:szCs w:val="21"/>
                <w:highlight w:val="none"/>
                <w:lang w:bidi="ar"/>
              </w:rPr>
              <w:t>.00%</w:t>
            </w:r>
          </w:p>
        </w:tc>
      </w:tr>
    </w:tbl>
    <w:p w14:paraId="36FF1E7C">
      <w:pPr>
        <w:pageBreakBefore w:val="0"/>
        <w:kinsoku/>
        <w:wordWrap/>
        <w:overflowPunct/>
        <w:topLinePunct w:val="0"/>
        <w:autoSpaceDE/>
        <w:autoSpaceDN/>
        <w:bidi w:val="0"/>
        <w:snapToGrid w:val="0"/>
        <w:spacing w:before="0" w:after="0" w:line="240" w:lineRule="auto"/>
        <w:ind w:firstLine="422"/>
        <w:rPr>
          <w:rFonts w:ascii="Times New Roman" w:hAnsi="Times New Roman" w:eastAsia="宋体" w:cs="Times New Roman"/>
          <w:b/>
          <w:bCs/>
          <w:color w:val="auto"/>
          <w:highlight w:val="none"/>
        </w:rPr>
      </w:pPr>
    </w:p>
    <w:p w14:paraId="362E689E">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指标得分分析：</w:t>
      </w:r>
    </w:p>
    <w:p w14:paraId="0119A99B">
      <w:pPr>
        <w:bidi w:val="0"/>
        <w:spacing w:line="360" w:lineRule="auto"/>
        <w:ind w:left="0" w:leftChars="0" w:firstLine="422" w:firstLineChars="200"/>
        <w:rPr>
          <w:rFonts w:hint="eastAsia" w:ascii="Times New Roman" w:hAnsi="Times New Roman" w:eastAsia="宋体" w:cs="Times New Roman"/>
          <w:b/>
          <w:bCs/>
          <w:color w:val="auto"/>
          <w:highlight w:val="none"/>
          <w:lang w:val="en-US" w:eastAsia="zh-CN"/>
        </w:rPr>
      </w:pPr>
      <w:r>
        <w:rPr>
          <w:rFonts w:hint="eastAsia" w:ascii="Times New Roman" w:hAnsi="Times New Roman" w:eastAsia="宋体" w:cs="Times New Roman"/>
          <w:b/>
          <w:bCs/>
          <w:color w:val="auto"/>
          <w:highlight w:val="none"/>
          <w:lang w:val="en-US" w:eastAsia="zh-CN"/>
        </w:rPr>
        <w:t>（1）A11立项依据充分性指标：</w:t>
      </w:r>
    </w:p>
    <w:p w14:paraId="1226A635">
      <w:pPr>
        <w:pStyle w:val="2"/>
        <w:spacing w:line="360" w:lineRule="auto"/>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①该项目立项符合《国务院办公厅关于深化农村公路管理养护体制改革的意见》（国办发〔2019〕45号）《新疆维吾尔自治区深化农村公路管理养护体制改革实施方案的通知》（新政办发〔2020〕24号）等国家法律法规、国民经济发展规划和相关政策。</w:t>
      </w:r>
    </w:p>
    <w:p w14:paraId="006217E1">
      <w:pPr>
        <w:pStyle w:val="2"/>
        <w:spacing w:line="360" w:lineRule="auto"/>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②交通运输部财政部贯彻落实《国务院办公厅关于深化农村公路管理养护体制改革的意见的通知》提出“各省级交通运输、财政部门要积极推动省级人民政府建立健全农村公路管理养护工作机制，加强安全和信用管理，强化法规政策和队伍建设；大力推行县、乡、村三级路长制，因地制宜建立健全路长管理责任体系和运行机制”。该项目立项符合行业相关政策要求。</w:t>
      </w:r>
    </w:p>
    <w:p w14:paraId="457547F6">
      <w:pPr>
        <w:pStyle w:val="2"/>
        <w:spacing w:line="360" w:lineRule="auto"/>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③该项目立项符合《伊宁县交通运输局职能配置、内设机构和人员编制规定》中“负责农村公路养护管理和路政管理工作，依法保护农村公路路产路权。负责农村公路及附属桥梁安全保护工作，负责辖区农村公路超限治理工作。”职责范围，属于履职所需。</w:t>
      </w:r>
    </w:p>
    <w:p w14:paraId="701011BA">
      <w:pPr>
        <w:pStyle w:val="2"/>
        <w:spacing w:line="360" w:lineRule="auto"/>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④该项目预算来源为2024年中央对地方成品油改革转移支付资金用于公路养护预算资金及县财政配套资金，项目资金性质为“一般公共预算资金”，支出经济分类科目为“2140106公路养护”，项目属于公共财政支持范围，符合中央、地方事权支出责任划分原则。</w:t>
      </w:r>
    </w:p>
    <w:p w14:paraId="42524EC5">
      <w:pPr>
        <w:pageBreakBefore w:val="0"/>
        <w:kinsoku/>
        <w:wordWrap/>
        <w:overflowPunct/>
        <w:topLinePunct w:val="0"/>
        <w:autoSpaceDE/>
        <w:autoSpaceDN/>
        <w:bidi w:val="0"/>
        <w:snapToGrid w:val="0"/>
        <w:spacing w:line="360" w:lineRule="auto"/>
        <w:ind w:firstLine="420"/>
        <w:rPr>
          <w:rFonts w:hint="eastAsia" w:ascii="Times New Roman" w:hAnsi="Times New Roman" w:eastAsia="宋体" w:cs="Times New Roman"/>
          <w:color w:val="auto"/>
          <w:highlight w:val="none"/>
          <w:lang w:val="zh-TW" w:eastAsia="zh-TW"/>
        </w:rPr>
      </w:pPr>
      <w:r>
        <w:rPr>
          <w:rFonts w:hint="eastAsia" w:ascii="Times New Roman" w:hAnsi="Times New Roman" w:eastAsia="宋体" w:cs="Times New Roman"/>
          <w:color w:val="auto"/>
          <w:kern w:val="2"/>
          <w:sz w:val="21"/>
          <w:szCs w:val="21"/>
          <w:highlight w:val="none"/>
          <w:lang w:val="en-US" w:eastAsia="zh-CN" w:bidi="ar-SA"/>
        </w:rPr>
        <w:t>⑤</w:t>
      </w:r>
      <w:r>
        <w:rPr>
          <w:rFonts w:hint="eastAsia" w:ascii="Times New Roman" w:hAnsi="Times New Roman" w:eastAsia="宋体" w:cs="Times New Roman"/>
          <w:color w:val="auto"/>
          <w:highlight w:val="none"/>
        </w:rPr>
        <w:t>经查询伊宁县202</w:t>
      </w:r>
      <w:r>
        <w:rPr>
          <w:rFonts w:hint="eastAsia" w:ascii="Times New Roman" w:hAnsi="Times New Roman" w:eastAsia="宋体" w:cs="Times New Roman"/>
          <w:color w:val="auto"/>
          <w:highlight w:val="none"/>
          <w:lang w:val="en-US" w:eastAsia="zh-CN"/>
        </w:rPr>
        <w:t>4</w:t>
      </w:r>
      <w:r>
        <w:rPr>
          <w:rFonts w:hint="eastAsia" w:ascii="Times New Roman" w:hAnsi="Times New Roman" w:eastAsia="宋体" w:cs="Times New Roman"/>
          <w:color w:val="auto"/>
          <w:highlight w:val="none"/>
        </w:rPr>
        <w:t>年财政预算绩效项目数据以及同年其他项目，不存在部门内部相关项目重复。</w:t>
      </w:r>
    </w:p>
    <w:p w14:paraId="2834E13B">
      <w:pPr>
        <w:pStyle w:val="2"/>
        <w:spacing w:line="360" w:lineRule="auto"/>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该指标满分为1.50分，根据评分标准得1.50分。</w:t>
      </w:r>
    </w:p>
    <w:p w14:paraId="794EF144">
      <w:pPr>
        <w:keepNext w:val="0"/>
        <w:keepLines w:val="0"/>
        <w:widowControl/>
        <w:suppressLineNumbers w:val="0"/>
        <w:spacing w:line="360" w:lineRule="auto"/>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b/>
          <w:bCs/>
          <w:color w:val="auto"/>
          <w:highlight w:val="none"/>
          <w:lang w:val="en-US" w:eastAsia="zh-CN"/>
        </w:rPr>
        <w:t>（2）A12立项程序规范性指标：</w:t>
      </w:r>
    </w:p>
    <w:p w14:paraId="402AE01B">
      <w:pPr>
        <w:pStyle w:val="2"/>
        <w:spacing w:line="360" w:lineRule="auto"/>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highlight w:val="none"/>
          <w:lang w:val="en-US" w:eastAsia="zh-CN"/>
        </w:rPr>
        <w:t>经查看相关资料，该项目已编制</w:t>
      </w:r>
      <w:r>
        <w:rPr>
          <w:rFonts w:hint="eastAsia" w:ascii="Times New Roman" w:hAnsi="Times New Roman" w:eastAsia="宋体" w:cs="Times New Roman"/>
          <w:color w:val="auto"/>
          <w:szCs w:val="21"/>
          <w:highlight w:val="none"/>
          <w:lang w:val="en-US" w:eastAsia="zh-CN"/>
        </w:rPr>
        <w:t>《伊宁县2024年农村公路日常养护项目可行性研究报告》</w:t>
      </w:r>
      <w:r>
        <w:rPr>
          <w:rFonts w:hint="default" w:ascii="Times New Roman" w:hAnsi="Times New Roman" w:eastAsia="宋体" w:cs="Times New Roman"/>
          <w:color w:val="auto"/>
          <w:highlight w:val="none"/>
          <w:lang w:val="en-US" w:eastAsia="zh-CN"/>
        </w:rPr>
        <w:t>并取得</w:t>
      </w:r>
      <w:r>
        <w:rPr>
          <w:rFonts w:hint="eastAsia" w:ascii="Times New Roman" w:hAnsi="Times New Roman" w:eastAsia="宋体" w:cs="Times New Roman"/>
          <w:color w:val="auto"/>
          <w:kern w:val="2"/>
          <w:sz w:val="21"/>
          <w:szCs w:val="21"/>
          <w:highlight w:val="none"/>
          <w:lang w:val="en-US" w:eastAsia="zh-CN" w:bidi="ar-SA"/>
        </w:rPr>
        <w:t>《关于伊宁县2024年农村公路日常养护项目可行性研究报告的批复》（伊县发改字〔2024〕117号）、《关于伊宁县2024年农村公路日常养护项目施工图设计文件的批复》（伊县交发〔2024〕7号）</w:t>
      </w:r>
      <w:r>
        <w:rPr>
          <w:rFonts w:hint="default" w:ascii="Times New Roman" w:hAnsi="Times New Roman" w:eastAsia="宋体" w:cs="Times New Roman"/>
          <w:color w:val="auto"/>
          <w:kern w:val="2"/>
          <w:sz w:val="21"/>
          <w:szCs w:val="21"/>
          <w:highlight w:val="none"/>
          <w:lang w:val="en-US" w:eastAsia="zh-CN" w:bidi="ar"/>
        </w:rPr>
        <w:t>等前期程序批复文件</w:t>
      </w:r>
      <w:r>
        <w:rPr>
          <w:rFonts w:hint="eastAsia" w:ascii="Times New Roman" w:hAnsi="Times New Roman" w:eastAsia="宋体" w:cs="Times New Roman"/>
          <w:color w:val="auto"/>
          <w:kern w:val="2"/>
          <w:sz w:val="21"/>
          <w:szCs w:val="21"/>
          <w:highlight w:val="none"/>
          <w:lang w:val="en-US" w:eastAsia="zh-CN" w:bidi="ar-SA"/>
        </w:rPr>
        <w:t>，前期手续审批文件、材料符合要求。</w:t>
      </w:r>
    </w:p>
    <w:p w14:paraId="70CECD62">
      <w:pPr>
        <w:pStyle w:val="2"/>
        <w:spacing w:line="360" w:lineRule="auto"/>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bidi="ar-SA"/>
        </w:rPr>
        <w:t>该指标满分为</w:t>
      </w:r>
      <w:r>
        <w:rPr>
          <w:rFonts w:hint="eastAsia" w:ascii="Times New Roman" w:hAnsi="Times New Roman" w:eastAsia="宋体" w:cs="Times New Roman"/>
          <w:color w:val="auto"/>
          <w:kern w:val="2"/>
          <w:sz w:val="21"/>
          <w:szCs w:val="21"/>
          <w:highlight w:val="none"/>
          <w:lang w:val="en-US" w:eastAsia="zh-CN" w:bidi="ar-SA"/>
        </w:rPr>
        <w:t>1.50</w:t>
      </w:r>
      <w:r>
        <w:rPr>
          <w:rFonts w:hint="default" w:ascii="Times New Roman" w:hAnsi="Times New Roman" w:eastAsia="宋体" w:cs="Times New Roman"/>
          <w:color w:val="auto"/>
          <w:kern w:val="2"/>
          <w:sz w:val="21"/>
          <w:szCs w:val="21"/>
          <w:highlight w:val="none"/>
          <w:lang w:val="en-US" w:eastAsia="zh-CN" w:bidi="ar-SA"/>
        </w:rPr>
        <w:t>分，根据评分标准得</w:t>
      </w:r>
      <w:r>
        <w:rPr>
          <w:rFonts w:hint="eastAsia" w:ascii="Times New Roman" w:hAnsi="Times New Roman" w:eastAsia="宋体" w:cs="Times New Roman"/>
          <w:color w:val="auto"/>
          <w:kern w:val="2"/>
          <w:sz w:val="21"/>
          <w:szCs w:val="21"/>
          <w:highlight w:val="none"/>
          <w:lang w:val="en-US" w:eastAsia="zh-CN" w:bidi="ar-SA"/>
        </w:rPr>
        <w:t>1.50</w:t>
      </w:r>
      <w:r>
        <w:rPr>
          <w:rFonts w:hint="default" w:ascii="Times New Roman" w:hAnsi="Times New Roman" w:eastAsia="宋体" w:cs="Times New Roman"/>
          <w:color w:val="auto"/>
          <w:kern w:val="2"/>
          <w:sz w:val="21"/>
          <w:szCs w:val="21"/>
          <w:highlight w:val="none"/>
          <w:lang w:val="en-US" w:eastAsia="zh-CN" w:bidi="ar-SA"/>
        </w:rPr>
        <w:t>分。</w:t>
      </w:r>
    </w:p>
    <w:p w14:paraId="6773FB18">
      <w:pPr>
        <w:widowControl/>
        <w:spacing w:line="360" w:lineRule="auto"/>
        <w:ind w:firstLine="422"/>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b/>
          <w:bCs/>
          <w:color w:val="auto"/>
          <w:highlight w:val="none"/>
        </w:rPr>
        <w:t>（3）A21绩效目标合理性</w:t>
      </w:r>
      <w:r>
        <w:rPr>
          <w:rFonts w:hint="default" w:ascii="Times New Roman" w:hAnsi="Times New Roman" w:eastAsia="宋体" w:cs="Times New Roman"/>
          <w:b/>
          <w:bCs/>
          <w:color w:val="auto"/>
          <w:highlight w:val="none"/>
          <w:lang w:val="en-US" w:eastAsia="zh-CN"/>
        </w:rPr>
        <w:t>指标</w:t>
      </w:r>
      <w:r>
        <w:rPr>
          <w:rFonts w:hint="default" w:ascii="Times New Roman" w:hAnsi="Times New Roman" w:eastAsia="宋体" w:cs="Times New Roman"/>
          <w:b/>
          <w:bCs/>
          <w:color w:val="auto"/>
          <w:highlight w:val="none"/>
        </w:rPr>
        <w:t>：</w:t>
      </w:r>
    </w:p>
    <w:p w14:paraId="6E78673D">
      <w:pPr>
        <w:pStyle w:val="2"/>
        <w:spacing w:line="360" w:lineRule="auto"/>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bidi="ar-SA"/>
        </w:rPr>
        <w:t>该项目已设置绩效目标，设置内容为“根据《关于提前下达2024年中央对地方成品油改革转移支付资金用于农村公路养护支预算的通知》（伊州财建</w:t>
      </w:r>
      <w:r>
        <w:rPr>
          <w:rFonts w:hint="eastAsia" w:ascii="Times New Roman" w:hAnsi="Times New Roman" w:eastAsia="宋体" w:cs="Times New Roman"/>
          <w:color w:val="auto"/>
          <w:kern w:val="2"/>
          <w:sz w:val="21"/>
          <w:szCs w:val="21"/>
          <w:highlight w:val="none"/>
          <w:lang w:val="en-US" w:eastAsia="zh-CN" w:bidi="ar-SA"/>
        </w:rPr>
        <w:t>〔2023〕202号</w:t>
      </w:r>
      <w:r>
        <w:rPr>
          <w:rFonts w:hint="default" w:ascii="Times New Roman" w:hAnsi="Times New Roman" w:eastAsia="宋体" w:cs="Times New Roman"/>
          <w:color w:val="auto"/>
          <w:kern w:val="2"/>
          <w:sz w:val="21"/>
          <w:szCs w:val="21"/>
          <w:highlight w:val="none"/>
          <w:lang w:val="en-US" w:eastAsia="zh-CN" w:bidi="ar-SA"/>
        </w:rPr>
        <w:t>）附带的区域目标，结合伊宁县实际情况，设置如下指标，2024年计划完成</w:t>
      </w:r>
      <w:r>
        <w:rPr>
          <w:rFonts w:hint="eastAsia" w:ascii="Times New Roman" w:hAnsi="Times New Roman" w:eastAsia="宋体" w:cs="Times New Roman"/>
          <w:color w:val="auto"/>
          <w:kern w:val="2"/>
          <w:sz w:val="21"/>
          <w:szCs w:val="21"/>
          <w:highlight w:val="none"/>
          <w:lang w:val="en-US" w:eastAsia="zh-CN" w:bidi="ar-SA"/>
        </w:rPr>
        <w:t>农村公路养护里程</w:t>
      </w:r>
      <w:r>
        <w:rPr>
          <w:rFonts w:hint="default" w:ascii="Times New Roman" w:hAnsi="Times New Roman" w:eastAsia="宋体" w:cs="Times New Roman"/>
          <w:color w:val="auto"/>
          <w:kern w:val="2"/>
          <w:sz w:val="21"/>
          <w:szCs w:val="21"/>
          <w:highlight w:val="none"/>
          <w:lang w:val="en-US" w:eastAsia="zh-CN" w:bidi="ar-SA"/>
        </w:rPr>
        <w:t>180</w:t>
      </w:r>
      <w:r>
        <w:rPr>
          <w:rFonts w:hint="eastAsia" w:ascii="Times New Roman" w:hAnsi="Times New Roman" w:eastAsia="宋体" w:cs="Times New Roman"/>
          <w:color w:val="auto"/>
          <w:kern w:val="2"/>
          <w:sz w:val="21"/>
          <w:szCs w:val="21"/>
          <w:highlight w:val="none"/>
          <w:lang w:val="en-US" w:eastAsia="zh-CN" w:bidi="ar-SA"/>
        </w:rPr>
        <w:t>.00</w:t>
      </w:r>
      <w:r>
        <w:rPr>
          <w:rFonts w:hint="default" w:ascii="Times New Roman" w:hAnsi="Times New Roman" w:eastAsia="宋体" w:cs="Times New Roman"/>
          <w:color w:val="auto"/>
          <w:kern w:val="2"/>
          <w:sz w:val="21"/>
          <w:szCs w:val="21"/>
          <w:highlight w:val="none"/>
          <w:lang w:val="en-US" w:eastAsia="zh-CN" w:bidi="ar-SA"/>
        </w:rPr>
        <w:t>公里，农村公路路面病害处治面积20</w:t>
      </w:r>
      <w:r>
        <w:rPr>
          <w:rFonts w:hint="eastAsia" w:ascii="Times New Roman" w:hAnsi="Times New Roman" w:eastAsia="宋体" w:cs="Times New Roman"/>
          <w:color w:val="auto"/>
          <w:kern w:val="2"/>
          <w:sz w:val="21"/>
          <w:szCs w:val="21"/>
          <w:highlight w:val="none"/>
          <w:lang w:val="en-US" w:eastAsia="zh-CN" w:bidi="ar-SA"/>
        </w:rPr>
        <w:t>,</w:t>
      </w:r>
      <w:r>
        <w:rPr>
          <w:rFonts w:hint="default" w:ascii="Times New Roman" w:hAnsi="Times New Roman" w:eastAsia="宋体" w:cs="Times New Roman"/>
          <w:color w:val="auto"/>
          <w:kern w:val="2"/>
          <w:sz w:val="21"/>
          <w:szCs w:val="21"/>
          <w:highlight w:val="none"/>
          <w:lang w:val="en-US" w:eastAsia="zh-CN" w:bidi="ar-SA"/>
        </w:rPr>
        <w:t>000</w:t>
      </w:r>
      <w:r>
        <w:rPr>
          <w:rFonts w:hint="eastAsia" w:ascii="Times New Roman" w:hAnsi="Times New Roman" w:eastAsia="宋体" w:cs="Times New Roman"/>
          <w:color w:val="auto"/>
          <w:kern w:val="2"/>
          <w:sz w:val="21"/>
          <w:szCs w:val="21"/>
          <w:highlight w:val="none"/>
          <w:lang w:val="en-US" w:eastAsia="zh-CN" w:bidi="ar-SA"/>
        </w:rPr>
        <w:t>.00平方</w:t>
      </w:r>
      <w:r>
        <w:rPr>
          <w:rFonts w:hint="default" w:ascii="Times New Roman" w:hAnsi="Times New Roman" w:eastAsia="宋体" w:cs="Times New Roman"/>
          <w:color w:val="auto"/>
          <w:kern w:val="2"/>
          <w:sz w:val="21"/>
          <w:szCs w:val="21"/>
          <w:highlight w:val="none"/>
          <w:lang w:val="en-US" w:eastAsia="zh-CN" w:bidi="ar-SA"/>
        </w:rPr>
        <w:t>米，工程合格率100</w:t>
      </w:r>
      <w:r>
        <w:rPr>
          <w:rFonts w:hint="eastAsia" w:ascii="Times New Roman" w:hAnsi="Times New Roman" w:eastAsia="宋体" w:cs="Times New Roman"/>
          <w:color w:val="auto"/>
          <w:kern w:val="2"/>
          <w:sz w:val="21"/>
          <w:szCs w:val="21"/>
          <w:highlight w:val="none"/>
          <w:lang w:val="en-US" w:eastAsia="zh-CN" w:bidi="ar-SA"/>
        </w:rPr>
        <w:t>.00</w:t>
      </w:r>
      <w:r>
        <w:rPr>
          <w:rFonts w:hint="default" w:ascii="Times New Roman" w:hAnsi="Times New Roman" w:eastAsia="宋体" w:cs="Times New Roman"/>
          <w:color w:val="auto"/>
          <w:kern w:val="2"/>
          <w:sz w:val="21"/>
          <w:szCs w:val="21"/>
          <w:highlight w:val="none"/>
          <w:lang w:val="en-US" w:eastAsia="zh-CN" w:bidi="ar-SA"/>
        </w:rPr>
        <w:t>%，按期完成。项目实施对我县经济发展促进效果明显，有效改善基础设施，项目适应未来一定时期交通需求效果明显。”</w:t>
      </w:r>
    </w:p>
    <w:p w14:paraId="0ABEB249">
      <w:pPr>
        <w:spacing w:line="360" w:lineRule="auto"/>
        <w:ind w:firstLine="420"/>
        <w:rPr>
          <w:rFonts w:hint="default" w:ascii="Times New Roman" w:hAnsi="Times New Roman" w:eastAsia="宋体" w:cs="Times New Roman"/>
          <w:color w:val="auto"/>
          <w:kern w:val="2"/>
          <w:sz w:val="21"/>
          <w:szCs w:val="21"/>
          <w:highlight w:val="none"/>
          <w:lang w:val="en-US" w:eastAsia="zh-CN" w:bidi="ar-SA"/>
        </w:rPr>
      </w:pPr>
      <w:r>
        <w:rPr>
          <w:rFonts w:ascii="Times New Roman" w:hAnsi="Times New Roman" w:eastAsia="宋体" w:cs="Times New Roman"/>
          <w:color w:val="auto"/>
          <w:highlight w:val="none"/>
        </w:rPr>
        <w:t>经评价分析</w:t>
      </w:r>
      <w:r>
        <w:rPr>
          <w:rFonts w:hint="eastAsia" w:ascii="Times New Roman" w:hAnsi="Times New Roman" w:eastAsia="宋体" w:cs="Times New Roman"/>
          <w:color w:val="auto"/>
          <w:highlight w:val="none"/>
          <w:lang w:eastAsia="zh-CN"/>
        </w:rPr>
        <w:t>，</w:t>
      </w:r>
      <w:r>
        <w:rPr>
          <w:rFonts w:ascii="Times New Roman" w:hAnsi="Times New Roman" w:eastAsia="宋体" w:cs="Times New Roman"/>
          <w:color w:val="auto"/>
          <w:highlight w:val="none"/>
        </w:rPr>
        <w:t>项目有绩效目标且与实际工作内容相关；项目预期产出、效益指标围绕该项目具体建设内容，项目所设定的绩效目标依据较为充分，预期目标值符合正常范围，项目预期产出效益和效果符合正常的业绩水平</w:t>
      </w:r>
      <w:r>
        <w:rPr>
          <w:rFonts w:hint="eastAsia" w:ascii="Times New Roman" w:hAnsi="Times New Roman" w:eastAsia="宋体" w:cs="Times New Roman"/>
          <w:color w:val="auto"/>
          <w:highlight w:val="none"/>
          <w:lang w:eastAsia="zh-CN"/>
        </w:rPr>
        <w:t>。</w:t>
      </w:r>
    </w:p>
    <w:p w14:paraId="3120AC29">
      <w:pPr>
        <w:pStyle w:val="2"/>
        <w:spacing w:line="360" w:lineRule="auto"/>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③项目实施单位提供的《项目支出绩效目标表》中预算金额为222.00万元，</w:t>
      </w:r>
      <w:r>
        <w:rPr>
          <w:rFonts w:hint="eastAsia" w:eastAsia="宋体" w:cs="Times New Roman"/>
          <w:color w:val="auto"/>
          <w:kern w:val="2"/>
          <w:sz w:val="21"/>
          <w:szCs w:val="21"/>
          <w:highlight w:val="none"/>
          <w:lang w:val="en-US" w:eastAsia="zh-CN" w:bidi="ar-SA"/>
        </w:rPr>
        <w:t>与</w:t>
      </w:r>
      <w:r>
        <w:rPr>
          <w:rFonts w:hint="eastAsia" w:ascii="Times New Roman" w:hAnsi="Times New Roman" w:eastAsia="宋体" w:cs="Times New Roman"/>
          <w:color w:val="auto"/>
          <w:kern w:val="2"/>
          <w:sz w:val="21"/>
          <w:szCs w:val="21"/>
          <w:highlight w:val="none"/>
          <w:lang w:val="en-US" w:eastAsia="zh-CN" w:bidi="ar-SA"/>
        </w:rPr>
        <w:t>《关于提前下达2024年中央对地方成品油改革转移支付资金用于农村公路养护支预算的通知》（伊州财建〔2023〕202号）</w:t>
      </w:r>
      <w:r>
        <w:rPr>
          <w:rFonts w:hint="eastAsia" w:eastAsia="宋体" w:cs="Times New Roman"/>
          <w:color w:val="auto"/>
          <w:kern w:val="2"/>
          <w:sz w:val="21"/>
          <w:szCs w:val="21"/>
          <w:highlight w:val="none"/>
          <w:lang w:val="en-US" w:eastAsia="zh-CN" w:bidi="ar-SA"/>
        </w:rPr>
        <w:t>下达的项目资金预算数</w:t>
      </w:r>
      <w:r>
        <w:rPr>
          <w:rFonts w:hint="eastAsia" w:ascii="Times New Roman" w:hAnsi="Times New Roman" w:eastAsia="宋体" w:cs="Times New Roman"/>
          <w:color w:val="auto"/>
          <w:kern w:val="2"/>
          <w:sz w:val="21"/>
          <w:szCs w:val="21"/>
          <w:highlight w:val="none"/>
          <w:lang w:val="en-US" w:eastAsia="zh-CN" w:bidi="ar-SA"/>
        </w:rPr>
        <w:t>一致；绩效目标与预算批复</w:t>
      </w:r>
      <w:r>
        <w:rPr>
          <w:rFonts w:hint="eastAsia" w:ascii="Times New Roman" w:hAnsi="Times New Roman" w:eastAsia="宋体" w:cs="Times New Roman"/>
          <w:color w:val="auto"/>
          <w:kern w:val="2"/>
          <w:sz w:val="21"/>
          <w:szCs w:val="21"/>
          <w:highlight w:val="none"/>
          <w:lang w:val="en-US" w:eastAsia="zh-Hans" w:bidi="ar-SA"/>
        </w:rPr>
        <w:t>相匹配</w:t>
      </w:r>
      <w:r>
        <w:rPr>
          <w:rFonts w:hint="eastAsia" w:ascii="Times New Roman" w:hAnsi="Times New Roman" w:eastAsia="宋体" w:cs="Times New Roman"/>
          <w:color w:val="auto"/>
          <w:kern w:val="2"/>
          <w:sz w:val="21"/>
          <w:szCs w:val="21"/>
          <w:highlight w:val="none"/>
          <w:lang w:val="en-US" w:eastAsia="zh-CN" w:bidi="ar-SA"/>
        </w:rPr>
        <w:t>。</w:t>
      </w:r>
    </w:p>
    <w:p w14:paraId="0068C754">
      <w:pPr>
        <w:pStyle w:val="2"/>
        <w:spacing w:line="360" w:lineRule="auto"/>
        <w:rPr>
          <w:rFonts w:hint="default"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该指标满分为2.00分，根据评分标准得2.00分</w:t>
      </w:r>
      <w:r>
        <w:rPr>
          <w:rFonts w:hint="default" w:ascii="Times New Roman" w:hAnsi="Times New Roman" w:eastAsia="宋体" w:cs="Times New Roman"/>
          <w:color w:val="auto"/>
          <w:kern w:val="2"/>
          <w:sz w:val="21"/>
          <w:szCs w:val="21"/>
          <w:highlight w:val="none"/>
          <w:lang w:val="en-US" w:eastAsia="zh-CN" w:bidi="ar-SA"/>
        </w:rPr>
        <w:t>。</w:t>
      </w:r>
    </w:p>
    <w:p w14:paraId="126078ED">
      <w:pPr>
        <w:widowControl/>
        <w:spacing w:line="360" w:lineRule="auto"/>
        <w:ind w:firstLine="422"/>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b/>
          <w:bCs/>
          <w:color w:val="auto"/>
          <w:highlight w:val="none"/>
        </w:rPr>
        <w:t>（4）A22绩效指标明确性</w:t>
      </w:r>
      <w:r>
        <w:rPr>
          <w:rFonts w:hint="default" w:ascii="Times New Roman" w:hAnsi="Times New Roman" w:eastAsia="宋体" w:cs="Times New Roman"/>
          <w:b/>
          <w:bCs/>
          <w:color w:val="auto"/>
          <w:highlight w:val="none"/>
          <w:lang w:val="en-US" w:eastAsia="zh-CN"/>
        </w:rPr>
        <w:t>指标</w:t>
      </w:r>
      <w:r>
        <w:rPr>
          <w:rFonts w:hint="default" w:ascii="Times New Roman" w:hAnsi="Times New Roman" w:eastAsia="宋体" w:cs="Times New Roman"/>
          <w:b/>
          <w:bCs/>
          <w:color w:val="auto"/>
          <w:highlight w:val="none"/>
        </w:rPr>
        <w:t>：</w:t>
      </w:r>
    </w:p>
    <w:p w14:paraId="2F1D58E1">
      <w:pPr>
        <w:spacing w:line="360" w:lineRule="auto"/>
        <w:ind w:firstLine="420"/>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经检查项目实施单位提供的《项目支出绩效目标表》，已将绩效目标分解为具体的绩效指标，共设置一级指标4个，二级指标6个，三级指标8个，其中：定量指标6个，定性指标2个，指标量化率为75.00%，三级指标设置具有明确性、可衡量性、可实现性；项目绩效目标与项目年度任务数相对应，与批复资金量相匹配。</w:t>
      </w:r>
    </w:p>
    <w:p w14:paraId="6B2F9C09">
      <w:pPr>
        <w:spacing w:line="360" w:lineRule="auto"/>
        <w:ind w:firstLine="420"/>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该指标满分为2.00分，根据评分标准得2.00分。</w:t>
      </w:r>
    </w:p>
    <w:p w14:paraId="33DAA900">
      <w:pPr>
        <w:widowControl/>
        <w:spacing w:line="360" w:lineRule="auto"/>
        <w:ind w:firstLine="422"/>
        <w:jc w:val="left"/>
        <w:rPr>
          <w:rFonts w:hint="eastAsia" w:ascii="Times New Roman" w:hAnsi="Times New Roman" w:eastAsia="宋体" w:cs="Times New Roman"/>
          <w:color w:val="auto"/>
          <w:spacing w:val="0"/>
          <w:sz w:val="21"/>
          <w:szCs w:val="21"/>
          <w:highlight w:val="none"/>
        </w:rPr>
      </w:pPr>
      <w:r>
        <w:rPr>
          <w:rFonts w:hint="default" w:ascii="Times New Roman" w:hAnsi="Times New Roman" w:eastAsia="宋体" w:cs="Times New Roman"/>
          <w:b/>
          <w:bCs/>
          <w:color w:val="auto"/>
          <w:highlight w:val="none"/>
        </w:rPr>
        <w:t>（5）A31预算编制科学性</w:t>
      </w:r>
      <w:r>
        <w:rPr>
          <w:rFonts w:hint="default" w:ascii="Times New Roman" w:hAnsi="Times New Roman" w:eastAsia="宋体" w:cs="Times New Roman"/>
          <w:b/>
          <w:bCs/>
          <w:color w:val="auto"/>
          <w:highlight w:val="none"/>
          <w:lang w:val="en-US" w:eastAsia="zh-CN"/>
        </w:rPr>
        <w:t>指标</w:t>
      </w:r>
      <w:r>
        <w:rPr>
          <w:rFonts w:hint="default" w:ascii="Times New Roman" w:hAnsi="Times New Roman" w:eastAsia="宋体" w:cs="Times New Roman"/>
          <w:b/>
          <w:bCs/>
          <w:color w:val="auto"/>
          <w:highlight w:val="none"/>
        </w:rPr>
        <w:t>：</w:t>
      </w:r>
    </w:p>
    <w:p w14:paraId="1ED7C229">
      <w:pPr>
        <w:spacing w:line="360" w:lineRule="auto"/>
        <w:ind w:firstLine="420"/>
        <w:rPr>
          <w:rFonts w:hint="eastAsia"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highlight w:val="none"/>
          <w:lang w:val="en-US" w:eastAsia="zh-CN"/>
        </w:rPr>
        <w:t>经查阅项目资料，</w:t>
      </w:r>
      <w:r>
        <w:rPr>
          <w:rFonts w:hint="eastAsia" w:ascii="Times New Roman" w:hAnsi="Times New Roman" w:eastAsia="宋体" w:cs="Times New Roman"/>
          <w:color w:val="auto"/>
          <w:highlight w:val="none"/>
          <w:lang w:val="en-US" w:eastAsia="zh-CN"/>
        </w:rPr>
        <w:t>伊宁县交通运输局委托设计单位云南平捷工程设计咨询有限公司</w:t>
      </w:r>
      <w:r>
        <w:rPr>
          <w:rFonts w:hint="default" w:ascii="Times New Roman" w:hAnsi="Times New Roman" w:eastAsia="宋体" w:cs="Times New Roman"/>
          <w:color w:val="auto"/>
          <w:highlight w:val="none"/>
          <w:lang w:val="en-US" w:eastAsia="zh-CN"/>
        </w:rPr>
        <w:t>编制了</w:t>
      </w:r>
      <w:r>
        <w:rPr>
          <w:rFonts w:hint="eastAsia" w:ascii="Times New Roman" w:hAnsi="Times New Roman" w:eastAsia="宋体" w:cs="Times New Roman"/>
          <w:color w:val="auto"/>
          <w:szCs w:val="21"/>
          <w:highlight w:val="none"/>
          <w:lang w:val="en-US" w:eastAsia="zh-CN"/>
        </w:rPr>
        <w:t>《伊宁县2024年农村公路日常养护项目可行性研究报告》</w:t>
      </w:r>
      <w:r>
        <w:rPr>
          <w:rFonts w:hint="eastAsia"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lang w:val="en-US" w:eastAsia="zh-CN"/>
        </w:rPr>
        <w:t>报</w:t>
      </w:r>
      <w:r>
        <w:rPr>
          <w:rFonts w:hint="eastAsia" w:ascii="Times New Roman" w:hAnsi="Times New Roman" w:eastAsia="宋体" w:cs="Times New Roman"/>
          <w:color w:val="auto"/>
          <w:highlight w:val="none"/>
          <w:lang w:val="en-US" w:eastAsia="zh-CN"/>
        </w:rPr>
        <w:t>伊宁</w:t>
      </w:r>
      <w:r>
        <w:rPr>
          <w:rFonts w:hint="default" w:ascii="Times New Roman" w:hAnsi="Times New Roman" w:eastAsia="宋体" w:cs="Times New Roman"/>
          <w:color w:val="auto"/>
          <w:highlight w:val="none"/>
          <w:lang w:val="en-US" w:eastAsia="zh-CN"/>
        </w:rPr>
        <w:t>县发展和改革委员会审批取得《</w:t>
      </w:r>
      <w:r>
        <w:rPr>
          <w:rFonts w:hint="eastAsia" w:ascii="Times New Roman" w:hAnsi="Times New Roman" w:eastAsia="宋体" w:cs="Times New Roman"/>
          <w:color w:val="auto"/>
          <w:highlight w:val="none"/>
          <w:lang w:val="en-US" w:eastAsia="zh-CN"/>
        </w:rPr>
        <w:t>关于伊宁县2024年农村公路日常养护项目可行性研究报告的批复</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伊县发改</w:t>
      </w:r>
      <w:r>
        <w:rPr>
          <w:rFonts w:hint="default" w:ascii="Times New Roman" w:hAnsi="Times New Roman" w:eastAsia="宋体" w:cs="Times New Roman"/>
          <w:color w:val="auto"/>
          <w:highlight w:val="none"/>
          <w:lang w:val="en-US" w:eastAsia="zh-CN"/>
        </w:rPr>
        <w:t>字〔2024〕11</w:t>
      </w:r>
      <w:r>
        <w:rPr>
          <w:rFonts w:hint="eastAsia" w:ascii="Times New Roman" w:hAnsi="Times New Roman" w:eastAsia="宋体" w:cs="Times New Roman"/>
          <w:color w:val="auto"/>
          <w:highlight w:val="none"/>
          <w:lang w:val="en-US" w:eastAsia="zh-CN"/>
        </w:rPr>
        <w:t>7</w:t>
      </w:r>
      <w:r>
        <w:rPr>
          <w:rFonts w:hint="default" w:ascii="Times New Roman" w:hAnsi="Times New Roman" w:eastAsia="宋体" w:cs="Times New Roman"/>
          <w:color w:val="auto"/>
          <w:highlight w:val="none"/>
          <w:lang w:val="en-US" w:eastAsia="zh-CN"/>
        </w:rPr>
        <w:t>号）；经批复的项目投资额和项目</w:t>
      </w:r>
      <w:r>
        <w:rPr>
          <w:rFonts w:hint="eastAsia" w:ascii="Times New Roman" w:hAnsi="Times New Roman" w:eastAsia="宋体" w:cs="Times New Roman"/>
          <w:color w:val="auto"/>
          <w:highlight w:val="none"/>
          <w:lang w:val="en-US" w:eastAsia="zh-CN"/>
        </w:rPr>
        <w:t>可行性研究报告</w:t>
      </w:r>
      <w:r>
        <w:rPr>
          <w:rFonts w:hint="default" w:ascii="Times New Roman" w:hAnsi="Times New Roman" w:eastAsia="宋体" w:cs="Times New Roman"/>
          <w:color w:val="auto"/>
          <w:highlight w:val="none"/>
          <w:lang w:val="en-US" w:eastAsia="zh-CN"/>
        </w:rPr>
        <w:t>预算编制的投资额一致，预算编制依据充分，投资预算编制方式合理，申请预算与工作任务相匹配。</w:t>
      </w:r>
    </w:p>
    <w:p w14:paraId="18D5F4FF">
      <w:pPr>
        <w:spacing w:line="360" w:lineRule="auto"/>
        <w:ind w:firstLine="420"/>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highlight w:val="none"/>
        </w:rPr>
        <w:t>该项目</w:t>
      </w:r>
      <w:r>
        <w:rPr>
          <w:rFonts w:hint="default" w:ascii="Times New Roman" w:hAnsi="Times New Roman" w:eastAsia="宋体" w:cs="Times New Roman"/>
          <w:color w:val="auto"/>
          <w:highlight w:val="none"/>
          <w:lang w:val="en-US" w:eastAsia="zh-CN"/>
        </w:rPr>
        <w:t>立项批复</w:t>
      </w:r>
      <w:r>
        <w:rPr>
          <w:rFonts w:hint="default" w:ascii="Times New Roman" w:hAnsi="Times New Roman" w:eastAsia="宋体" w:cs="Times New Roman"/>
          <w:color w:val="auto"/>
          <w:highlight w:val="none"/>
        </w:rPr>
        <w:t>总投资</w:t>
      </w:r>
      <w:r>
        <w:rPr>
          <w:rFonts w:hint="default" w:ascii="Times New Roman" w:hAnsi="Times New Roman" w:eastAsia="宋体" w:cs="Times New Roman"/>
          <w:color w:val="auto"/>
          <w:highlight w:val="none"/>
          <w:lang w:val="en-US" w:eastAsia="zh-CN"/>
        </w:rPr>
        <w:t>概算</w:t>
      </w:r>
      <w:r>
        <w:rPr>
          <w:rFonts w:hint="default" w:ascii="Times New Roman" w:hAnsi="Times New Roman" w:eastAsia="宋体" w:cs="Times New Roman"/>
          <w:color w:val="auto"/>
          <w:highlight w:val="none"/>
        </w:rPr>
        <w:t>为</w:t>
      </w:r>
      <w:r>
        <w:rPr>
          <w:rFonts w:hint="eastAsia" w:ascii="Times New Roman" w:hAnsi="Times New Roman" w:eastAsia="宋体" w:cs="Times New Roman"/>
          <w:color w:val="auto"/>
          <w:highlight w:val="none"/>
          <w:lang w:val="en-US" w:eastAsia="zh-CN"/>
        </w:rPr>
        <w:t>272.53</w:t>
      </w:r>
      <w:r>
        <w:rPr>
          <w:rFonts w:hint="default" w:ascii="Times New Roman" w:hAnsi="Times New Roman" w:eastAsia="宋体" w:cs="Times New Roman"/>
          <w:color w:val="auto"/>
          <w:highlight w:val="none"/>
        </w:rPr>
        <w:t>万元，</w:t>
      </w:r>
      <w:r>
        <w:rPr>
          <w:rFonts w:hint="default" w:ascii="Times New Roman" w:hAnsi="Times New Roman" w:eastAsia="宋体" w:cs="Times New Roman"/>
          <w:color w:val="auto"/>
          <w:highlight w:val="none"/>
          <w:lang w:val="en-US" w:eastAsia="zh-CN"/>
        </w:rPr>
        <w:t>根据由</w:t>
      </w:r>
      <w:r>
        <w:rPr>
          <w:rFonts w:hint="eastAsia" w:ascii="Times New Roman" w:hAnsi="Times New Roman" w:eastAsia="宋体" w:cs="Times New Roman"/>
          <w:color w:val="auto"/>
          <w:highlight w:val="none"/>
          <w:lang w:val="en-US" w:eastAsia="zh-CN"/>
        </w:rPr>
        <w:t>新疆惠文建设工程项目管理咨询有限公司</w:t>
      </w:r>
      <w:r>
        <w:rPr>
          <w:rFonts w:hint="default" w:ascii="Times New Roman" w:hAnsi="Times New Roman" w:eastAsia="宋体" w:cs="Times New Roman"/>
          <w:color w:val="auto"/>
          <w:highlight w:val="none"/>
        </w:rPr>
        <w:t>出具的《</w:t>
      </w:r>
      <w:r>
        <w:rPr>
          <w:rFonts w:hint="eastAsia" w:ascii="Times New Roman" w:hAnsi="Times New Roman" w:eastAsia="宋体" w:cs="Times New Roman"/>
          <w:color w:val="auto"/>
          <w:highlight w:val="none"/>
          <w:lang w:val="en-US" w:eastAsia="zh-CN"/>
        </w:rPr>
        <w:t>伊宁县2024年农村公路日常养护项目工程</w:t>
      </w:r>
      <w:r>
        <w:rPr>
          <w:rFonts w:hint="default" w:ascii="Times New Roman" w:hAnsi="Times New Roman" w:eastAsia="宋体" w:cs="Times New Roman"/>
          <w:color w:val="auto"/>
          <w:highlight w:val="none"/>
        </w:rPr>
        <w:t>竣工</w:t>
      </w:r>
      <w:r>
        <w:rPr>
          <w:rFonts w:hint="eastAsia" w:ascii="Times New Roman" w:hAnsi="Times New Roman" w:eastAsia="宋体" w:cs="Times New Roman"/>
          <w:color w:val="auto"/>
          <w:highlight w:val="none"/>
          <w:lang w:val="en-US" w:eastAsia="zh-CN"/>
        </w:rPr>
        <w:t>结算</w:t>
      </w:r>
      <w:r>
        <w:rPr>
          <w:rFonts w:hint="default" w:ascii="Times New Roman" w:hAnsi="Times New Roman" w:eastAsia="宋体" w:cs="Times New Roman"/>
          <w:color w:val="auto"/>
          <w:highlight w:val="none"/>
        </w:rPr>
        <w:t>审核报告》（</w:t>
      </w:r>
      <w:r>
        <w:rPr>
          <w:rFonts w:hint="eastAsia" w:ascii="Times New Roman" w:hAnsi="Times New Roman" w:eastAsia="宋体" w:cs="Times New Roman"/>
          <w:color w:val="auto"/>
          <w:highlight w:val="none"/>
          <w:lang w:val="en-US" w:eastAsia="zh-CN"/>
        </w:rPr>
        <w:t>惠文伊结</w:t>
      </w:r>
      <w:r>
        <w:rPr>
          <w:rFonts w:hint="default" w:ascii="Times New Roman" w:hAnsi="Times New Roman" w:eastAsia="宋体" w:cs="Times New Roman"/>
          <w:color w:val="auto"/>
          <w:highlight w:val="none"/>
        </w:rPr>
        <w:t>〔2024〕</w:t>
      </w:r>
      <w:r>
        <w:rPr>
          <w:rFonts w:hint="eastAsia" w:ascii="Times New Roman" w:hAnsi="Times New Roman" w:eastAsia="宋体" w:cs="Times New Roman"/>
          <w:color w:val="auto"/>
          <w:highlight w:val="none"/>
          <w:lang w:val="en-US" w:eastAsia="zh-CN"/>
        </w:rPr>
        <w:t>10-131</w:t>
      </w:r>
      <w:r>
        <w:rPr>
          <w:rFonts w:hint="default" w:ascii="Times New Roman" w:hAnsi="Times New Roman" w:eastAsia="宋体" w:cs="Times New Roman"/>
          <w:color w:val="auto"/>
          <w:highlight w:val="none"/>
        </w:rPr>
        <w:t>号）显示，</w:t>
      </w:r>
      <w:r>
        <w:rPr>
          <w:rFonts w:hint="default" w:ascii="Times New Roman" w:hAnsi="Times New Roman" w:eastAsia="宋体" w:cs="Times New Roman"/>
          <w:color w:val="auto"/>
          <w:highlight w:val="none"/>
          <w:lang w:val="en-US" w:eastAsia="zh-CN"/>
        </w:rPr>
        <w:t>项目</w:t>
      </w:r>
      <w:r>
        <w:rPr>
          <w:rFonts w:hint="default" w:ascii="Times New Roman" w:hAnsi="Times New Roman" w:eastAsia="宋体" w:cs="Times New Roman"/>
          <w:color w:val="auto"/>
          <w:highlight w:val="none"/>
        </w:rPr>
        <w:t>最终竣工</w:t>
      </w:r>
      <w:r>
        <w:rPr>
          <w:rFonts w:hint="eastAsia" w:ascii="Times New Roman" w:hAnsi="Times New Roman" w:eastAsia="宋体" w:cs="Times New Roman"/>
          <w:color w:val="auto"/>
          <w:highlight w:val="none"/>
          <w:lang w:val="en-US" w:eastAsia="zh-CN"/>
        </w:rPr>
        <w:t>结</w:t>
      </w:r>
      <w:r>
        <w:rPr>
          <w:rFonts w:hint="default" w:ascii="Times New Roman" w:hAnsi="Times New Roman" w:eastAsia="宋体" w:cs="Times New Roman"/>
          <w:color w:val="auto"/>
          <w:highlight w:val="none"/>
        </w:rPr>
        <w:t>算</w:t>
      </w:r>
      <w:r>
        <w:rPr>
          <w:rFonts w:hint="default" w:ascii="Times New Roman" w:hAnsi="Times New Roman" w:eastAsia="宋体" w:cs="Times New Roman"/>
          <w:color w:val="auto"/>
          <w:highlight w:val="none"/>
          <w:lang w:val="en-US" w:eastAsia="zh-CN"/>
        </w:rPr>
        <w:t>审定项目投资额</w:t>
      </w:r>
      <w:r>
        <w:rPr>
          <w:rFonts w:hint="default" w:ascii="Times New Roman" w:hAnsi="Times New Roman" w:eastAsia="宋体" w:cs="Times New Roman"/>
          <w:color w:val="auto"/>
          <w:highlight w:val="none"/>
        </w:rPr>
        <w:t>为</w:t>
      </w:r>
      <w:r>
        <w:rPr>
          <w:rFonts w:hint="eastAsia" w:ascii="Times New Roman" w:hAnsi="Times New Roman" w:eastAsia="宋体" w:cs="Times New Roman"/>
          <w:color w:val="auto"/>
          <w:highlight w:val="none"/>
          <w:lang w:val="en-US" w:eastAsia="zh-CN"/>
        </w:rPr>
        <w:t>222.05</w:t>
      </w:r>
      <w:r>
        <w:rPr>
          <w:rFonts w:hint="default" w:ascii="Times New Roman" w:hAnsi="Times New Roman" w:eastAsia="宋体" w:cs="Times New Roman"/>
          <w:color w:val="auto"/>
          <w:highlight w:val="none"/>
        </w:rPr>
        <w:t>万元</w:t>
      </w:r>
      <w:r>
        <w:rPr>
          <w:rFonts w:hint="default" w:ascii="Times New Roman" w:hAnsi="Times New Roman" w:eastAsia="宋体" w:cs="Times New Roman"/>
          <w:color w:val="auto"/>
          <w:kern w:val="2"/>
          <w:sz w:val="21"/>
          <w:szCs w:val="21"/>
          <w:highlight w:val="none"/>
          <w:lang w:val="en-US" w:eastAsia="zh-CN" w:bidi="ar"/>
        </w:rPr>
        <w:t>，</w:t>
      </w:r>
      <w:r>
        <w:rPr>
          <w:rFonts w:hint="default" w:ascii="Times New Roman" w:hAnsi="Times New Roman" w:eastAsia="宋体" w:cs="Times New Roman"/>
          <w:color w:val="auto"/>
          <w:highlight w:val="none"/>
        </w:rPr>
        <w:t>该项目预算确定的项目投资额与</w:t>
      </w:r>
      <w:r>
        <w:rPr>
          <w:rFonts w:hint="eastAsia" w:ascii="Times New Roman" w:hAnsi="Times New Roman" w:eastAsia="宋体" w:cs="Times New Roman"/>
          <w:color w:val="auto"/>
          <w:highlight w:val="none"/>
          <w:lang w:val="en-US" w:eastAsia="zh-CN"/>
        </w:rPr>
        <w:t>实际</w:t>
      </w:r>
      <w:r>
        <w:rPr>
          <w:rFonts w:hint="default" w:ascii="Times New Roman" w:hAnsi="Times New Roman" w:eastAsia="宋体" w:cs="Times New Roman"/>
          <w:color w:val="auto"/>
          <w:highlight w:val="none"/>
        </w:rPr>
        <w:t>工作任务相匹配。</w:t>
      </w:r>
    </w:p>
    <w:p w14:paraId="3AB74029">
      <w:pPr>
        <w:spacing w:line="360" w:lineRule="auto"/>
        <w:ind w:firstLine="420"/>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该指标满分为</w:t>
      </w:r>
      <w:r>
        <w:rPr>
          <w:rFonts w:hint="eastAsia" w:ascii="Times New Roman" w:hAnsi="Times New Roman" w:eastAsia="宋体" w:cs="Times New Roman"/>
          <w:color w:val="auto"/>
          <w:szCs w:val="21"/>
          <w:highlight w:val="none"/>
          <w:lang w:val="en-US" w:eastAsia="zh-CN"/>
        </w:rPr>
        <w:t>1.5</w:t>
      </w:r>
      <w:r>
        <w:rPr>
          <w:rFonts w:hint="default" w:ascii="Times New Roman" w:hAnsi="Times New Roman" w:eastAsia="宋体" w:cs="Times New Roman"/>
          <w:color w:val="auto"/>
          <w:szCs w:val="21"/>
          <w:highlight w:val="none"/>
          <w:lang w:val="en-US" w:eastAsia="zh-CN"/>
        </w:rPr>
        <w:t>0分，根据评分标准得</w:t>
      </w:r>
      <w:r>
        <w:rPr>
          <w:rFonts w:hint="eastAsia" w:ascii="Times New Roman" w:hAnsi="Times New Roman" w:eastAsia="宋体" w:cs="Times New Roman"/>
          <w:color w:val="auto"/>
          <w:szCs w:val="21"/>
          <w:highlight w:val="none"/>
          <w:lang w:val="en-US" w:eastAsia="zh-CN"/>
        </w:rPr>
        <w:t>1.5</w:t>
      </w:r>
      <w:r>
        <w:rPr>
          <w:rFonts w:hint="default" w:ascii="Times New Roman" w:hAnsi="Times New Roman" w:eastAsia="宋体" w:cs="Times New Roman"/>
          <w:color w:val="auto"/>
          <w:szCs w:val="21"/>
          <w:highlight w:val="none"/>
          <w:lang w:val="en-US" w:eastAsia="zh-CN"/>
        </w:rPr>
        <w:t>0分。</w:t>
      </w:r>
    </w:p>
    <w:p w14:paraId="236517B5">
      <w:pPr>
        <w:widowControl/>
        <w:spacing w:line="360" w:lineRule="auto"/>
        <w:ind w:firstLine="422"/>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b/>
          <w:bCs/>
          <w:color w:val="auto"/>
          <w:highlight w:val="none"/>
        </w:rPr>
        <w:t>（6）A32资金分配合理性</w:t>
      </w:r>
      <w:r>
        <w:rPr>
          <w:rFonts w:hint="default" w:ascii="Times New Roman" w:hAnsi="Times New Roman" w:eastAsia="宋体" w:cs="Times New Roman"/>
          <w:b/>
          <w:bCs/>
          <w:color w:val="auto"/>
          <w:highlight w:val="none"/>
          <w:lang w:val="en-US" w:eastAsia="zh-CN"/>
        </w:rPr>
        <w:t>指标</w:t>
      </w:r>
      <w:r>
        <w:rPr>
          <w:rFonts w:hint="default" w:ascii="Times New Roman" w:hAnsi="Times New Roman" w:eastAsia="宋体" w:cs="Times New Roman"/>
          <w:b/>
          <w:bCs/>
          <w:color w:val="auto"/>
          <w:highlight w:val="none"/>
        </w:rPr>
        <w:t>：</w:t>
      </w:r>
    </w:p>
    <w:p w14:paraId="36B3747A">
      <w:pPr>
        <w:spacing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rPr>
        <w:t>经查阅</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关于伊宁县2024年农村公路日常养护项目可行性研究报告的批复</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伊县发改</w:t>
      </w:r>
      <w:r>
        <w:rPr>
          <w:rFonts w:hint="default" w:ascii="Times New Roman" w:hAnsi="Times New Roman" w:eastAsia="宋体" w:cs="Times New Roman"/>
          <w:color w:val="auto"/>
          <w:highlight w:val="none"/>
          <w:lang w:val="en-US" w:eastAsia="zh-CN"/>
        </w:rPr>
        <w:t>字〔2024〕11</w:t>
      </w:r>
      <w:r>
        <w:rPr>
          <w:rFonts w:hint="eastAsia" w:ascii="Times New Roman" w:hAnsi="Times New Roman" w:eastAsia="宋体" w:cs="Times New Roman"/>
          <w:color w:val="auto"/>
          <w:highlight w:val="none"/>
          <w:lang w:val="en-US" w:eastAsia="zh-CN"/>
        </w:rPr>
        <w:t>7</w:t>
      </w:r>
      <w:r>
        <w:rPr>
          <w:rFonts w:hint="default" w:ascii="Times New Roman" w:hAnsi="Times New Roman" w:eastAsia="宋体" w:cs="Times New Roman"/>
          <w:color w:val="auto"/>
          <w:highlight w:val="none"/>
          <w:lang w:val="en-US" w:eastAsia="zh-CN"/>
        </w:rPr>
        <w:t>号）</w:t>
      </w:r>
      <w:r>
        <w:rPr>
          <w:rFonts w:hint="eastAsia"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szCs w:val="21"/>
          <w:highlight w:val="none"/>
          <w:lang w:val="en-US" w:eastAsia="zh-CN"/>
        </w:rPr>
        <w:t>《关于提前下达2024年中央对地方成品油改革转移支付资金用于农村公路养护支预算的通知》（伊州财建〔2023〕202号）</w:t>
      </w:r>
      <w:r>
        <w:rPr>
          <w:rFonts w:hint="eastAsia" w:ascii="Times New Roman" w:hAnsi="Times New Roman" w:eastAsia="宋体" w:cs="Times New Roman"/>
          <w:color w:val="auto"/>
          <w:highlight w:val="none"/>
        </w:rPr>
        <w:t>，该项目批复项目建设</w:t>
      </w:r>
      <w:r>
        <w:rPr>
          <w:rFonts w:hint="eastAsia" w:ascii="Times New Roman" w:hAnsi="Times New Roman" w:eastAsia="宋体" w:cs="Times New Roman"/>
          <w:color w:val="auto"/>
          <w:highlight w:val="none"/>
          <w:lang w:val="en-US" w:eastAsia="zh-CN"/>
        </w:rPr>
        <w:t>资金来源为</w:t>
      </w:r>
      <w:r>
        <w:rPr>
          <w:rFonts w:hint="eastAsia" w:ascii="Times New Roman" w:hAnsi="Times New Roman" w:eastAsia="宋体" w:cs="Times New Roman"/>
          <w:color w:val="auto"/>
          <w:szCs w:val="21"/>
          <w:highlight w:val="none"/>
          <w:lang w:val="en-US" w:eastAsia="zh-CN"/>
        </w:rPr>
        <w:t>2024年中央对地方成品油改革转移支付资金用于公路养护预算资金及县财政配套资金</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项目投资总额为</w:t>
      </w:r>
      <w:r>
        <w:rPr>
          <w:rFonts w:hint="eastAsia" w:ascii="Times New Roman" w:hAnsi="Times New Roman" w:eastAsia="宋体" w:cs="Times New Roman"/>
          <w:color w:val="auto"/>
          <w:highlight w:val="none"/>
        </w:rPr>
        <w:t>272.5</w:t>
      </w:r>
      <w:r>
        <w:rPr>
          <w:rFonts w:hint="eastAsia" w:ascii="Times New Roman" w:hAnsi="Times New Roman" w:eastAsia="宋体" w:cs="Times New Roman"/>
          <w:color w:val="auto"/>
          <w:highlight w:val="none"/>
          <w:lang w:val="en-US" w:eastAsia="zh-CN"/>
        </w:rPr>
        <w:t>3</w:t>
      </w:r>
      <w:r>
        <w:rPr>
          <w:rFonts w:hint="eastAsia" w:ascii="Times New Roman" w:hAnsi="Times New Roman" w:eastAsia="宋体" w:cs="Times New Roman"/>
          <w:color w:val="auto"/>
          <w:highlight w:val="none"/>
        </w:rPr>
        <w:t>万元</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项目资金分配依据充分。</w:t>
      </w:r>
    </w:p>
    <w:p w14:paraId="156C2C6C">
      <w:pPr>
        <w:pageBreakBefore w:val="0"/>
        <w:kinsoku/>
        <w:wordWrap/>
        <w:overflowPunct/>
        <w:topLinePunct w:val="0"/>
        <w:autoSpaceDE/>
        <w:autoSpaceDN/>
        <w:bidi w:val="0"/>
        <w:snapToGrid w:val="0"/>
        <w:spacing w:line="360" w:lineRule="auto"/>
        <w:ind w:firstLine="420"/>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该项目</w:t>
      </w:r>
      <w:r>
        <w:rPr>
          <w:rFonts w:hint="default" w:ascii="Times New Roman" w:hAnsi="Times New Roman" w:eastAsia="宋体" w:cs="Times New Roman"/>
          <w:color w:val="auto"/>
          <w:highlight w:val="none"/>
          <w:lang w:val="en-US" w:eastAsia="zh-CN"/>
        </w:rPr>
        <w:t>2024年</w:t>
      </w:r>
      <w:r>
        <w:rPr>
          <w:rFonts w:hint="eastAsia" w:ascii="Times New Roman" w:hAnsi="Times New Roman" w:eastAsia="宋体" w:cs="Times New Roman"/>
          <w:color w:val="auto"/>
          <w:highlight w:val="none"/>
          <w:lang w:val="en-US" w:eastAsia="zh-CN"/>
        </w:rPr>
        <w:t>实际</w:t>
      </w:r>
      <w:r>
        <w:rPr>
          <w:rFonts w:hint="default" w:ascii="Times New Roman" w:hAnsi="Times New Roman" w:eastAsia="宋体" w:cs="Times New Roman"/>
          <w:color w:val="auto"/>
          <w:highlight w:val="none"/>
          <w:lang w:val="en-US" w:eastAsia="zh-CN"/>
        </w:rPr>
        <w:t>投入</w:t>
      </w:r>
      <w:r>
        <w:rPr>
          <w:rFonts w:hint="eastAsia" w:ascii="Times New Roman" w:hAnsi="Times New Roman" w:eastAsia="宋体" w:cs="Times New Roman"/>
          <w:color w:val="auto"/>
          <w:szCs w:val="21"/>
          <w:highlight w:val="none"/>
          <w:lang w:val="en-US" w:eastAsia="zh-CN"/>
        </w:rPr>
        <w:t>中央对地方成品油改革转移支付资金</w:t>
      </w:r>
      <w:r>
        <w:rPr>
          <w:rFonts w:hint="eastAsia" w:ascii="Times New Roman" w:hAnsi="Times New Roman" w:eastAsia="宋体" w:cs="Times New Roman"/>
          <w:color w:val="auto"/>
          <w:highlight w:val="none"/>
          <w:lang w:val="en-US" w:eastAsia="zh-CN"/>
        </w:rPr>
        <w:t>222.00</w:t>
      </w:r>
      <w:r>
        <w:rPr>
          <w:rFonts w:hint="default" w:ascii="Times New Roman" w:hAnsi="Times New Roman" w:eastAsia="宋体" w:cs="Times New Roman"/>
          <w:color w:val="auto"/>
          <w:highlight w:val="none"/>
          <w:lang w:val="en-US" w:eastAsia="zh-CN"/>
        </w:rPr>
        <w:t>万元，该项目实际于</w:t>
      </w:r>
      <w:r>
        <w:rPr>
          <w:rFonts w:hint="eastAsia" w:ascii="Times New Roman" w:hAnsi="Times New Roman" w:eastAsia="宋体" w:cs="Times New Roman"/>
          <w:color w:val="auto"/>
          <w:highlight w:val="none"/>
          <w:lang w:val="en-US" w:eastAsia="zh-CN"/>
        </w:rPr>
        <w:t>2024年签订施工合同价款224.03万元，</w:t>
      </w:r>
      <w:r>
        <w:rPr>
          <w:rFonts w:hint="default" w:ascii="Times New Roman" w:hAnsi="Times New Roman" w:eastAsia="宋体" w:cs="Times New Roman"/>
          <w:color w:val="auto"/>
          <w:highlight w:val="none"/>
          <w:lang w:val="en-US" w:eastAsia="zh-CN"/>
        </w:rPr>
        <w:t>签订设计、监理等项目</w:t>
      </w:r>
      <w:r>
        <w:rPr>
          <w:rFonts w:hint="eastAsia" w:ascii="Times New Roman" w:hAnsi="Times New Roman" w:eastAsia="宋体" w:cs="Times New Roman"/>
          <w:color w:val="auto"/>
          <w:highlight w:val="none"/>
          <w:lang w:val="en-US" w:eastAsia="zh-CN"/>
        </w:rPr>
        <w:t>其他</w:t>
      </w:r>
      <w:r>
        <w:rPr>
          <w:rFonts w:hint="default" w:ascii="Times New Roman" w:hAnsi="Times New Roman" w:eastAsia="宋体" w:cs="Times New Roman"/>
          <w:color w:val="auto"/>
          <w:highlight w:val="none"/>
          <w:lang w:val="en-US" w:eastAsia="zh-CN"/>
        </w:rPr>
        <w:t>服务合同价款合计</w:t>
      </w:r>
      <w:r>
        <w:rPr>
          <w:rFonts w:hint="eastAsia" w:ascii="Times New Roman" w:hAnsi="Times New Roman" w:eastAsia="宋体" w:cs="Times New Roman"/>
          <w:color w:val="auto"/>
          <w:highlight w:val="none"/>
          <w:lang w:val="en-US" w:eastAsia="zh-CN"/>
        </w:rPr>
        <w:t>5.69</w:t>
      </w:r>
      <w:r>
        <w:rPr>
          <w:rFonts w:hint="default" w:ascii="Times New Roman" w:hAnsi="Times New Roman" w:eastAsia="宋体" w:cs="Times New Roman"/>
          <w:color w:val="auto"/>
          <w:highlight w:val="none"/>
          <w:lang w:val="en-US" w:eastAsia="zh-CN"/>
        </w:rPr>
        <w:t>万元，</w:t>
      </w:r>
      <w:r>
        <w:rPr>
          <w:rFonts w:hint="eastAsia" w:ascii="Times New Roman" w:hAnsi="Times New Roman" w:eastAsia="宋体" w:cs="Times New Roman"/>
          <w:color w:val="auto"/>
          <w:highlight w:val="none"/>
          <w:lang w:val="en-US" w:eastAsia="zh-CN"/>
        </w:rPr>
        <w:t>年度资金需求总额为229.72万元。年度实际分配到位资金无法</w:t>
      </w:r>
      <w:r>
        <w:rPr>
          <w:rFonts w:hint="default" w:ascii="Times New Roman" w:hAnsi="Times New Roman" w:eastAsia="宋体" w:cs="Times New Roman"/>
          <w:color w:val="auto"/>
          <w:highlight w:val="none"/>
          <w:lang w:val="en-US" w:eastAsia="zh-CN"/>
        </w:rPr>
        <w:t>满足当期实际资金需要，与当年投资计划</w:t>
      </w:r>
      <w:r>
        <w:rPr>
          <w:rFonts w:hint="eastAsia" w:ascii="Times New Roman" w:hAnsi="Times New Roman" w:eastAsia="宋体" w:cs="Times New Roman"/>
          <w:color w:val="auto"/>
          <w:highlight w:val="none"/>
          <w:lang w:val="en-US" w:eastAsia="zh-CN"/>
        </w:rPr>
        <w:t>不够</w:t>
      </w:r>
      <w:r>
        <w:rPr>
          <w:rFonts w:hint="default" w:ascii="Times New Roman" w:hAnsi="Times New Roman" w:eastAsia="宋体" w:cs="Times New Roman"/>
          <w:color w:val="auto"/>
          <w:highlight w:val="none"/>
          <w:lang w:val="en-US" w:eastAsia="zh-CN"/>
        </w:rPr>
        <w:t>匹配。</w:t>
      </w:r>
      <w:r>
        <w:rPr>
          <w:rFonts w:hint="eastAsia" w:ascii="Times New Roman" w:hAnsi="Times New Roman" w:eastAsia="宋体" w:cs="Times New Roman"/>
          <w:color w:val="auto"/>
          <w:highlight w:val="none"/>
          <w:lang w:val="en-US" w:eastAsia="zh-CN"/>
        </w:rPr>
        <w:t>根据评分标准扣0.50分。</w:t>
      </w:r>
    </w:p>
    <w:p w14:paraId="18DCA5C6">
      <w:pPr>
        <w:spacing w:line="360" w:lineRule="auto"/>
        <w:ind w:firstLine="420"/>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该指标满分为</w:t>
      </w:r>
      <w:r>
        <w:rPr>
          <w:rFonts w:hint="eastAsia" w:ascii="Times New Roman" w:hAnsi="Times New Roman" w:eastAsia="宋体" w:cs="Times New Roman"/>
          <w:color w:val="auto"/>
          <w:szCs w:val="21"/>
          <w:highlight w:val="none"/>
          <w:lang w:val="en-US" w:eastAsia="zh-CN"/>
        </w:rPr>
        <w:t>1.5</w:t>
      </w:r>
      <w:r>
        <w:rPr>
          <w:rFonts w:hint="default" w:ascii="Times New Roman" w:hAnsi="Times New Roman" w:eastAsia="宋体" w:cs="Times New Roman"/>
          <w:color w:val="auto"/>
          <w:szCs w:val="21"/>
          <w:highlight w:val="none"/>
          <w:lang w:val="en-US" w:eastAsia="zh-CN"/>
        </w:rPr>
        <w:t>0分，根据评分标准得</w:t>
      </w:r>
      <w:r>
        <w:rPr>
          <w:rFonts w:hint="eastAsia" w:ascii="Times New Roman" w:hAnsi="Times New Roman" w:eastAsia="宋体" w:cs="Times New Roman"/>
          <w:color w:val="auto"/>
          <w:szCs w:val="21"/>
          <w:highlight w:val="none"/>
          <w:lang w:val="en-US" w:eastAsia="zh-CN"/>
        </w:rPr>
        <w:t>1.0</w:t>
      </w:r>
      <w:r>
        <w:rPr>
          <w:rFonts w:hint="default" w:ascii="Times New Roman" w:hAnsi="Times New Roman" w:eastAsia="宋体" w:cs="Times New Roman"/>
          <w:color w:val="auto"/>
          <w:szCs w:val="21"/>
          <w:highlight w:val="none"/>
          <w:lang w:val="en-US" w:eastAsia="zh-CN"/>
        </w:rPr>
        <w:t>0分。</w:t>
      </w:r>
    </w:p>
    <w:p w14:paraId="04E92C6B">
      <w:pPr>
        <w:pStyle w:val="5"/>
        <w:pageBreakBefore w:val="0"/>
        <w:kinsoku/>
        <w:wordWrap/>
        <w:overflowPunct/>
        <w:topLinePunct w:val="0"/>
        <w:autoSpaceDE/>
        <w:autoSpaceDN/>
        <w:bidi w:val="0"/>
        <w:snapToGrid w:val="0"/>
        <w:spacing w:line="360" w:lineRule="auto"/>
        <w:ind w:firstLine="482"/>
        <w:rPr>
          <w:rFonts w:ascii="Times New Roman" w:hAnsi="Times New Roman" w:eastAsia="宋体" w:cs="Times New Roman"/>
          <w:color w:val="auto"/>
          <w:highlight w:val="none"/>
        </w:rPr>
      </w:pPr>
      <w:bookmarkStart w:id="91" w:name="_Toc1850924142"/>
      <w:bookmarkStart w:id="92" w:name="_Toc7231"/>
      <w:r>
        <w:rPr>
          <w:rFonts w:ascii="Times New Roman" w:hAnsi="Times New Roman" w:eastAsia="宋体" w:cs="Times New Roman"/>
          <w:color w:val="auto"/>
          <w:highlight w:val="none"/>
        </w:rPr>
        <w:t>（二）项目过程情况</w:t>
      </w:r>
      <w:bookmarkEnd w:id="91"/>
      <w:bookmarkEnd w:id="92"/>
    </w:p>
    <w:p w14:paraId="0F2471F1">
      <w:pPr>
        <w:pageBreakBefore w:val="0"/>
        <w:kinsoku/>
        <w:wordWrap/>
        <w:overflowPunct/>
        <w:topLinePunct w:val="0"/>
        <w:autoSpaceDE/>
        <w:autoSpaceDN/>
        <w:bidi w:val="0"/>
        <w:snapToGrid w:val="0"/>
        <w:spacing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项目过程类指标由</w:t>
      </w:r>
      <w:r>
        <w:rPr>
          <w:rFonts w:hint="eastAsia" w:ascii="Times New Roman" w:hAnsi="Times New Roman" w:eastAsia="宋体" w:cs="Times New Roman"/>
          <w:color w:val="auto"/>
          <w:sz w:val="21"/>
          <w:szCs w:val="21"/>
          <w:highlight w:val="none"/>
          <w:lang w:eastAsia="zh-CN"/>
        </w:rPr>
        <w:t>2</w:t>
      </w:r>
      <w:r>
        <w:rPr>
          <w:rFonts w:ascii="Times New Roman" w:hAnsi="Times New Roman" w:eastAsia="宋体" w:cs="Times New Roman"/>
          <w:color w:val="auto"/>
          <w:highlight w:val="none"/>
        </w:rPr>
        <w:t>个二级指标和</w:t>
      </w:r>
      <w:r>
        <w:rPr>
          <w:rFonts w:hint="eastAsia" w:ascii="Times New Roman" w:hAnsi="Times New Roman" w:eastAsia="宋体" w:cs="Times New Roman"/>
          <w:color w:val="auto"/>
          <w:sz w:val="21"/>
          <w:szCs w:val="21"/>
          <w:highlight w:val="none"/>
          <w:lang w:val="en-US" w:eastAsia="zh-CN"/>
        </w:rPr>
        <w:t>5</w:t>
      </w:r>
      <w:r>
        <w:rPr>
          <w:rFonts w:ascii="Times New Roman" w:hAnsi="Times New Roman" w:eastAsia="宋体" w:cs="Times New Roman"/>
          <w:color w:val="auto"/>
          <w:highlight w:val="none"/>
        </w:rPr>
        <w:t>个三级指标构成，权重分</w:t>
      </w:r>
      <w:r>
        <w:rPr>
          <w:rFonts w:hint="eastAsia" w:ascii="Times New Roman" w:hAnsi="Times New Roman" w:eastAsia="宋体" w:cs="Times New Roman"/>
          <w:color w:val="auto"/>
          <w:sz w:val="21"/>
          <w:szCs w:val="21"/>
          <w:highlight w:val="none"/>
          <w:lang w:eastAsia="zh-CN"/>
        </w:rPr>
        <w:t>25.00</w:t>
      </w:r>
      <w:r>
        <w:rPr>
          <w:rFonts w:ascii="Times New Roman" w:hAnsi="Times New Roman" w:eastAsia="宋体" w:cs="Times New Roman"/>
          <w:color w:val="auto"/>
          <w:highlight w:val="none"/>
        </w:rPr>
        <w:t>分，实际得分</w:t>
      </w:r>
      <w:r>
        <w:rPr>
          <w:rFonts w:hint="eastAsia" w:ascii="Times New Roman" w:hAnsi="Times New Roman" w:eastAsia="宋体" w:cs="Times New Roman"/>
          <w:color w:val="auto"/>
          <w:sz w:val="21"/>
          <w:szCs w:val="21"/>
          <w:highlight w:val="none"/>
          <w:lang w:val="en-US" w:eastAsia="zh-CN"/>
        </w:rPr>
        <w:t>1</w:t>
      </w:r>
      <w:r>
        <w:rPr>
          <w:rFonts w:hint="eastAsia" w:eastAsia="宋体" w:cs="Times New Roman"/>
          <w:color w:val="auto"/>
          <w:sz w:val="21"/>
          <w:szCs w:val="21"/>
          <w:highlight w:val="none"/>
          <w:lang w:val="en-US" w:eastAsia="zh-CN"/>
        </w:rPr>
        <w:t>7</w:t>
      </w:r>
      <w:r>
        <w:rPr>
          <w:rFonts w:hint="eastAsia" w:ascii="Times New Roman" w:hAnsi="Times New Roman" w:eastAsia="宋体" w:cs="Times New Roman"/>
          <w:color w:val="auto"/>
          <w:sz w:val="21"/>
          <w:szCs w:val="21"/>
          <w:highlight w:val="none"/>
          <w:lang w:val="en-US" w:eastAsia="zh-CN"/>
        </w:rPr>
        <w:t>.0</w:t>
      </w:r>
      <w:r>
        <w:rPr>
          <w:rFonts w:hint="eastAsia" w:ascii="Times New Roman" w:hAnsi="Times New Roman" w:eastAsia="宋体" w:cs="Times New Roman"/>
          <w:color w:val="auto"/>
          <w:sz w:val="21"/>
          <w:szCs w:val="21"/>
          <w:highlight w:val="none"/>
          <w:lang w:eastAsia="zh-CN"/>
        </w:rPr>
        <w:t>0</w:t>
      </w:r>
      <w:r>
        <w:rPr>
          <w:rFonts w:ascii="Times New Roman" w:hAnsi="Times New Roman" w:eastAsia="宋体" w:cs="Times New Roman"/>
          <w:color w:val="auto"/>
          <w:highlight w:val="none"/>
        </w:rPr>
        <w:t>分</w:t>
      </w:r>
      <w:r>
        <w:rPr>
          <w:rFonts w:hint="eastAsia" w:ascii="Times New Roman" w:hAnsi="Times New Roman" w:eastAsia="宋体" w:cs="Times New Roman"/>
          <w:color w:val="auto"/>
          <w:highlight w:val="none"/>
        </w:rPr>
        <w:t>，得分率为</w:t>
      </w:r>
      <w:r>
        <w:rPr>
          <w:rFonts w:hint="eastAsia" w:ascii="Times New Roman" w:hAnsi="Times New Roman" w:eastAsia="宋体" w:cs="Times New Roman"/>
          <w:color w:val="auto"/>
          <w:highlight w:val="none"/>
          <w:lang w:val="en-US" w:eastAsia="zh-CN"/>
        </w:rPr>
        <w:t>6</w:t>
      </w:r>
      <w:r>
        <w:rPr>
          <w:rFonts w:hint="eastAsia" w:eastAsia="宋体" w:cs="Times New Roman"/>
          <w:color w:val="auto"/>
          <w:highlight w:val="none"/>
          <w:lang w:val="en-US" w:eastAsia="zh-CN"/>
        </w:rPr>
        <w:t>8</w:t>
      </w:r>
      <w:r>
        <w:rPr>
          <w:rFonts w:hint="eastAsia" w:ascii="Times New Roman" w:hAnsi="Times New Roman" w:eastAsia="宋体" w:cs="Times New Roman"/>
          <w:color w:val="auto"/>
          <w:sz w:val="21"/>
          <w:szCs w:val="21"/>
          <w:highlight w:val="none"/>
          <w:lang w:eastAsia="zh-CN"/>
        </w:rPr>
        <w:t>.00%</w:t>
      </w:r>
      <w:r>
        <w:rPr>
          <w:rFonts w:ascii="Times New Roman" w:hAnsi="Times New Roman" w:eastAsia="宋体" w:cs="Times New Roman"/>
          <w:color w:val="auto"/>
          <w:highlight w:val="none"/>
        </w:rPr>
        <w:t>。各指标业绩值和绩效分值如下表所示：</w:t>
      </w:r>
    </w:p>
    <w:p w14:paraId="13E21FCA">
      <w:pPr>
        <w:pageBreakBefore w:val="0"/>
        <w:kinsoku/>
        <w:wordWrap/>
        <w:overflowPunct/>
        <w:topLinePunct w:val="0"/>
        <w:autoSpaceDE/>
        <w:autoSpaceDN/>
        <w:bidi w:val="0"/>
        <w:snapToGrid w:val="0"/>
        <w:spacing w:line="360" w:lineRule="auto"/>
        <w:ind w:firstLine="0" w:firstLineChars="0"/>
        <w:jc w:val="center"/>
        <w:rPr>
          <w:rFonts w:ascii="Times New Roman" w:hAnsi="Times New Roman" w:eastAsia="宋体" w:cs="Times New Roman"/>
          <w:color w:val="auto"/>
          <w:highlight w:val="none"/>
        </w:rPr>
      </w:pPr>
      <w:r>
        <w:rPr>
          <w:rFonts w:ascii="Times New Roman" w:hAnsi="Times New Roman" w:eastAsia="宋体" w:cs="Times New Roman"/>
          <w:b/>
          <w:bCs/>
          <w:color w:val="auto"/>
          <w:szCs w:val="16"/>
          <w:highlight w:val="none"/>
        </w:rPr>
        <w:t>表</w:t>
      </w:r>
      <w:r>
        <w:rPr>
          <w:rFonts w:hint="eastAsia" w:ascii="Times New Roman" w:hAnsi="Times New Roman" w:eastAsia="宋体" w:cs="Times New Roman"/>
          <w:b/>
          <w:bCs/>
          <w:color w:val="auto"/>
          <w:szCs w:val="16"/>
          <w:highlight w:val="none"/>
          <w:lang w:val="en-US" w:eastAsia="zh-CN"/>
        </w:rPr>
        <w:t>5</w:t>
      </w:r>
      <w:r>
        <w:rPr>
          <w:rFonts w:ascii="Times New Roman" w:hAnsi="Times New Roman" w:eastAsia="宋体" w:cs="Times New Roman"/>
          <w:b/>
          <w:bCs/>
          <w:color w:val="auto"/>
          <w:szCs w:val="16"/>
          <w:highlight w:val="none"/>
        </w:rPr>
        <w:t>-2：项目过程类指标及分值</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893"/>
        <w:gridCol w:w="1238"/>
        <w:gridCol w:w="2027"/>
        <w:gridCol w:w="861"/>
        <w:gridCol w:w="1211"/>
        <w:gridCol w:w="636"/>
        <w:gridCol w:w="685"/>
        <w:gridCol w:w="857"/>
      </w:tblGrid>
      <w:tr w14:paraId="06CF5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531" w:type="pct"/>
            <w:vAlign w:val="center"/>
          </w:tcPr>
          <w:p w14:paraId="6463415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一级指标</w:t>
            </w:r>
          </w:p>
        </w:tc>
        <w:tc>
          <w:tcPr>
            <w:tcW w:w="736" w:type="pct"/>
            <w:vAlign w:val="center"/>
          </w:tcPr>
          <w:p w14:paraId="78C48BB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二级指标</w:t>
            </w:r>
          </w:p>
        </w:tc>
        <w:tc>
          <w:tcPr>
            <w:tcW w:w="1204" w:type="pct"/>
            <w:vAlign w:val="center"/>
          </w:tcPr>
          <w:p w14:paraId="568C676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三级指标</w:t>
            </w:r>
          </w:p>
        </w:tc>
        <w:tc>
          <w:tcPr>
            <w:tcW w:w="512" w:type="pct"/>
            <w:vAlign w:val="center"/>
          </w:tcPr>
          <w:p w14:paraId="7AC7B548">
            <w:pPr>
              <w:pageBreakBefore w:val="0"/>
              <w:widowControl/>
              <w:kinsoku/>
              <w:wordWrap/>
              <w:overflowPunct/>
              <w:topLinePunct w:val="0"/>
              <w:autoSpaceDE/>
              <w:autoSpaceDN/>
              <w:bidi w:val="0"/>
              <w:snapToGrid w:val="0"/>
              <w:spacing w:before="0" w:after="0" w:line="240" w:lineRule="auto"/>
              <w:ind w:firstLine="0" w:firstLineChars="0"/>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目标值</w:t>
            </w:r>
          </w:p>
        </w:tc>
        <w:tc>
          <w:tcPr>
            <w:tcW w:w="720" w:type="pct"/>
            <w:vAlign w:val="center"/>
          </w:tcPr>
          <w:p w14:paraId="6618D707">
            <w:pPr>
              <w:pageBreakBefore w:val="0"/>
              <w:widowControl/>
              <w:kinsoku/>
              <w:wordWrap/>
              <w:overflowPunct/>
              <w:topLinePunct w:val="0"/>
              <w:autoSpaceDE/>
              <w:autoSpaceDN/>
              <w:bidi w:val="0"/>
              <w:snapToGrid w:val="0"/>
              <w:spacing w:before="0" w:after="0" w:line="240" w:lineRule="auto"/>
              <w:ind w:firstLine="0" w:firstLineChars="0"/>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实际完成值</w:t>
            </w:r>
          </w:p>
        </w:tc>
        <w:tc>
          <w:tcPr>
            <w:tcW w:w="378" w:type="pct"/>
            <w:vAlign w:val="center"/>
          </w:tcPr>
          <w:p w14:paraId="46F6F65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权重</w:t>
            </w:r>
          </w:p>
        </w:tc>
        <w:tc>
          <w:tcPr>
            <w:tcW w:w="407" w:type="pct"/>
            <w:vAlign w:val="center"/>
          </w:tcPr>
          <w:p w14:paraId="2AB59A3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得分</w:t>
            </w:r>
          </w:p>
        </w:tc>
        <w:tc>
          <w:tcPr>
            <w:tcW w:w="509" w:type="pct"/>
            <w:vAlign w:val="center"/>
          </w:tcPr>
          <w:p w14:paraId="6FA431F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得分率</w:t>
            </w:r>
          </w:p>
        </w:tc>
      </w:tr>
      <w:tr w14:paraId="33633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531" w:type="pct"/>
            <w:vMerge w:val="restart"/>
            <w:vAlign w:val="center"/>
          </w:tcPr>
          <w:p w14:paraId="40440A3D">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B过程（25.00分）</w:t>
            </w:r>
          </w:p>
        </w:tc>
        <w:tc>
          <w:tcPr>
            <w:tcW w:w="736" w:type="pct"/>
            <w:vMerge w:val="restart"/>
            <w:vAlign w:val="center"/>
          </w:tcPr>
          <w:p w14:paraId="57F8097C">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B1资金管理（13.00分）</w:t>
            </w:r>
          </w:p>
        </w:tc>
        <w:tc>
          <w:tcPr>
            <w:tcW w:w="1204" w:type="pct"/>
            <w:vAlign w:val="center"/>
          </w:tcPr>
          <w:p w14:paraId="1A854382">
            <w:pPr>
              <w:pageBreakBefore w:val="0"/>
              <w:widowControl/>
              <w:kinsoku/>
              <w:wordWrap/>
              <w:overflowPunct/>
              <w:topLinePunct w:val="0"/>
              <w:autoSpaceDE/>
              <w:autoSpaceDN/>
              <w:bidi w:val="0"/>
              <w:snapToGrid w:val="0"/>
              <w:spacing w:before="0" w:after="0" w:line="240" w:lineRule="auto"/>
              <w:ind w:firstLine="0" w:firstLineChars="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B11资金到位率</w:t>
            </w:r>
          </w:p>
        </w:tc>
        <w:tc>
          <w:tcPr>
            <w:tcW w:w="512" w:type="pct"/>
            <w:vAlign w:val="center"/>
          </w:tcPr>
          <w:p w14:paraId="34AE893C">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100</w:t>
            </w:r>
            <w:r>
              <w:rPr>
                <w:rFonts w:hint="eastAsia" w:ascii="Times New Roman" w:hAnsi="Times New Roman" w:eastAsia="宋体" w:cs="Times New Roman"/>
                <w:color w:val="auto"/>
                <w:kern w:val="2"/>
                <w:sz w:val="21"/>
                <w:szCs w:val="21"/>
                <w:highlight w:val="none"/>
                <w:lang w:val="en-US" w:eastAsia="zh-CN" w:bidi="ar"/>
              </w:rPr>
              <w:t>.00</w:t>
            </w:r>
            <w:r>
              <w:rPr>
                <w:rFonts w:hint="eastAsia" w:ascii="Times New Roman" w:hAnsi="Times New Roman" w:eastAsia="宋体" w:cs="Times New Roman"/>
                <w:color w:val="auto"/>
                <w:kern w:val="2"/>
                <w:sz w:val="21"/>
                <w:szCs w:val="21"/>
                <w:highlight w:val="none"/>
                <w:lang w:bidi="ar"/>
              </w:rPr>
              <w:t>%</w:t>
            </w:r>
          </w:p>
        </w:tc>
        <w:tc>
          <w:tcPr>
            <w:tcW w:w="720" w:type="pct"/>
            <w:vAlign w:val="center"/>
          </w:tcPr>
          <w:p w14:paraId="7FB19202">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Cs w:val="21"/>
                <w:highlight w:val="none"/>
                <w:lang w:val="en-US" w:eastAsia="zh-CN"/>
              </w:rPr>
              <w:t>81.46%</w:t>
            </w:r>
          </w:p>
        </w:tc>
        <w:tc>
          <w:tcPr>
            <w:tcW w:w="378" w:type="pct"/>
            <w:vAlign w:val="center"/>
          </w:tcPr>
          <w:p w14:paraId="088D1109">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3.00</w:t>
            </w:r>
          </w:p>
        </w:tc>
        <w:tc>
          <w:tcPr>
            <w:tcW w:w="407" w:type="pct"/>
            <w:vAlign w:val="center"/>
          </w:tcPr>
          <w:p w14:paraId="5633195D">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2</w:t>
            </w:r>
            <w:r>
              <w:rPr>
                <w:rFonts w:hint="eastAsia" w:ascii="Times New Roman" w:hAnsi="Times New Roman" w:eastAsia="宋体" w:cs="Times New Roman"/>
                <w:color w:val="auto"/>
                <w:kern w:val="2"/>
                <w:sz w:val="21"/>
                <w:szCs w:val="21"/>
                <w:highlight w:val="none"/>
                <w:lang w:bidi="ar"/>
              </w:rPr>
              <w:t>.00</w:t>
            </w:r>
          </w:p>
        </w:tc>
        <w:tc>
          <w:tcPr>
            <w:tcW w:w="509" w:type="pct"/>
            <w:vAlign w:val="center"/>
          </w:tcPr>
          <w:p w14:paraId="38088EFF">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66.67</w:t>
            </w:r>
            <w:r>
              <w:rPr>
                <w:rFonts w:hint="eastAsia" w:ascii="Times New Roman" w:hAnsi="Times New Roman" w:eastAsia="宋体" w:cs="Times New Roman"/>
                <w:color w:val="auto"/>
                <w:kern w:val="2"/>
                <w:sz w:val="21"/>
                <w:szCs w:val="21"/>
                <w:highlight w:val="none"/>
                <w:lang w:bidi="ar"/>
              </w:rPr>
              <w:t>%</w:t>
            </w:r>
          </w:p>
        </w:tc>
      </w:tr>
      <w:tr w14:paraId="5C4CA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531" w:type="pct"/>
            <w:vMerge w:val="continue"/>
            <w:vAlign w:val="center"/>
          </w:tcPr>
          <w:p w14:paraId="65D35B29">
            <w:pPr>
              <w:pageBreakBefore w:val="0"/>
              <w:widowControl/>
              <w:kinsoku/>
              <w:wordWrap/>
              <w:overflowPunct/>
              <w:topLinePunct w:val="0"/>
              <w:autoSpaceDE/>
              <w:autoSpaceDN/>
              <w:bidi w:val="0"/>
              <w:snapToGrid w:val="0"/>
              <w:spacing w:before="0" w:after="0" w:line="240" w:lineRule="auto"/>
              <w:ind w:firstLine="420" w:firstLineChars="0"/>
              <w:jc w:val="center"/>
              <w:rPr>
                <w:rFonts w:hint="eastAsia" w:ascii="Times New Roman" w:hAnsi="Times New Roman" w:eastAsia="宋体" w:cs="Times New Roman"/>
                <w:color w:val="auto"/>
                <w:sz w:val="21"/>
                <w:szCs w:val="21"/>
                <w:highlight w:val="none"/>
              </w:rPr>
            </w:pPr>
          </w:p>
        </w:tc>
        <w:tc>
          <w:tcPr>
            <w:tcW w:w="736" w:type="pct"/>
            <w:vMerge w:val="continue"/>
            <w:vAlign w:val="center"/>
          </w:tcPr>
          <w:p w14:paraId="34CBFD70">
            <w:pPr>
              <w:pageBreakBefore w:val="0"/>
              <w:widowControl/>
              <w:kinsoku/>
              <w:wordWrap/>
              <w:overflowPunct/>
              <w:topLinePunct w:val="0"/>
              <w:autoSpaceDE/>
              <w:autoSpaceDN/>
              <w:bidi w:val="0"/>
              <w:snapToGrid w:val="0"/>
              <w:spacing w:before="0" w:after="0" w:line="240" w:lineRule="auto"/>
              <w:ind w:firstLine="420" w:firstLineChars="0"/>
              <w:jc w:val="center"/>
              <w:rPr>
                <w:rFonts w:hint="eastAsia" w:ascii="Times New Roman" w:hAnsi="Times New Roman" w:eastAsia="宋体" w:cs="Times New Roman"/>
                <w:color w:val="auto"/>
                <w:sz w:val="21"/>
                <w:szCs w:val="21"/>
                <w:highlight w:val="none"/>
              </w:rPr>
            </w:pPr>
          </w:p>
        </w:tc>
        <w:tc>
          <w:tcPr>
            <w:tcW w:w="1204" w:type="pct"/>
            <w:vAlign w:val="center"/>
          </w:tcPr>
          <w:p w14:paraId="16854E16">
            <w:pPr>
              <w:pageBreakBefore w:val="0"/>
              <w:widowControl/>
              <w:kinsoku/>
              <w:wordWrap/>
              <w:overflowPunct/>
              <w:topLinePunct w:val="0"/>
              <w:autoSpaceDE/>
              <w:autoSpaceDN/>
              <w:bidi w:val="0"/>
              <w:snapToGrid w:val="0"/>
              <w:spacing w:before="0" w:after="0" w:line="240" w:lineRule="auto"/>
              <w:ind w:firstLine="0" w:firstLineChars="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B12预算执行率</w:t>
            </w:r>
          </w:p>
        </w:tc>
        <w:tc>
          <w:tcPr>
            <w:tcW w:w="512" w:type="pct"/>
            <w:vAlign w:val="center"/>
          </w:tcPr>
          <w:p w14:paraId="59DDBB65">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100</w:t>
            </w:r>
            <w:r>
              <w:rPr>
                <w:rFonts w:hint="eastAsia" w:ascii="Times New Roman" w:hAnsi="Times New Roman" w:eastAsia="宋体" w:cs="Times New Roman"/>
                <w:color w:val="auto"/>
                <w:kern w:val="2"/>
                <w:sz w:val="21"/>
                <w:szCs w:val="21"/>
                <w:highlight w:val="none"/>
                <w:lang w:val="en-US" w:eastAsia="zh-CN" w:bidi="ar"/>
              </w:rPr>
              <w:t>.00</w:t>
            </w:r>
            <w:r>
              <w:rPr>
                <w:rFonts w:hint="eastAsia" w:ascii="Times New Roman" w:hAnsi="Times New Roman" w:eastAsia="宋体" w:cs="Times New Roman"/>
                <w:color w:val="auto"/>
                <w:kern w:val="2"/>
                <w:sz w:val="21"/>
                <w:szCs w:val="21"/>
                <w:highlight w:val="none"/>
                <w:lang w:bidi="ar"/>
              </w:rPr>
              <w:t>%</w:t>
            </w:r>
          </w:p>
        </w:tc>
        <w:tc>
          <w:tcPr>
            <w:tcW w:w="720" w:type="pct"/>
            <w:vAlign w:val="center"/>
          </w:tcPr>
          <w:p w14:paraId="2CC11041">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kern w:val="2"/>
                <w:sz w:val="21"/>
                <w:szCs w:val="21"/>
                <w:highlight w:val="none"/>
                <w:lang w:bidi="ar"/>
              </w:rPr>
              <w:t>100</w:t>
            </w:r>
            <w:r>
              <w:rPr>
                <w:rFonts w:hint="eastAsia" w:ascii="Times New Roman" w:hAnsi="Times New Roman" w:eastAsia="宋体" w:cs="Times New Roman"/>
                <w:color w:val="auto"/>
                <w:kern w:val="2"/>
                <w:sz w:val="21"/>
                <w:szCs w:val="21"/>
                <w:highlight w:val="none"/>
                <w:lang w:val="en-US" w:eastAsia="zh-CN" w:bidi="ar"/>
              </w:rPr>
              <w:t>.00</w:t>
            </w:r>
            <w:r>
              <w:rPr>
                <w:rFonts w:hint="eastAsia" w:ascii="Times New Roman" w:hAnsi="Times New Roman" w:eastAsia="宋体" w:cs="Times New Roman"/>
                <w:color w:val="auto"/>
                <w:kern w:val="2"/>
                <w:sz w:val="21"/>
                <w:szCs w:val="21"/>
                <w:highlight w:val="none"/>
                <w:lang w:bidi="ar"/>
              </w:rPr>
              <w:t>%</w:t>
            </w:r>
          </w:p>
        </w:tc>
        <w:tc>
          <w:tcPr>
            <w:tcW w:w="378" w:type="pct"/>
            <w:vAlign w:val="center"/>
          </w:tcPr>
          <w:p w14:paraId="79056ECA">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5.00</w:t>
            </w:r>
          </w:p>
        </w:tc>
        <w:tc>
          <w:tcPr>
            <w:tcW w:w="407" w:type="pct"/>
            <w:vAlign w:val="center"/>
          </w:tcPr>
          <w:p w14:paraId="6FB25C0C">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5.00</w:t>
            </w:r>
          </w:p>
        </w:tc>
        <w:tc>
          <w:tcPr>
            <w:tcW w:w="509" w:type="pct"/>
            <w:vAlign w:val="center"/>
          </w:tcPr>
          <w:p w14:paraId="7530F38E">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10</w:t>
            </w:r>
            <w:r>
              <w:rPr>
                <w:rFonts w:hint="eastAsia" w:ascii="Times New Roman" w:hAnsi="Times New Roman" w:eastAsia="宋体" w:cs="Times New Roman"/>
                <w:color w:val="auto"/>
                <w:kern w:val="2"/>
                <w:sz w:val="21"/>
                <w:szCs w:val="21"/>
                <w:highlight w:val="none"/>
                <w:lang w:bidi="ar"/>
              </w:rPr>
              <w:t>0.00%</w:t>
            </w:r>
          </w:p>
        </w:tc>
      </w:tr>
      <w:tr w14:paraId="0C771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531" w:type="pct"/>
            <w:vMerge w:val="continue"/>
            <w:vAlign w:val="center"/>
          </w:tcPr>
          <w:p w14:paraId="2719521A">
            <w:pPr>
              <w:pageBreakBefore w:val="0"/>
              <w:widowControl/>
              <w:kinsoku/>
              <w:wordWrap/>
              <w:overflowPunct/>
              <w:topLinePunct w:val="0"/>
              <w:autoSpaceDE/>
              <w:autoSpaceDN/>
              <w:bidi w:val="0"/>
              <w:snapToGrid w:val="0"/>
              <w:spacing w:before="0" w:after="0" w:line="240" w:lineRule="auto"/>
              <w:ind w:firstLine="420" w:firstLineChars="0"/>
              <w:jc w:val="center"/>
              <w:rPr>
                <w:rFonts w:hint="eastAsia" w:ascii="Times New Roman" w:hAnsi="Times New Roman" w:eastAsia="宋体" w:cs="Times New Roman"/>
                <w:color w:val="auto"/>
                <w:sz w:val="21"/>
                <w:szCs w:val="21"/>
                <w:highlight w:val="none"/>
              </w:rPr>
            </w:pPr>
          </w:p>
        </w:tc>
        <w:tc>
          <w:tcPr>
            <w:tcW w:w="736" w:type="pct"/>
            <w:vMerge w:val="continue"/>
            <w:vAlign w:val="center"/>
          </w:tcPr>
          <w:p w14:paraId="25E831E7">
            <w:pPr>
              <w:pageBreakBefore w:val="0"/>
              <w:widowControl/>
              <w:kinsoku/>
              <w:wordWrap/>
              <w:overflowPunct/>
              <w:topLinePunct w:val="0"/>
              <w:autoSpaceDE/>
              <w:autoSpaceDN/>
              <w:bidi w:val="0"/>
              <w:snapToGrid w:val="0"/>
              <w:spacing w:before="0" w:after="0" w:line="240" w:lineRule="auto"/>
              <w:ind w:firstLine="420" w:firstLineChars="0"/>
              <w:jc w:val="center"/>
              <w:rPr>
                <w:rFonts w:hint="eastAsia" w:ascii="Times New Roman" w:hAnsi="Times New Roman" w:eastAsia="宋体" w:cs="Times New Roman"/>
                <w:color w:val="auto"/>
                <w:sz w:val="21"/>
                <w:szCs w:val="21"/>
                <w:highlight w:val="none"/>
              </w:rPr>
            </w:pPr>
          </w:p>
        </w:tc>
        <w:tc>
          <w:tcPr>
            <w:tcW w:w="1204" w:type="pct"/>
            <w:vAlign w:val="center"/>
          </w:tcPr>
          <w:p w14:paraId="4FB63B89">
            <w:pPr>
              <w:pageBreakBefore w:val="0"/>
              <w:widowControl/>
              <w:kinsoku/>
              <w:wordWrap/>
              <w:overflowPunct/>
              <w:topLinePunct w:val="0"/>
              <w:autoSpaceDE/>
              <w:autoSpaceDN/>
              <w:bidi w:val="0"/>
              <w:snapToGrid w:val="0"/>
              <w:spacing w:before="0" w:after="0" w:line="240" w:lineRule="auto"/>
              <w:ind w:firstLine="0" w:firstLineChars="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B13资金使用合规性</w:t>
            </w:r>
          </w:p>
        </w:tc>
        <w:tc>
          <w:tcPr>
            <w:tcW w:w="512" w:type="pct"/>
            <w:vAlign w:val="center"/>
          </w:tcPr>
          <w:p w14:paraId="5262626A">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合规</w:t>
            </w:r>
          </w:p>
        </w:tc>
        <w:tc>
          <w:tcPr>
            <w:tcW w:w="720" w:type="pct"/>
            <w:vAlign w:val="center"/>
          </w:tcPr>
          <w:p w14:paraId="672106FA">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bidi="ar"/>
              </w:rPr>
              <w:t>较</w:t>
            </w:r>
            <w:r>
              <w:rPr>
                <w:rFonts w:hint="eastAsia" w:ascii="Times New Roman" w:hAnsi="Times New Roman" w:eastAsia="宋体" w:cs="Times New Roman"/>
                <w:color w:val="auto"/>
                <w:kern w:val="2"/>
                <w:sz w:val="21"/>
                <w:szCs w:val="21"/>
                <w:highlight w:val="none"/>
                <w:lang w:bidi="ar"/>
              </w:rPr>
              <w:t>合规</w:t>
            </w:r>
          </w:p>
        </w:tc>
        <w:tc>
          <w:tcPr>
            <w:tcW w:w="378" w:type="pct"/>
            <w:vAlign w:val="center"/>
          </w:tcPr>
          <w:p w14:paraId="26BE1BB0">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5.00</w:t>
            </w:r>
          </w:p>
        </w:tc>
        <w:tc>
          <w:tcPr>
            <w:tcW w:w="407" w:type="pct"/>
            <w:vAlign w:val="center"/>
          </w:tcPr>
          <w:p w14:paraId="64C9DE1B">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3</w:t>
            </w:r>
            <w:r>
              <w:rPr>
                <w:rFonts w:hint="eastAsia" w:ascii="Times New Roman" w:hAnsi="Times New Roman" w:eastAsia="宋体" w:cs="Times New Roman"/>
                <w:color w:val="auto"/>
                <w:kern w:val="2"/>
                <w:sz w:val="21"/>
                <w:szCs w:val="21"/>
                <w:highlight w:val="none"/>
                <w:lang w:bidi="ar"/>
              </w:rPr>
              <w:t>.00</w:t>
            </w:r>
          </w:p>
        </w:tc>
        <w:tc>
          <w:tcPr>
            <w:tcW w:w="509" w:type="pct"/>
            <w:vAlign w:val="center"/>
          </w:tcPr>
          <w:p w14:paraId="3DB03CE0">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60</w:t>
            </w:r>
            <w:r>
              <w:rPr>
                <w:rFonts w:hint="eastAsia" w:ascii="Times New Roman" w:hAnsi="Times New Roman" w:eastAsia="宋体" w:cs="Times New Roman"/>
                <w:color w:val="auto"/>
                <w:kern w:val="2"/>
                <w:sz w:val="21"/>
                <w:szCs w:val="21"/>
                <w:highlight w:val="none"/>
                <w:lang w:bidi="ar"/>
              </w:rPr>
              <w:t>.00%</w:t>
            </w:r>
          </w:p>
        </w:tc>
      </w:tr>
      <w:tr w14:paraId="4D600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531" w:type="pct"/>
            <w:vMerge w:val="continue"/>
            <w:vAlign w:val="center"/>
          </w:tcPr>
          <w:p w14:paraId="5235CFBF">
            <w:pPr>
              <w:pageBreakBefore w:val="0"/>
              <w:widowControl/>
              <w:kinsoku/>
              <w:wordWrap/>
              <w:overflowPunct/>
              <w:topLinePunct w:val="0"/>
              <w:autoSpaceDE/>
              <w:autoSpaceDN/>
              <w:bidi w:val="0"/>
              <w:snapToGrid w:val="0"/>
              <w:spacing w:before="0" w:after="0" w:line="240" w:lineRule="auto"/>
              <w:ind w:firstLine="420" w:firstLineChars="0"/>
              <w:jc w:val="center"/>
              <w:rPr>
                <w:rFonts w:hint="eastAsia" w:ascii="Times New Roman" w:hAnsi="Times New Roman" w:eastAsia="宋体" w:cs="Times New Roman"/>
                <w:color w:val="auto"/>
                <w:sz w:val="21"/>
                <w:szCs w:val="21"/>
                <w:highlight w:val="none"/>
              </w:rPr>
            </w:pPr>
          </w:p>
        </w:tc>
        <w:tc>
          <w:tcPr>
            <w:tcW w:w="736" w:type="pct"/>
            <w:vMerge w:val="restart"/>
            <w:vAlign w:val="center"/>
          </w:tcPr>
          <w:p w14:paraId="345B6BD2">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B2组织实施（12.00分）</w:t>
            </w:r>
          </w:p>
        </w:tc>
        <w:tc>
          <w:tcPr>
            <w:tcW w:w="1204" w:type="pct"/>
            <w:vAlign w:val="center"/>
          </w:tcPr>
          <w:p w14:paraId="4F757D7C">
            <w:pPr>
              <w:pageBreakBefore w:val="0"/>
              <w:widowControl/>
              <w:kinsoku/>
              <w:wordWrap/>
              <w:overflowPunct/>
              <w:topLinePunct w:val="0"/>
              <w:autoSpaceDE/>
              <w:autoSpaceDN/>
              <w:bidi w:val="0"/>
              <w:snapToGrid w:val="0"/>
              <w:spacing w:before="0" w:after="0" w:line="240" w:lineRule="auto"/>
              <w:ind w:firstLine="0" w:firstLineChars="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B21管理制度健全性</w:t>
            </w:r>
          </w:p>
        </w:tc>
        <w:tc>
          <w:tcPr>
            <w:tcW w:w="512" w:type="pct"/>
            <w:vAlign w:val="center"/>
          </w:tcPr>
          <w:p w14:paraId="64796A7E">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健全</w:t>
            </w:r>
          </w:p>
        </w:tc>
        <w:tc>
          <w:tcPr>
            <w:tcW w:w="720" w:type="pct"/>
            <w:vAlign w:val="center"/>
          </w:tcPr>
          <w:p w14:paraId="387A01FB">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kern w:val="2"/>
                <w:sz w:val="21"/>
                <w:szCs w:val="21"/>
                <w:highlight w:val="none"/>
                <w:lang w:bidi="ar"/>
              </w:rPr>
              <w:t>健全</w:t>
            </w:r>
          </w:p>
        </w:tc>
        <w:tc>
          <w:tcPr>
            <w:tcW w:w="378" w:type="pct"/>
            <w:vAlign w:val="center"/>
          </w:tcPr>
          <w:p w14:paraId="6FBD738B">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4.00</w:t>
            </w:r>
          </w:p>
        </w:tc>
        <w:tc>
          <w:tcPr>
            <w:tcW w:w="407" w:type="pct"/>
            <w:vAlign w:val="center"/>
          </w:tcPr>
          <w:p w14:paraId="5173637D">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4.0</w:t>
            </w:r>
            <w:r>
              <w:rPr>
                <w:rFonts w:hint="eastAsia" w:ascii="Times New Roman" w:hAnsi="Times New Roman" w:eastAsia="宋体" w:cs="Times New Roman"/>
                <w:color w:val="auto"/>
                <w:kern w:val="2"/>
                <w:sz w:val="21"/>
                <w:szCs w:val="21"/>
                <w:highlight w:val="none"/>
                <w:lang w:bidi="ar"/>
              </w:rPr>
              <w:t>0</w:t>
            </w:r>
          </w:p>
        </w:tc>
        <w:tc>
          <w:tcPr>
            <w:tcW w:w="509" w:type="pct"/>
            <w:vAlign w:val="center"/>
          </w:tcPr>
          <w:p w14:paraId="1AABB756">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100.0</w:t>
            </w:r>
            <w:r>
              <w:rPr>
                <w:rFonts w:hint="eastAsia" w:ascii="Times New Roman" w:hAnsi="Times New Roman" w:eastAsia="宋体" w:cs="Times New Roman"/>
                <w:color w:val="auto"/>
                <w:kern w:val="2"/>
                <w:sz w:val="21"/>
                <w:szCs w:val="21"/>
                <w:highlight w:val="none"/>
                <w:lang w:bidi="ar"/>
              </w:rPr>
              <w:t>0%</w:t>
            </w:r>
          </w:p>
        </w:tc>
      </w:tr>
      <w:tr w14:paraId="3E18F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531" w:type="pct"/>
            <w:vMerge w:val="continue"/>
            <w:vAlign w:val="center"/>
          </w:tcPr>
          <w:p w14:paraId="06CAE14B">
            <w:pPr>
              <w:pageBreakBefore w:val="0"/>
              <w:widowControl/>
              <w:kinsoku/>
              <w:wordWrap/>
              <w:overflowPunct/>
              <w:topLinePunct w:val="0"/>
              <w:autoSpaceDE/>
              <w:autoSpaceDN/>
              <w:bidi w:val="0"/>
              <w:snapToGrid w:val="0"/>
              <w:spacing w:before="0" w:after="0" w:line="240" w:lineRule="auto"/>
              <w:ind w:firstLine="420" w:firstLineChars="0"/>
              <w:jc w:val="left"/>
              <w:rPr>
                <w:rFonts w:hint="eastAsia" w:ascii="Times New Roman" w:hAnsi="Times New Roman" w:eastAsia="宋体" w:cs="Times New Roman"/>
                <w:color w:val="auto"/>
                <w:sz w:val="21"/>
                <w:szCs w:val="21"/>
                <w:highlight w:val="none"/>
              </w:rPr>
            </w:pPr>
          </w:p>
        </w:tc>
        <w:tc>
          <w:tcPr>
            <w:tcW w:w="736" w:type="pct"/>
            <w:vMerge w:val="continue"/>
            <w:vAlign w:val="center"/>
          </w:tcPr>
          <w:p w14:paraId="4D7E8094">
            <w:pPr>
              <w:pageBreakBefore w:val="0"/>
              <w:widowControl/>
              <w:kinsoku/>
              <w:wordWrap/>
              <w:overflowPunct/>
              <w:topLinePunct w:val="0"/>
              <w:autoSpaceDE/>
              <w:autoSpaceDN/>
              <w:bidi w:val="0"/>
              <w:snapToGrid w:val="0"/>
              <w:spacing w:before="0" w:after="0" w:line="240" w:lineRule="auto"/>
              <w:ind w:firstLine="420" w:firstLineChars="0"/>
              <w:jc w:val="left"/>
              <w:rPr>
                <w:rFonts w:hint="eastAsia" w:ascii="Times New Roman" w:hAnsi="Times New Roman" w:eastAsia="宋体" w:cs="Times New Roman"/>
                <w:color w:val="auto"/>
                <w:sz w:val="21"/>
                <w:szCs w:val="21"/>
                <w:highlight w:val="none"/>
              </w:rPr>
            </w:pPr>
          </w:p>
        </w:tc>
        <w:tc>
          <w:tcPr>
            <w:tcW w:w="1204" w:type="pct"/>
            <w:vAlign w:val="center"/>
          </w:tcPr>
          <w:p w14:paraId="0705E8BA">
            <w:pPr>
              <w:pageBreakBefore w:val="0"/>
              <w:widowControl/>
              <w:kinsoku/>
              <w:wordWrap/>
              <w:overflowPunct/>
              <w:topLinePunct w:val="0"/>
              <w:autoSpaceDE/>
              <w:autoSpaceDN/>
              <w:bidi w:val="0"/>
              <w:snapToGrid w:val="0"/>
              <w:spacing w:before="0" w:after="0" w:line="240" w:lineRule="auto"/>
              <w:ind w:firstLine="0" w:firstLineChars="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B22制度执行有效性</w:t>
            </w:r>
          </w:p>
        </w:tc>
        <w:tc>
          <w:tcPr>
            <w:tcW w:w="512" w:type="pct"/>
            <w:vAlign w:val="center"/>
          </w:tcPr>
          <w:p w14:paraId="0C903051">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有效</w:t>
            </w:r>
          </w:p>
        </w:tc>
        <w:tc>
          <w:tcPr>
            <w:tcW w:w="720" w:type="pct"/>
            <w:vAlign w:val="center"/>
          </w:tcPr>
          <w:p w14:paraId="3953D47F">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bidi="ar"/>
              </w:rPr>
              <w:t>较</w:t>
            </w:r>
            <w:r>
              <w:rPr>
                <w:rFonts w:hint="eastAsia" w:ascii="Times New Roman" w:hAnsi="Times New Roman" w:eastAsia="宋体" w:cs="Times New Roman"/>
                <w:color w:val="auto"/>
                <w:kern w:val="2"/>
                <w:sz w:val="21"/>
                <w:szCs w:val="21"/>
                <w:highlight w:val="none"/>
                <w:lang w:bidi="ar"/>
              </w:rPr>
              <w:t>有效</w:t>
            </w:r>
          </w:p>
        </w:tc>
        <w:tc>
          <w:tcPr>
            <w:tcW w:w="378" w:type="pct"/>
            <w:vAlign w:val="center"/>
          </w:tcPr>
          <w:p w14:paraId="59088004">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8.00</w:t>
            </w:r>
          </w:p>
        </w:tc>
        <w:tc>
          <w:tcPr>
            <w:tcW w:w="407" w:type="pct"/>
            <w:vAlign w:val="center"/>
          </w:tcPr>
          <w:p w14:paraId="62C06370">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eastAsia="宋体" w:cs="Times New Roman"/>
                <w:color w:val="auto"/>
                <w:kern w:val="2"/>
                <w:sz w:val="21"/>
                <w:szCs w:val="21"/>
                <w:highlight w:val="none"/>
                <w:lang w:val="en-US" w:eastAsia="zh-CN" w:bidi="ar"/>
              </w:rPr>
              <w:t>3</w:t>
            </w:r>
            <w:r>
              <w:rPr>
                <w:rFonts w:hint="eastAsia" w:ascii="Times New Roman" w:hAnsi="Times New Roman" w:eastAsia="宋体" w:cs="Times New Roman"/>
                <w:color w:val="auto"/>
                <w:kern w:val="2"/>
                <w:sz w:val="21"/>
                <w:szCs w:val="21"/>
                <w:highlight w:val="none"/>
                <w:lang w:bidi="ar"/>
              </w:rPr>
              <w:t>.00</w:t>
            </w:r>
          </w:p>
        </w:tc>
        <w:tc>
          <w:tcPr>
            <w:tcW w:w="509" w:type="pct"/>
            <w:vAlign w:val="center"/>
          </w:tcPr>
          <w:p w14:paraId="4994B7F4">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eastAsia="宋体" w:cs="Times New Roman"/>
                <w:color w:val="auto"/>
                <w:kern w:val="2"/>
                <w:sz w:val="21"/>
                <w:szCs w:val="21"/>
                <w:highlight w:val="none"/>
                <w:lang w:val="en-US" w:eastAsia="zh-CN" w:bidi="ar"/>
              </w:rPr>
              <w:t>37.50</w:t>
            </w:r>
            <w:r>
              <w:rPr>
                <w:rFonts w:hint="eastAsia" w:ascii="Times New Roman" w:hAnsi="Times New Roman" w:eastAsia="宋体" w:cs="Times New Roman"/>
                <w:color w:val="auto"/>
                <w:kern w:val="2"/>
                <w:sz w:val="21"/>
                <w:szCs w:val="21"/>
                <w:highlight w:val="none"/>
                <w:lang w:bidi="ar"/>
              </w:rPr>
              <w:t>%</w:t>
            </w:r>
          </w:p>
        </w:tc>
      </w:tr>
      <w:tr w14:paraId="7982A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472" w:type="pct"/>
            <w:gridSpan w:val="3"/>
            <w:vAlign w:val="center"/>
          </w:tcPr>
          <w:p w14:paraId="12D8ED84">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合计</w:t>
            </w:r>
          </w:p>
        </w:tc>
        <w:tc>
          <w:tcPr>
            <w:tcW w:w="512" w:type="pct"/>
            <w:vAlign w:val="center"/>
          </w:tcPr>
          <w:p w14:paraId="5C27DD58">
            <w:pPr>
              <w:pageBreakBefore w:val="0"/>
              <w:widowControl/>
              <w:kinsoku/>
              <w:wordWrap/>
              <w:overflowPunct/>
              <w:topLinePunct w:val="0"/>
              <w:autoSpaceDE/>
              <w:autoSpaceDN/>
              <w:bidi w:val="0"/>
              <w:snapToGrid w:val="0"/>
              <w:spacing w:before="0" w:after="0" w:line="240" w:lineRule="auto"/>
              <w:ind w:firstLine="420" w:firstLineChars="0"/>
              <w:jc w:val="center"/>
              <w:rPr>
                <w:rFonts w:hint="eastAsia" w:ascii="Times New Roman" w:hAnsi="Times New Roman" w:eastAsia="宋体" w:cs="Times New Roman"/>
                <w:color w:val="auto"/>
                <w:sz w:val="21"/>
                <w:szCs w:val="21"/>
                <w:highlight w:val="none"/>
              </w:rPr>
            </w:pPr>
          </w:p>
        </w:tc>
        <w:tc>
          <w:tcPr>
            <w:tcW w:w="720" w:type="pct"/>
            <w:vAlign w:val="center"/>
          </w:tcPr>
          <w:p w14:paraId="73AF59B7">
            <w:pPr>
              <w:pageBreakBefore w:val="0"/>
              <w:widowControl/>
              <w:kinsoku/>
              <w:wordWrap/>
              <w:overflowPunct/>
              <w:topLinePunct w:val="0"/>
              <w:autoSpaceDE/>
              <w:autoSpaceDN/>
              <w:bidi w:val="0"/>
              <w:snapToGrid w:val="0"/>
              <w:spacing w:before="0" w:after="0" w:line="240" w:lineRule="auto"/>
              <w:ind w:firstLine="420" w:firstLineChars="0"/>
              <w:jc w:val="center"/>
              <w:rPr>
                <w:rFonts w:hint="eastAsia" w:ascii="Times New Roman" w:hAnsi="Times New Roman" w:eastAsia="宋体" w:cs="Times New Roman"/>
                <w:color w:val="auto"/>
                <w:sz w:val="21"/>
                <w:szCs w:val="21"/>
                <w:highlight w:val="none"/>
                <w:lang w:val="en-US" w:eastAsia="zh-CN"/>
              </w:rPr>
            </w:pPr>
          </w:p>
        </w:tc>
        <w:tc>
          <w:tcPr>
            <w:tcW w:w="378" w:type="pct"/>
            <w:vAlign w:val="center"/>
          </w:tcPr>
          <w:p w14:paraId="0ABB3B6A">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25.00</w:t>
            </w:r>
          </w:p>
        </w:tc>
        <w:tc>
          <w:tcPr>
            <w:tcW w:w="407" w:type="pct"/>
            <w:vAlign w:val="center"/>
          </w:tcPr>
          <w:p w14:paraId="6F8D0466">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eastAsia="zh-CN" w:bidi="ar"/>
              </w:rPr>
              <w:t>1</w:t>
            </w:r>
            <w:r>
              <w:rPr>
                <w:rFonts w:hint="eastAsia" w:eastAsia="宋体" w:cs="Times New Roman"/>
                <w:color w:val="auto"/>
                <w:kern w:val="2"/>
                <w:sz w:val="21"/>
                <w:szCs w:val="21"/>
                <w:highlight w:val="none"/>
                <w:lang w:val="en-US" w:eastAsia="zh-CN" w:bidi="ar"/>
              </w:rPr>
              <w:t>7</w:t>
            </w:r>
            <w:r>
              <w:rPr>
                <w:rFonts w:hint="eastAsia" w:ascii="Times New Roman" w:hAnsi="Times New Roman" w:eastAsia="宋体" w:cs="Times New Roman"/>
                <w:color w:val="auto"/>
                <w:kern w:val="2"/>
                <w:sz w:val="21"/>
                <w:szCs w:val="21"/>
                <w:highlight w:val="none"/>
                <w:lang w:val="en-US" w:eastAsia="zh-CN" w:bidi="ar"/>
              </w:rPr>
              <w:t>.00</w:t>
            </w:r>
          </w:p>
        </w:tc>
        <w:tc>
          <w:tcPr>
            <w:tcW w:w="509" w:type="pct"/>
            <w:vAlign w:val="center"/>
          </w:tcPr>
          <w:p w14:paraId="08012585">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6</w:t>
            </w:r>
            <w:r>
              <w:rPr>
                <w:rFonts w:hint="eastAsia" w:eastAsia="宋体" w:cs="Times New Roman"/>
                <w:color w:val="auto"/>
                <w:kern w:val="2"/>
                <w:sz w:val="21"/>
                <w:szCs w:val="21"/>
                <w:highlight w:val="none"/>
                <w:lang w:val="en-US" w:eastAsia="zh-CN" w:bidi="ar"/>
              </w:rPr>
              <w:t>8</w:t>
            </w:r>
            <w:r>
              <w:rPr>
                <w:rFonts w:hint="eastAsia" w:ascii="Times New Roman" w:hAnsi="Times New Roman" w:eastAsia="宋体" w:cs="Times New Roman"/>
                <w:color w:val="auto"/>
                <w:kern w:val="2"/>
                <w:sz w:val="21"/>
                <w:szCs w:val="21"/>
                <w:highlight w:val="none"/>
                <w:lang w:bidi="ar"/>
              </w:rPr>
              <w:t>.00%</w:t>
            </w:r>
          </w:p>
        </w:tc>
      </w:tr>
    </w:tbl>
    <w:p w14:paraId="7AA21831">
      <w:pPr>
        <w:pageBreakBefore w:val="0"/>
        <w:kinsoku/>
        <w:wordWrap/>
        <w:overflowPunct/>
        <w:topLinePunct w:val="0"/>
        <w:autoSpaceDE/>
        <w:autoSpaceDN/>
        <w:bidi w:val="0"/>
        <w:snapToGrid w:val="0"/>
        <w:spacing w:line="360" w:lineRule="auto"/>
        <w:ind w:firstLine="422"/>
        <w:rPr>
          <w:rFonts w:ascii="Times New Roman" w:hAnsi="Times New Roman" w:eastAsia="宋体" w:cs="Times New Roman"/>
          <w:b/>
          <w:bCs/>
          <w:color w:val="auto"/>
          <w:highlight w:val="none"/>
        </w:rPr>
      </w:pPr>
    </w:p>
    <w:p w14:paraId="5802BB16">
      <w:pPr>
        <w:pageBreakBefore w:val="0"/>
        <w:kinsoku/>
        <w:wordWrap/>
        <w:overflowPunct/>
        <w:topLinePunct w:val="0"/>
        <w:autoSpaceDE/>
        <w:autoSpaceDN/>
        <w:bidi w:val="0"/>
        <w:snapToGrid w:val="0"/>
        <w:spacing w:line="360" w:lineRule="auto"/>
        <w:ind w:firstLine="422"/>
        <w:rPr>
          <w:rFonts w:ascii="Times New Roman" w:hAnsi="Times New Roman" w:eastAsia="宋体" w:cs="Times New Roman"/>
          <w:color w:val="auto"/>
          <w:highlight w:val="none"/>
        </w:rPr>
      </w:pPr>
      <w:r>
        <w:rPr>
          <w:rFonts w:ascii="Times New Roman" w:hAnsi="Times New Roman" w:eastAsia="宋体" w:cs="Times New Roman"/>
          <w:b/>
          <w:bCs/>
          <w:color w:val="auto"/>
          <w:highlight w:val="none"/>
        </w:rPr>
        <w:t>指标得分分析：</w:t>
      </w:r>
    </w:p>
    <w:p w14:paraId="7D924401">
      <w:pPr>
        <w:widowControl/>
        <w:spacing w:line="360" w:lineRule="auto"/>
        <w:ind w:firstLine="422"/>
        <w:jc w:val="left"/>
        <w:rPr>
          <w:rFonts w:hint="default" w:ascii="Times New Roman" w:hAnsi="Times New Roman" w:eastAsia="宋体" w:cs="Times New Roman"/>
          <w:color w:val="auto"/>
          <w:szCs w:val="21"/>
          <w:highlight w:val="none"/>
        </w:rPr>
      </w:pPr>
      <w:bookmarkStart w:id="93" w:name="_Toc33944152"/>
      <w:r>
        <w:rPr>
          <w:rFonts w:hint="default" w:ascii="Times New Roman" w:hAnsi="Times New Roman" w:eastAsia="宋体" w:cs="Times New Roman"/>
          <w:b/>
          <w:bCs/>
          <w:color w:val="auto"/>
          <w:highlight w:val="none"/>
        </w:rPr>
        <w:t>（1）B11资金到位率</w:t>
      </w:r>
      <w:r>
        <w:rPr>
          <w:rFonts w:hint="default" w:ascii="Times New Roman" w:hAnsi="Times New Roman" w:eastAsia="宋体" w:cs="Times New Roman"/>
          <w:b/>
          <w:bCs/>
          <w:color w:val="auto"/>
          <w:highlight w:val="none"/>
          <w:lang w:val="en-US" w:eastAsia="zh-CN"/>
        </w:rPr>
        <w:t>指标</w:t>
      </w:r>
      <w:r>
        <w:rPr>
          <w:rFonts w:hint="default" w:ascii="Times New Roman" w:hAnsi="Times New Roman" w:eastAsia="宋体" w:cs="Times New Roman"/>
          <w:b/>
          <w:bCs/>
          <w:color w:val="auto"/>
          <w:highlight w:val="none"/>
        </w:rPr>
        <w:t>：</w:t>
      </w:r>
    </w:p>
    <w:p w14:paraId="741129B7">
      <w:pPr>
        <w:spacing w:line="360" w:lineRule="auto"/>
        <w:ind w:firstLine="420"/>
        <w:rPr>
          <w:rFonts w:hint="default"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根据</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伊关于伊宁县2024年农村公路日常养护项目可行性研究报告的批复</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伊县发改</w:t>
      </w:r>
      <w:r>
        <w:rPr>
          <w:rFonts w:hint="default" w:ascii="Times New Roman" w:hAnsi="Times New Roman" w:eastAsia="宋体" w:cs="Times New Roman"/>
          <w:color w:val="auto"/>
          <w:highlight w:val="none"/>
          <w:lang w:val="en-US" w:eastAsia="zh-CN"/>
        </w:rPr>
        <w:t>字〔2024〕11</w:t>
      </w:r>
      <w:r>
        <w:rPr>
          <w:rFonts w:hint="eastAsia" w:ascii="Times New Roman" w:hAnsi="Times New Roman" w:eastAsia="宋体" w:cs="Times New Roman"/>
          <w:color w:val="auto"/>
          <w:highlight w:val="none"/>
          <w:lang w:val="en-US" w:eastAsia="zh-CN"/>
        </w:rPr>
        <w:t>7</w:t>
      </w:r>
      <w:r>
        <w:rPr>
          <w:rFonts w:hint="default" w:ascii="Times New Roman" w:hAnsi="Times New Roman" w:eastAsia="宋体" w:cs="Times New Roman"/>
          <w:color w:val="auto"/>
          <w:highlight w:val="none"/>
          <w:lang w:val="en-US" w:eastAsia="zh-CN"/>
        </w:rPr>
        <w:t>号）</w:t>
      </w:r>
      <w:r>
        <w:rPr>
          <w:rFonts w:hint="eastAsia" w:ascii="Times New Roman" w:hAnsi="Times New Roman" w:eastAsia="宋体" w:cs="Times New Roman"/>
          <w:color w:val="auto"/>
          <w:szCs w:val="21"/>
          <w:highlight w:val="none"/>
          <w:lang w:val="en-US" w:eastAsia="zh-CN"/>
        </w:rPr>
        <w:t>、《关于提前下达2024年中央对地方成品油改革转移支付资金用于农村公路养护支预算的通知》（伊州财建〔2023〕202号），该项目预算资金为272.53万元，项目实际到位资金222.00万元。资金到位率=（实际到位资金/预算资金）×100.00%=（222.00/272.53）×100.00%=81.46%。按照评分细则，项目尚未完成，资金到位率小于100.00%且大于等于80.00%的，得2.00分。</w:t>
      </w:r>
    </w:p>
    <w:p w14:paraId="24D35B40">
      <w:pPr>
        <w:spacing w:line="360" w:lineRule="auto"/>
        <w:ind w:firstLine="420"/>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该指标满分为3.00分，根据评分标准得2.00分。</w:t>
      </w:r>
    </w:p>
    <w:p w14:paraId="5FBED6CA">
      <w:pPr>
        <w:widowControl/>
        <w:spacing w:line="360" w:lineRule="auto"/>
        <w:ind w:firstLine="422"/>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b/>
          <w:bCs/>
          <w:color w:val="auto"/>
          <w:highlight w:val="none"/>
        </w:rPr>
        <w:t>（2）B12预算执行率</w:t>
      </w:r>
      <w:r>
        <w:rPr>
          <w:rFonts w:hint="default" w:ascii="Times New Roman" w:hAnsi="Times New Roman" w:eastAsia="宋体" w:cs="Times New Roman"/>
          <w:b/>
          <w:bCs/>
          <w:color w:val="auto"/>
          <w:highlight w:val="none"/>
          <w:lang w:val="en-US" w:eastAsia="zh-CN"/>
        </w:rPr>
        <w:t>指标</w:t>
      </w:r>
      <w:r>
        <w:rPr>
          <w:rFonts w:hint="default" w:ascii="Times New Roman" w:hAnsi="Times New Roman" w:eastAsia="宋体" w:cs="Times New Roman"/>
          <w:b/>
          <w:bCs/>
          <w:color w:val="auto"/>
          <w:highlight w:val="none"/>
        </w:rPr>
        <w:t>：</w:t>
      </w:r>
    </w:p>
    <w:p w14:paraId="06F92FA6">
      <w:pPr>
        <w:spacing w:line="360" w:lineRule="auto"/>
        <w:ind w:firstLine="420"/>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经查阅国库集中支付凭证、发票等资料显示，项目实际支出222.00万元，预算执行率100.00%，项目完成且执行数控制在年度预算规模之内，得5.00分。</w:t>
      </w:r>
    </w:p>
    <w:p w14:paraId="008A4DB7">
      <w:pPr>
        <w:spacing w:line="360" w:lineRule="auto"/>
        <w:ind w:firstLine="420"/>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该指标满分为5.00分，根据评分标准得5.00分。</w:t>
      </w:r>
    </w:p>
    <w:p w14:paraId="19EE7E04">
      <w:pPr>
        <w:widowControl/>
        <w:spacing w:line="360" w:lineRule="auto"/>
        <w:ind w:firstLine="422"/>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b/>
          <w:bCs/>
          <w:color w:val="auto"/>
          <w:highlight w:val="none"/>
        </w:rPr>
        <w:t>（3）B13资金使用合规性</w:t>
      </w:r>
      <w:r>
        <w:rPr>
          <w:rFonts w:hint="default" w:ascii="Times New Roman" w:hAnsi="Times New Roman" w:eastAsia="宋体" w:cs="Times New Roman"/>
          <w:b/>
          <w:bCs/>
          <w:color w:val="auto"/>
          <w:highlight w:val="none"/>
          <w:lang w:val="en-US" w:eastAsia="zh-CN"/>
        </w:rPr>
        <w:t>指标</w:t>
      </w:r>
      <w:r>
        <w:rPr>
          <w:rFonts w:hint="default" w:ascii="Times New Roman" w:hAnsi="Times New Roman" w:eastAsia="宋体" w:cs="Times New Roman"/>
          <w:b/>
          <w:bCs/>
          <w:color w:val="auto"/>
          <w:highlight w:val="none"/>
        </w:rPr>
        <w:t>：</w:t>
      </w:r>
    </w:p>
    <w:p w14:paraId="42A0013A">
      <w:pPr>
        <w:spacing w:line="360" w:lineRule="auto"/>
        <w:ind w:firstLine="420"/>
        <w:rPr>
          <w:rFonts w:hint="eastAsia" w:ascii="Times New Roman" w:hAnsi="Times New Roman" w:eastAsia="宋体" w:cs="Times New Roman"/>
          <w:color w:val="auto"/>
          <w:szCs w:val="21"/>
          <w:highlight w:val="none"/>
          <w:lang w:eastAsia="zh-CN"/>
        </w:rPr>
      </w:pPr>
      <w:r>
        <w:rPr>
          <w:rFonts w:hint="default" w:ascii="Times New Roman" w:hAnsi="Times New Roman" w:eastAsia="宋体" w:cs="Times New Roman"/>
          <w:color w:val="auto"/>
          <w:szCs w:val="21"/>
          <w:highlight w:val="none"/>
        </w:rPr>
        <w:t>①经检查该项目支出凭证，项目资金均用于</w:t>
      </w:r>
      <w:r>
        <w:rPr>
          <w:rFonts w:hint="eastAsia" w:ascii="Times New Roman" w:hAnsi="Times New Roman" w:eastAsia="宋体" w:cs="Times New Roman"/>
          <w:color w:val="auto"/>
          <w:szCs w:val="21"/>
          <w:highlight w:val="none"/>
          <w:lang w:val="en-US" w:eastAsia="zh-CN"/>
        </w:rPr>
        <w:t>伊宁县成品油税费农村公路日常养护</w:t>
      </w:r>
      <w:r>
        <w:rPr>
          <w:rFonts w:hint="default" w:ascii="Times New Roman" w:hAnsi="Times New Roman" w:eastAsia="宋体" w:cs="Times New Roman"/>
          <w:color w:val="auto"/>
          <w:szCs w:val="21"/>
          <w:highlight w:val="none"/>
        </w:rPr>
        <w:t>项目</w:t>
      </w:r>
      <w:r>
        <w:rPr>
          <w:rFonts w:hint="eastAsia" w:ascii="Times New Roman" w:hAnsi="Times New Roman" w:eastAsia="宋体" w:cs="Times New Roman"/>
          <w:color w:val="auto"/>
          <w:szCs w:val="21"/>
          <w:highlight w:val="none"/>
        </w:rPr>
        <w:t>工程款，</w:t>
      </w:r>
      <w:r>
        <w:rPr>
          <w:rFonts w:hint="default" w:ascii="Times New Roman" w:hAnsi="Times New Roman" w:eastAsia="宋体" w:cs="Times New Roman"/>
          <w:color w:val="auto"/>
          <w:highlight w:val="none"/>
        </w:rPr>
        <w:t>资金使用符合项目预算批复的用途，与项目合同签订的用途一致。</w:t>
      </w:r>
    </w:p>
    <w:p w14:paraId="1BA39F07">
      <w:pPr>
        <w:numPr>
          <w:ilvl w:val="0"/>
          <w:numId w:val="0"/>
        </w:numPr>
        <w:spacing w:line="360" w:lineRule="auto"/>
        <w:ind w:firstLine="420" w:firstLineChars="200"/>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②项目资金拨付时</w:t>
      </w:r>
      <w:r>
        <w:rPr>
          <w:rFonts w:hint="default" w:ascii="Times New Roman" w:hAnsi="Times New Roman" w:eastAsia="宋体" w:cs="Times New Roman"/>
          <w:color w:val="auto"/>
          <w:szCs w:val="21"/>
          <w:highlight w:val="none"/>
        </w:rPr>
        <w:t>，由</w:t>
      </w:r>
      <w:r>
        <w:rPr>
          <w:rFonts w:hint="eastAsia" w:ascii="Times New Roman" w:hAnsi="Times New Roman" w:eastAsia="宋体" w:cs="Times New Roman"/>
          <w:color w:val="auto"/>
          <w:szCs w:val="21"/>
          <w:highlight w:val="none"/>
          <w:lang w:val="en-US" w:eastAsia="zh-CN"/>
        </w:rPr>
        <w:t>施工单位提供</w:t>
      </w:r>
      <w:r>
        <w:rPr>
          <w:rFonts w:hint="default" w:ascii="Times New Roman" w:hAnsi="Times New Roman" w:eastAsia="宋体" w:cs="Times New Roman"/>
          <w:color w:val="auto"/>
          <w:szCs w:val="21"/>
          <w:highlight w:val="none"/>
        </w:rPr>
        <w:t>发票</w:t>
      </w:r>
      <w:r>
        <w:rPr>
          <w:rFonts w:hint="eastAsia" w:ascii="Times New Roman" w:hAnsi="Times New Roman" w:eastAsia="宋体" w:cs="Times New Roman"/>
          <w:color w:val="auto"/>
          <w:szCs w:val="21"/>
          <w:highlight w:val="none"/>
          <w:lang w:eastAsia="zh-CN"/>
        </w:rPr>
        <w:t>、</w:t>
      </w:r>
      <w:r>
        <w:rPr>
          <w:rFonts w:hint="eastAsia" w:ascii="Times New Roman" w:hAnsi="Times New Roman" w:eastAsia="宋体" w:cs="Times New Roman"/>
          <w:color w:val="auto"/>
          <w:szCs w:val="21"/>
          <w:highlight w:val="none"/>
          <w:lang w:val="en-US" w:eastAsia="zh-CN"/>
        </w:rPr>
        <w:t>合同、</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工程项目施工进度形象确认表</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等支付手续</w:t>
      </w:r>
      <w:r>
        <w:rPr>
          <w:rFonts w:hint="default" w:ascii="Times New Roman" w:hAnsi="Times New Roman" w:eastAsia="宋体" w:cs="Times New Roman"/>
          <w:color w:val="auto"/>
          <w:szCs w:val="21"/>
          <w:highlight w:val="none"/>
        </w:rPr>
        <w:t>至</w:t>
      </w:r>
      <w:r>
        <w:rPr>
          <w:rFonts w:hint="eastAsia" w:ascii="Times New Roman" w:hAnsi="Times New Roman" w:eastAsia="宋体" w:cs="Times New Roman"/>
          <w:color w:val="auto"/>
          <w:szCs w:val="21"/>
          <w:highlight w:val="none"/>
          <w:lang w:val="en-US" w:eastAsia="zh-CN"/>
        </w:rPr>
        <w:t>伊宁县交通运输局</w:t>
      </w:r>
      <w:r>
        <w:rPr>
          <w:rFonts w:hint="default" w:ascii="Times New Roman" w:hAnsi="Times New Roman" w:eastAsia="宋体" w:cs="Times New Roman"/>
          <w:color w:val="auto"/>
          <w:szCs w:val="21"/>
          <w:highlight w:val="none"/>
        </w:rPr>
        <w:t>，</w:t>
      </w:r>
      <w:r>
        <w:rPr>
          <w:rFonts w:hint="eastAsia" w:ascii="Times New Roman" w:hAnsi="Times New Roman" w:eastAsia="宋体" w:cs="Times New Roman"/>
          <w:color w:val="auto"/>
          <w:szCs w:val="21"/>
          <w:highlight w:val="none"/>
          <w:lang w:val="en-US" w:eastAsia="zh-CN"/>
        </w:rPr>
        <w:t>按照伊宁县交通运输局大额资金支付要求上单位局</w:t>
      </w:r>
      <w:r>
        <w:rPr>
          <w:rFonts w:hint="default" w:ascii="Times New Roman" w:hAnsi="Times New Roman" w:eastAsia="宋体" w:cs="Times New Roman"/>
          <w:color w:val="auto"/>
          <w:szCs w:val="21"/>
          <w:highlight w:val="none"/>
        </w:rPr>
        <w:t>党组会议通过后</w:t>
      </w:r>
      <w:r>
        <w:rPr>
          <w:rFonts w:hint="eastAsia" w:ascii="Times New Roman" w:hAnsi="Times New Roman" w:eastAsia="宋体" w:cs="Times New Roman"/>
          <w:color w:val="auto"/>
          <w:szCs w:val="21"/>
          <w:highlight w:val="none"/>
          <w:lang w:val="en-US" w:eastAsia="zh-CN"/>
        </w:rPr>
        <w:t>逐级审批签署</w:t>
      </w:r>
      <w:r>
        <w:rPr>
          <w:rFonts w:hint="eastAsia" w:ascii="Times New Roman" w:hAnsi="Times New Roman" w:eastAsia="宋体" w:cs="Times New Roman"/>
          <w:color w:val="auto"/>
          <w:highlight w:val="none"/>
          <w:lang w:val="en-US" w:eastAsia="zh-CN"/>
        </w:rPr>
        <w:t>《伊宁县国家、自治区投资建设工程资金拨付单》，</w:t>
      </w:r>
      <w:r>
        <w:rPr>
          <w:rFonts w:hint="default" w:ascii="Times New Roman" w:hAnsi="Times New Roman" w:eastAsia="宋体" w:cs="Times New Roman"/>
          <w:color w:val="auto"/>
          <w:szCs w:val="21"/>
          <w:highlight w:val="none"/>
        </w:rPr>
        <w:t>提交资金支付申请至</w:t>
      </w:r>
      <w:r>
        <w:rPr>
          <w:rFonts w:hint="eastAsia" w:ascii="Times New Roman" w:hAnsi="Times New Roman" w:eastAsia="宋体" w:cs="Times New Roman"/>
          <w:color w:val="auto"/>
          <w:szCs w:val="21"/>
          <w:highlight w:val="none"/>
          <w:lang w:val="en-US" w:eastAsia="zh-CN"/>
        </w:rPr>
        <w:t>伊宁县</w:t>
      </w:r>
      <w:r>
        <w:rPr>
          <w:rFonts w:hint="default" w:ascii="Times New Roman" w:hAnsi="Times New Roman" w:eastAsia="宋体" w:cs="Times New Roman"/>
          <w:color w:val="auto"/>
          <w:szCs w:val="21"/>
          <w:highlight w:val="none"/>
        </w:rPr>
        <w:t>财政部门，审核通过后由</w:t>
      </w:r>
      <w:r>
        <w:rPr>
          <w:rFonts w:hint="eastAsia" w:ascii="Times New Roman" w:hAnsi="Times New Roman" w:eastAsia="宋体" w:cs="Times New Roman"/>
          <w:color w:val="auto"/>
          <w:szCs w:val="21"/>
          <w:highlight w:val="none"/>
          <w:lang w:val="en-US" w:eastAsia="zh-CN"/>
        </w:rPr>
        <w:t>伊宁县</w:t>
      </w:r>
      <w:r>
        <w:rPr>
          <w:rFonts w:hint="default" w:ascii="Times New Roman" w:hAnsi="Times New Roman" w:eastAsia="宋体" w:cs="Times New Roman"/>
          <w:color w:val="auto"/>
          <w:szCs w:val="21"/>
          <w:highlight w:val="none"/>
        </w:rPr>
        <w:t>财政局国库</w:t>
      </w:r>
      <w:r>
        <w:rPr>
          <w:rFonts w:hint="eastAsia" w:ascii="Times New Roman" w:hAnsi="Times New Roman" w:eastAsia="宋体" w:cs="Times New Roman"/>
          <w:color w:val="auto"/>
          <w:szCs w:val="21"/>
          <w:highlight w:val="none"/>
          <w:lang w:val="en-US" w:eastAsia="zh-CN"/>
        </w:rPr>
        <w:t>通过</w:t>
      </w:r>
      <w:r>
        <w:rPr>
          <w:rFonts w:hint="default" w:ascii="Times New Roman" w:hAnsi="Times New Roman" w:eastAsia="宋体" w:cs="Times New Roman"/>
          <w:color w:val="auto"/>
          <w:szCs w:val="21"/>
          <w:highlight w:val="none"/>
        </w:rPr>
        <w:t>国库集中支付</w:t>
      </w:r>
      <w:r>
        <w:rPr>
          <w:rFonts w:hint="eastAsia" w:ascii="Times New Roman" w:hAnsi="Times New Roman" w:eastAsia="宋体" w:cs="Times New Roman"/>
          <w:color w:val="auto"/>
          <w:szCs w:val="21"/>
          <w:highlight w:val="none"/>
          <w:lang w:val="en-US" w:eastAsia="zh-CN"/>
        </w:rPr>
        <w:t>方式</w:t>
      </w:r>
      <w:r>
        <w:rPr>
          <w:rFonts w:hint="default" w:ascii="Times New Roman" w:hAnsi="Times New Roman" w:eastAsia="宋体" w:cs="Times New Roman"/>
          <w:color w:val="auto"/>
          <w:szCs w:val="21"/>
          <w:highlight w:val="none"/>
        </w:rPr>
        <w:t>直接将资金拨付至</w:t>
      </w:r>
      <w:r>
        <w:rPr>
          <w:rFonts w:hint="eastAsia" w:ascii="Times New Roman" w:hAnsi="Times New Roman" w:eastAsia="宋体" w:cs="Times New Roman"/>
          <w:color w:val="auto"/>
          <w:szCs w:val="21"/>
          <w:highlight w:val="none"/>
          <w:lang w:val="en-US" w:eastAsia="zh-CN"/>
        </w:rPr>
        <w:t>相关单位</w:t>
      </w:r>
      <w:r>
        <w:rPr>
          <w:rFonts w:hint="default" w:ascii="Times New Roman" w:hAnsi="Times New Roman" w:eastAsia="宋体" w:cs="Times New Roman"/>
          <w:color w:val="auto"/>
          <w:szCs w:val="21"/>
          <w:highlight w:val="none"/>
        </w:rPr>
        <w:t>，项目资金的拨付有完整的审批程序和手续</w:t>
      </w:r>
      <w:r>
        <w:rPr>
          <w:rFonts w:hint="eastAsia" w:ascii="Times New Roman" w:hAnsi="Times New Roman" w:eastAsia="宋体" w:cs="Times New Roman"/>
          <w:color w:val="auto"/>
          <w:szCs w:val="21"/>
          <w:highlight w:val="none"/>
          <w:lang w:eastAsia="zh-CN"/>
        </w:rPr>
        <w:t>。</w:t>
      </w:r>
      <w:r>
        <w:rPr>
          <w:rFonts w:hint="eastAsia" w:ascii="Times New Roman" w:hAnsi="Times New Roman" w:eastAsia="宋体" w:cs="Times New Roman"/>
          <w:color w:val="auto"/>
          <w:szCs w:val="21"/>
          <w:highlight w:val="none"/>
          <w:lang w:val="en-US" w:eastAsia="zh-CN"/>
        </w:rPr>
        <w:t>发现问题如下：</w:t>
      </w:r>
    </w:p>
    <w:p w14:paraId="304AF286">
      <w:pPr>
        <w:numPr>
          <w:ilvl w:val="0"/>
          <w:numId w:val="0"/>
        </w:numPr>
        <w:spacing w:line="360" w:lineRule="auto"/>
        <w:ind w:firstLine="420" w:firstLineChars="200"/>
        <w:rPr>
          <w:rFonts w:hint="eastAsia"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highlight w:val="none"/>
          <w:lang w:val="en-US" w:eastAsia="zh-CN"/>
        </w:rPr>
        <w:t>截至2024年1</w:t>
      </w:r>
      <w:r>
        <w:rPr>
          <w:rFonts w:hint="eastAsia" w:ascii="Times New Roman" w:hAnsi="Times New Roman" w:eastAsia="宋体" w:cs="Times New Roman"/>
          <w:color w:val="auto"/>
          <w:highlight w:val="none"/>
          <w:lang w:val="en-US" w:eastAsia="zh-CN"/>
        </w:rPr>
        <w:t>2</w:t>
      </w:r>
      <w:r>
        <w:rPr>
          <w:rFonts w:hint="default" w:ascii="Times New Roman" w:hAnsi="Times New Roman" w:eastAsia="宋体" w:cs="Times New Roman"/>
          <w:color w:val="auto"/>
          <w:highlight w:val="none"/>
          <w:lang w:val="en-US" w:eastAsia="zh-CN"/>
        </w:rPr>
        <w:t>月30日</w:t>
      </w:r>
      <w:r>
        <w:rPr>
          <w:rFonts w:hint="eastAsia" w:ascii="Times New Roman" w:hAnsi="Times New Roman" w:eastAsia="宋体" w:cs="Times New Roman"/>
          <w:color w:val="auto"/>
          <w:highlight w:val="none"/>
          <w:lang w:val="en-US" w:eastAsia="zh-CN"/>
        </w:rPr>
        <w:t>，该项目已交工验收，工程结算审核金额为222.05万元，</w:t>
      </w:r>
      <w:r>
        <w:rPr>
          <w:rFonts w:hint="default" w:ascii="Times New Roman" w:hAnsi="Times New Roman" w:eastAsia="宋体" w:cs="Times New Roman"/>
          <w:color w:val="auto"/>
          <w:highlight w:val="none"/>
          <w:lang w:val="en-US" w:eastAsia="zh-CN"/>
        </w:rPr>
        <w:t>项目实施单位已完成支付施工费用</w:t>
      </w:r>
      <w:r>
        <w:rPr>
          <w:rFonts w:hint="eastAsia" w:ascii="Times New Roman" w:hAnsi="Times New Roman" w:eastAsia="宋体" w:cs="Times New Roman"/>
          <w:color w:val="auto"/>
          <w:highlight w:val="none"/>
          <w:lang w:val="en-US" w:eastAsia="zh-CN"/>
        </w:rPr>
        <w:t>222.00</w:t>
      </w:r>
      <w:r>
        <w:rPr>
          <w:rFonts w:hint="default" w:ascii="Times New Roman" w:hAnsi="Times New Roman" w:eastAsia="宋体" w:cs="Times New Roman"/>
          <w:color w:val="auto"/>
          <w:highlight w:val="none"/>
          <w:lang w:val="en-US" w:eastAsia="zh-CN"/>
        </w:rPr>
        <w:t>万元，合同支付比例为</w:t>
      </w:r>
      <w:r>
        <w:rPr>
          <w:rFonts w:hint="eastAsia" w:ascii="Times New Roman" w:hAnsi="Times New Roman" w:eastAsia="宋体" w:cs="Times New Roman"/>
          <w:color w:val="auto"/>
          <w:highlight w:val="none"/>
          <w:lang w:val="en-US" w:eastAsia="zh-CN"/>
        </w:rPr>
        <w:t>99.98</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与</w:t>
      </w:r>
      <w:r>
        <w:rPr>
          <w:rFonts w:hint="default" w:ascii="Times New Roman" w:hAnsi="Times New Roman" w:eastAsia="宋体" w:cs="Times New Roman"/>
          <w:color w:val="auto"/>
          <w:highlight w:val="none"/>
          <w:lang w:val="en-US" w:eastAsia="zh-CN"/>
        </w:rPr>
        <w:t>项目施工合同关于付款周期的约定“本次签订合同完，工程机械进场后支付工程价款的30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按工程进度付款</w:t>
      </w:r>
      <w:r>
        <w:rPr>
          <w:rFonts w:hint="eastAsia" w:ascii="Times New Roman" w:hAnsi="Times New Roman" w:eastAsia="宋体" w:cs="Times New Roman"/>
          <w:color w:val="auto"/>
          <w:highlight w:val="none"/>
          <w:lang w:val="en-US" w:eastAsia="zh-CN"/>
        </w:rPr>
        <w:t>达到</w:t>
      </w:r>
      <w:r>
        <w:rPr>
          <w:rFonts w:hint="default" w:ascii="Times New Roman" w:hAnsi="Times New Roman" w:eastAsia="宋体" w:cs="Times New Roman"/>
          <w:color w:val="auto"/>
          <w:highlight w:val="none"/>
          <w:lang w:val="en-US" w:eastAsia="zh-CN"/>
        </w:rPr>
        <w:t>90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项目工程竣工结算审核后，支付至结算审核价的97</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缺陷责任期2年，预留3</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%作为工程质量保证金</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待缺陷责任期结束后，</w:t>
      </w:r>
      <w:r>
        <w:rPr>
          <w:rFonts w:hint="eastAsia" w:ascii="Times New Roman" w:hAnsi="Times New Roman" w:eastAsia="宋体" w:cs="Times New Roman"/>
          <w:color w:val="auto"/>
          <w:highlight w:val="none"/>
          <w:lang w:val="en-US" w:eastAsia="zh-CN"/>
        </w:rPr>
        <w:t>一次性全部支付给承包人</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等付款支付进度不相符</w:t>
      </w:r>
      <w:r>
        <w:rPr>
          <w:rFonts w:hint="default"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szCs w:val="21"/>
          <w:highlight w:val="none"/>
        </w:rPr>
        <w:t>根据评分标准</w:t>
      </w:r>
      <w:r>
        <w:rPr>
          <w:rFonts w:hint="eastAsia" w:ascii="Times New Roman" w:hAnsi="Times New Roman" w:eastAsia="宋体" w:cs="Times New Roman"/>
          <w:color w:val="auto"/>
          <w:szCs w:val="21"/>
          <w:highlight w:val="none"/>
          <w:lang w:eastAsia="zh-CN"/>
        </w:rPr>
        <w:t>，</w:t>
      </w:r>
      <w:r>
        <w:rPr>
          <w:rFonts w:hint="eastAsia" w:ascii="Times New Roman" w:hAnsi="Times New Roman" w:eastAsia="宋体" w:cs="Times New Roman"/>
          <w:color w:val="auto"/>
          <w:szCs w:val="21"/>
          <w:highlight w:val="none"/>
          <w:lang w:val="en-US" w:eastAsia="zh-CN"/>
        </w:rPr>
        <w:t>扣2.00分。</w:t>
      </w:r>
    </w:p>
    <w:p w14:paraId="5663203D">
      <w:pPr>
        <w:spacing w:line="360" w:lineRule="auto"/>
        <w:ind w:firstLine="42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该指标满分为</w:t>
      </w:r>
      <w:r>
        <w:rPr>
          <w:rFonts w:hint="eastAsia" w:ascii="Times New Roman" w:hAnsi="Times New Roman" w:eastAsia="宋体" w:cs="Times New Roman"/>
          <w:color w:val="auto"/>
          <w:highlight w:val="none"/>
          <w:lang w:val="en-US" w:eastAsia="zh-CN"/>
        </w:rPr>
        <w:t>5</w:t>
      </w:r>
      <w:r>
        <w:rPr>
          <w:rFonts w:hint="default" w:ascii="Times New Roman" w:hAnsi="Times New Roman" w:eastAsia="宋体" w:cs="Times New Roman"/>
          <w:color w:val="auto"/>
          <w:highlight w:val="none"/>
        </w:rPr>
        <w:t>.00分，根据评分标准得</w:t>
      </w:r>
      <w:r>
        <w:rPr>
          <w:rFonts w:hint="eastAsia" w:ascii="Times New Roman" w:hAnsi="Times New Roman" w:eastAsia="宋体" w:cs="Times New Roman"/>
          <w:color w:val="auto"/>
          <w:highlight w:val="none"/>
          <w:lang w:val="en-US" w:eastAsia="zh-CN"/>
        </w:rPr>
        <w:t>3.00</w:t>
      </w:r>
      <w:r>
        <w:rPr>
          <w:rFonts w:hint="default" w:ascii="Times New Roman" w:hAnsi="Times New Roman" w:eastAsia="宋体" w:cs="Times New Roman"/>
          <w:color w:val="auto"/>
          <w:highlight w:val="none"/>
        </w:rPr>
        <w:t>分。</w:t>
      </w:r>
    </w:p>
    <w:p w14:paraId="16892886">
      <w:pPr>
        <w:widowControl/>
        <w:spacing w:line="360" w:lineRule="auto"/>
        <w:ind w:firstLine="422"/>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b/>
          <w:bCs/>
          <w:color w:val="auto"/>
          <w:highlight w:val="none"/>
        </w:rPr>
        <w:t>（4）B21管理制度健全性</w:t>
      </w:r>
      <w:r>
        <w:rPr>
          <w:rFonts w:hint="default" w:ascii="Times New Roman" w:hAnsi="Times New Roman" w:eastAsia="宋体" w:cs="Times New Roman"/>
          <w:b/>
          <w:bCs/>
          <w:color w:val="auto"/>
          <w:highlight w:val="none"/>
          <w:lang w:val="en-US" w:eastAsia="zh-CN"/>
        </w:rPr>
        <w:t>指标</w:t>
      </w:r>
      <w:r>
        <w:rPr>
          <w:rFonts w:hint="default" w:ascii="Times New Roman" w:hAnsi="Times New Roman" w:eastAsia="宋体" w:cs="Times New Roman"/>
          <w:b/>
          <w:bCs/>
          <w:color w:val="auto"/>
          <w:highlight w:val="none"/>
        </w:rPr>
        <w:t>：</w:t>
      </w:r>
    </w:p>
    <w:p w14:paraId="4690CAFA">
      <w:pPr>
        <w:spacing w:line="360" w:lineRule="auto"/>
        <w:ind w:firstLine="420"/>
        <w:rPr>
          <w:rFonts w:hint="default" w:ascii="Times New Roman" w:hAnsi="Times New Roman" w:eastAsia="宋体" w:cs="Times New Roman"/>
          <w:color w:val="auto"/>
          <w:highlight w:val="none"/>
        </w:rPr>
      </w:pPr>
      <w:r>
        <w:rPr>
          <w:rFonts w:hint="eastAsia" w:ascii="Times New Roman" w:hAnsi="Times New Roman" w:eastAsia="宋体" w:cs="Times New Roman"/>
          <w:color w:val="auto"/>
          <w:szCs w:val="21"/>
          <w:highlight w:val="none"/>
          <w:lang w:val="en-US" w:eastAsia="zh-CN"/>
        </w:rPr>
        <w:t>经查证，伊宁县交通运输局已建立</w:t>
      </w:r>
      <w:r>
        <w:rPr>
          <w:rFonts w:hint="default" w:ascii="Times New Roman" w:hAnsi="Times New Roman" w:eastAsia="宋体" w:cs="Times New Roman"/>
          <w:color w:val="auto"/>
          <w:szCs w:val="21"/>
          <w:highlight w:val="none"/>
        </w:rPr>
        <w:t>《</w:t>
      </w:r>
      <w:r>
        <w:rPr>
          <w:rFonts w:hint="eastAsia" w:ascii="Times New Roman" w:hAnsi="Times New Roman" w:eastAsia="宋体" w:cs="Times New Roman"/>
          <w:color w:val="auto"/>
          <w:szCs w:val="21"/>
          <w:highlight w:val="none"/>
          <w:lang w:val="en-US" w:eastAsia="zh-CN"/>
        </w:rPr>
        <w:t>伊宁县交通运输局财务管理制度</w:t>
      </w:r>
      <w:r>
        <w:rPr>
          <w:rFonts w:hint="default" w:ascii="Times New Roman" w:hAnsi="Times New Roman" w:eastAsia="宋体" w:cs="Times New Roman"/>
          <w:color w:val="auto"/>
          <w:szCs w:val="21"/>
          <w:highlight w:val="none"/>
        </w:rPr>
        <w:t>》</w:t>
      </w:r>
      <w:r>
        <w:rPr>
          <w:rFonts w:hint="eastAsia" w:ascii="Times New Roman" w:hAnsi="Times New Roman" w:eastAsia="宋体" w:cs="Times New Roman"/>
          <w:color w:val="auto"/>
          <w:szCs w:val="21"/>
          <w:highlight w:val="none"/>
          <w:lang w:eastAsia="zh-CN"/>
        </w:rPr>
        <w:t>《</w:t>
      </w:r>
      <w:r>
        <w:rPr>
          <w:rFonts w:hint="eastAsia" w:ascii="Times New Roman" w:hAnsi="Times New Roman" w:eastAsia="宋体" w:cs="Times New Roman"/>
          <w:color w:val="auto"/>
          <w:szCs w:val="21"/>
          <w:highlight w:val="none"/>
          <w:lang w:val="en-US" w:eastAsia="zh-CN"/>
        </w:rPr>
        <w:t>伊宁县交通运输局采购管理制度》《伊宁县交通运输局工程（养护工程）项目财务管理制度》</w:t>
      </w:r>
      <w:r>
        <w:rPr>
          <w:rFonts w:hint="eastAsia" w:ascii="Times New Roman" w:hAnsi="Times New Roman" w:eastAsia="宋体" w:cs="Times New Roman"/>
          <w:color w:val="auto"/>
          <w:szCs w:val="21"/>
          <w:highlight w:val="none"/>
          <w:lang w:eastAsia="zh-CN"/>
        </w:rPr>
        <w:t>《</w:t>
      </w:r>
      <w:r>
        <w:rPr>
          <w:rFonts w:hint="eastAsia" w:ascii="Times New Roman" w:hAnsi="Times New Roman" w:eastAsia="宋体" w:cs="Times New Roman"/>
          <w:color w:val="auto"/>
          <w:szCs w:val="21"/>
          <w:highlight w:val="none"/>
          <w:lang w:val="en-US" w:eastAsia="zh-CN"/>
        </w:rPr>
        <w:t>伊宁县交通运输局预算管理制度》</w:t>
      </w:r>
      <w:r>
        <w:rPr>
          <w:rFonts w:hint="eastAsia" w:ascii="Times New Roman" w:hAnsi="Times New Roman" w:eastAsia="宋体" w:cs="Times New Roman"/>
          <w:color w:val="auto"/>
          <w:szCs w:val="21"/>
          <w:highlight w:val="none"/>
          <w:lang w:eastAsia="zh-CN"/>
        </w:rPr>
        <w:t>《</w:t>
      </w:r>
      <w:r>
        <w:rPr>
          <w:rFonts w:hint="eastAsia" w:ascii="Times New Roman" w:hAnsi="Times New Roman" w:eastAsia="宋体" w:cs="Times New Roman"/>
          <w:color w:val="auto"/>
          <w:szCs w:val="21"/>
          <w:highlight w:val="none"/>
          <w:lang w:val="en-US" w:eastAsia="zh-CN"/>
        </w:rPr>
        <w:t>伊宁县交通运输局资产管理制度》等，</w:t>
      </w:r>
      <w:r>
        <w:rPr>
          <w:rFonts w:hint="default" w:ascii="Times New Roman" w:hAnsi="Times New Roman" w:eastAsia="宋体" w:cs="Times New Roman"/>
          <w:color w:val="auto"/>
          <w:highlight w:val="none"/>
        </w:rPr>
        <w:t>项目实施单位已制定相应的财务、</w:t>
      </w:r>
      <w:r>
        <w:rPr>
          <w:rFonts w:hint="eastAsia" w:ascii="Times New Roman" w:hAnsi="Times New Roman" w:eastAsia="宋体" w:cs="Times New Roman"/>
          <w:color w:val="auto"/>
          <w:highlight w:val="none"/>
          <w:lang w:val="en-US" w:eastAsia="zh-CN"/>
        </w:rPr>
        <w:t>采购管理、预算</w:t>
      </w:r>
      <w:r>
        <w:rPr>
          <w:rFonts w:hint="default" w:ascii="Times New Roman" w:hAnsi="Times New Roman" w:eastAsia="宋体" w:cs="Times New Roman"/>
          <w:color w:val="auto"/>
          <w:highlight w:val="none"/>
        </w:rPr>
        <w:t>管理、</w:t>
      </w:r>
      <w:r>
        <w:rPr>
          <w:rFonts w:hint="eastAsia" w:ascii="Times New Roman" w:hAnsi="Times New Roman" w:eastAsia="宋体" w:cs="Times New Roman"/>
          <w:color w:val="auto"/>
          <w:highlight w:val="none"/>
          <w:lang w:val="en-US" w:eastAsia="zh-CN"/>
        </w:rPr>
        <w:t>资产管理</w:t>
      </w:r>
      <w:r>
        <w:rPr>
          <w:rFonts w:hint="default" w:ascii="Times New Roman" w:hAnsi="Times New Roman" w:eastAsia="宋体" w:cs="Times New Roman"/>
          <w:color w:val="auto"/>
          <w:highlight w:val="none"/>
        </w:rPr>
        <w:t>以及项目管理制度等</w:t>
      </w:r>
      <w:r>
        <w:rPr>
          <w:rFonts w:hint="eastAsia" w:ascii="Times New Roman" w:hAnsi="Times New Roman" w:eastAsia="宋体" w:cs="Times New Roman"/>
          <w:color w:val="auto"/>
          <w:highlight w:val="none"/>
          <w:lang w:val="en-US" w:eastAsia="zh-CN"/>
        </w:rPr>
        <w:t>财务管理和业务管理制度基本健全</w:t>
      </w:r>
      <w:r>
        <w:rPr>
          <w:rFonts w:hint="eastAsia" w:ascii="Times New Roman" w:hAnsi="Times New Roman" w:eastAsia="宋体" w:cs="Times New Roman"/>
          <w:color w:val="auto"/>
          <w:highlight w:val="none"/>
          <w:lang w:eastAsia="zh-CN"/>
        </w:rPr>
        <w:t>。</w:t>
      </w:r>
    </w:p>
    <w:p w14:paraId="7BE86827">
      <w:pPr>
        <w:spacing w:line="360" w:lineRule="auto"/>
        <w:ind w:firstLine="42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该指标满分为</w:t>
      </w:r>
      <w:r>
        <w:rPr>
          <w:rFonts w:hint="eastAsia" w:ascii="Times New Roman" w:hAnsi="Times New Roman" w:eastAsia="宋体" w:cs="Times New Roman"/>
          <w:color w:val="auto"/>
          <w:highlight w:val="none"/>
          <w:lang w:val="en-US" w:eastAsia="zh-CN"/>
        </w:rPr>
        <w:t>4</w:t>
      </w:r>
      <w:r>
        <w:rPr>
          <w:rFonts w:hint="default" w:ascii="Times New Roman" w:hAnsi="Times New Roman" w:eastAsia="宋体" w:cs="Times New Roman"/>
          <w:color w:val="auto"/>
          <w:highlight w:val="none"/>
        </w:rPr>
        <w:t>.00分，根据评分标准得</w:t>
      </w:r>
      <w:r>
        <w:rPr>
          <w:rFonts w:hint="eastAsia" w:ascii="Times New Roman" w:hAnsi="Times New Roman" w:eastAsia="宋体" w:cs="Times New Roman"/>
          <w:color w:val="auto"/>
          <w:highlight w:val="none"/>
          <w:lang w:val="en-US" w:eastAsia="zh-CN"/>
        </w:rPr>
        <w:t>4.00</w:t>
      </w:r>
      <w:r>
        <w:rPr>
          <w:rFonts w:hint="default" w:ascii="Times New Roman" w:hAnsi="Times New Roman" w:eastAsia="宋体" w:cs="Times New Roman"/>
          <w:color w:val="auto"/>
          <w:highlight w:val="none"/>
        </w:rPr>
        <w:t>分。</w:t>
      </w:r>
    </w:p>
    <w:p w14:paraId="49B52B4D">
      <w:pPr>
        <w:widowControl/>
        <w:spacing w:line="360" w:lineRule="auto"/>
        <w:ind w:firstLine="422"/>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b/>
          <w:bCs/>
          <w:color w:val="auto"/>
          <w:highlight w:val="none"/>
        </w:rPr>
        <w:t>（5）B22制度执行有效性</w:t>
      </w:r>
      <w:r>
        <w:rPr>
          <w:rFonts w:hint="default" w:ascii="Times New Roman" w:hAnsi="Times New Roman" w:eastAsia="宋体" w:cs="Times New Roman"/>
          <w:b/>
          <w:bCs/>
          <w:color w:val="auto"/>
          <w:highlight w:val="none"/>
          <w:lang w:val="en-US" w:eastAsia="zh-CN"/>
        </w:rPr>
        <w:t>指标</w:t>
      </w:r>
      <w:r>
        <w:rPr>
          <w:rFonts w:hint="default" w:ascii="Times New Roman" w:hAnsi="Times New Roman" w:eastAsia="宋体" w:cs="Times New Roman"/>
          <w:b/>
          <w:bCs/>
          <w:color w:val="auto"/>
          <w:highlight w:val="none"/>
        </w:rPr>
        <w:t>：</w:t>
      </w:r>
    </w:p>
    <w:p w14:paraId="47BD7C3B">
      <w:pPr>
        <w:snapToGrid w:val="0"/>
        <w:spacing w:line="360" w:lineRule="auto"/>
        <w:ind w:firstLine="560"/>
        <w:outlineLvl w:val="9"/>
        <w:rPr>
          <w:rFonts w:hint="eastAsia"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highlight w:val="none"/>
        </w:rPr>
        <w:t>该项目</w:t>
      </w:r>
      <w:r>
        <w:rPr>
          <w:rFonts w:hint="eastAsia" w:ascii="Times New Roman" w:hAnsi="Times New Roman" w:eastAsia="宋体" w:cs="Times New Roman"/>
          <w:color w:val="auto"/>
          <w:highlight w:val="none"/>
          <w:lang w:val="en-US" w:eastAsia="zh-CN"/>
        </w:rPr>
        <w:t>建设法人</w:t>
      </w:r>
      <w:r>
        <w:rPr>
          <w:rFonts w:hint="default" w:ascii="Times New Roman" w:hAnsi="Times New Roman" w:eastAsia="宋体" w:cs="Times New Roman"/>
          <w:color w:val="auto"/>
          <w:highlight w:val="none"/>
        </w:rPr>
        <w:t>为</w:t>
      </w:r>
      <w:r>
        <w:rPr>
          <w:rFonts w:hint="eastAsia" w:ascii="Times New Roman" w:hAnsi="Times New Roman" w:eastAsia="宋体" w:cs="Times New Roman"/>
          <w:color w:val="auto"/>
          <w:szCs w:val="21"/>
          <w:highlight w:val="none"/>
          <w:lang w:val="en-US" w:eastAsia="zh-CN"/>
        </w:rPr>
        <w:t>伊宁县交通运输局</w:t>
      </w:r>
      <w:r>
        <w:rPr>
          <w:rFonts w:hint="default" w:ascii="Times New Roman" w:hAnsi="Times New Roman" w:eastAsia="宋体" w:cs="Times New Roman"/>
          <w:color w:val="auto"/>
          <w:highlight w:val="none"/>
        </w:rPr>
        <w:t>，负责项目建设的监督管理职责，已完成前期</w:t>
      </w:r>
      <w:r>
        <w:rPr>
          <w:rFonts w:hint="eastAsia" w:ascii="Times New Roman" w:hAnsi="Times New Roman" w:eastAsia="宋体" w:cs="Times New Roman"/>
          <w:color w:val="auto"/>
          <w:highlight w:val="none"/>
          <w:lang w:val="en-US" w:eastAsia="zh-CN"/>
        </w:rPr>
        <w:t>立项审批</w:t>
      </w:r>
      <w:r>
        <w:rPr>
          <w:rFonts w:hint="default" w:ascii="Times New Roman" w:hAnsi="Times New Roman" w:eastAsia="宋体" w:cs="Times New Roman"/>
          <w:color w:val="auto"/>
          <w:highlight w:val="none"/>
        </w:rPr>
        <w:t>前期手续；通过公开招标的方式完成项目</w:t>
      </w:r>
      <w:r>
        <w:rPr>
          <w:rFonts w:hint="default" w:ascii="Times New Roman" w:hAnsi="Times New Roman" w:eastAsia="宋体" w:cs="Times New Roman"/>
          <w:color w:val="auto"/>
          <w:highlight w:val="none"/>
          <w:lang w:val="en-US" w:eastAsia="zh-CN"/>
        </w:rPr>
        <w:t>施工单位的</w:t>
      </w:r>
      <w:r>
        <w:rPr>
          <w:rFonts w:hint="default" w:ascii="Times New Roman" w:hAnsi="Times New Roman" w:eastAsia="宋体" w:cs="Times New Roman"/>
          <w:color w:val="auto"/>
          <w:highlight w:val="none"/>
        </w:rPr>
        <w:t>招投标工作，与项目相关实施单位履行合同签订义务；聘请监理单位，执行项目监理制度。</w:t>
      </w:r>
      <w:r>
        <w:rPr>
          <w:rFonts w:hint="default" w:ascii="Times New Roman" w:hAnsi="Times New Roman" w:eastAsia="宋体" w:cs="Times New Roman"/>
          <w:color w:val="auto"/>
          <w:highlight w:val="none"/>
          <w:lang w:val="en-US" w:eastAsia="zh-CN"/>
        </w:rPr>
        <w:t>项目完工后由</w:t>
      </w:r>
      <w:r>
        <w:rPr>
          <w:rFonts w:hint="eastAsia" w:ascii="Times New Roman" w:hAnsi="Times New Roman" w:eastAsia="宋体" w:cs="Times New Roman"/>
          <w:color w:val="auto"/>
          <w:szCs w:val="21"/>
          <w:highlight w:val="none"/>
          <w:lang w:val="en-US" w:eastAsia="zh-CN"/>
        </w:rPr>
        <w:t>伊宁县交通运输局</w:t>
      </w:r>
      <w:r>
        <w:rPr>
          <w:rFonts w:hint="default" w:ascii="Times New Roman" w:hAnsi="Times New Roman" w:eastAsia="宋体" w:cs="Times New Roman"/>
          <w:color w:val="auto"/>
          <w:highlight w:val="none"/>
        </w:rPr>
        <w:t>、施工、设计、监理单位已共同完成项目</w:t>
      </w:r>
      <w:r>
        <w:rPr>
          <w:rFonts w:hint="default" w:ascii="Times New Roman" w:hAnsi="Times New Roman" w:eastAsia="宋体" w:cs="Times New Roman"/>
          <w:color w:val="auto"/>
          <w:highlight w:val="none"/>
          <w:lang w:val="en-US" w:eastAsia="zh-CN"/>
        </w:rPr>
        <w:t>竣工</w:t>
      </w:r>
      <w:r>
        <w:rPr>
          <w:rFonts w:hint="default" w:ascii="Times New Roman" w:hAnsi="Times New Roman" w:eastAsia="宋体" w:cs="Times New Roman"/>
          <w:color w:val="auto"/>
          <w:highlight w:val="none"/>
        </w:rPr>
        <w:t>验收工作，项目已完成工程结算工作</w:t>
      </w:r>
      <w:r>
        <w:rPr>
          <w:rFonts w:hint="eastAsia" w:ascii="Times New Roman" w:hAnsi="Times New Roman" w:eastAsia="宋体" w:cs="Times New Roman"/>
          <w:color w:val="auto"/>
          <w:szCs w:val="21"/>
          <w:highlight w:val="none"/>
          <w:lang w:val="en-US" w:eastAsia="zh-CN"/>
        </w:rPr>
        <w:t>。但在查看项目实施单位提供的项目资料中，发现存在以下问题：</w:t>
      </w:r>
    </w:p>
    <w:p w14:paraId="214CEA7C">
      <w:pPr>
        <w:numPr>
          <w:ilvl w:val="0"/>
          <w:numId w:val="0"/>
        </w:numPr>
        <w:spacing w:line="360" w:lineRule="auto"/>
        <w:ind w:firstLine="420" w:firstLineChars="200"/>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highlight w:val="none"/>
          <w:lang w:val="en-US" w:eastAsia="zh-CN"/>
        </w:rPr>
        <w:t>①</w:t>
      </w:r>
      <w:r>
        <w:rPr>
          <w:rFonts w:hint="eastAsia" w:ascii="Times New Roman" w:hAnsi="Times New Roman" w:eastAsia="宋体" w:cs="Times New Roman"/>
          <w:color w:val="auto"/>
          <w:highlight w:val="none"/>
        </w:rPr>
        <w:t>项目已于2024年</w:t>
      </w:r>
      <w:r>
        <w:rPr>
          <w:rFonts w:hint="eastAsia" w:ascii="Times New Roman" w:hAnsi="Times New Roman" w:eastAsia="宋体" w:cs="Times New Roman"/>
          <w:color w:val="auto"/>
          <w:highlight w:val="none"/>
          <w:lang w:val="en-US" w:eastAsia="zh-CN"/>
        </w:rPr>
        <w:t>9</w:t>
      </w:r>
      <w:r>
        <w:rPr>
          <w:rFonts w:hint="eastAsia" w:ascii="Times New Roman" w:hAnsi="Times New Roman" w:eastAsia="宋体" w:cs="Times New Roman"/>
          <w:color w:val="auto"/>
          <w:highlight w:val="none"/>
        </w:rPr>
        <w:t>月</w:t>
      </w:r>
      <w:r>
        <w:rPr>
          <w:rFonts w:hint="eastAsia" w:ascii="Times New Roman" w:hAnsi="Times New Roman" w:eastAsia="宋体" w:cs="Times New Roman"/>
          <w:color w:val="auto"/>
          <w:highlight w:val="none"/>
          <w:lang w:val="en-US" w:eastAsia="zh-CN"/>
        </w:rPr>
        <w:t>9</w:t>
      </w:r>
      <w:r>
        <w:rPr>
          <w:rFonts w:hint="eastAsia" w:ascii="Times New Roman" w:hAnsi="Times New Roman" w:eastAsia="宋体" w:cs="Times New Roman"/>
          <w:color w:val="auto"/>
          <w:highlight w:val="none"/>
        </w:rPr>
        <w:t>日完成</w:t>
      </w:r>
      <w:r>
        <w:rPr>
          <w:rFonts w:hint="eastAsia" w:ascii="Times New Roman" w:hAnsi="Times New Roman" w:eastAsia="宋体" w:cs="Times New Roman"/>
          <w:color w:val="auto"/>
          <w:highlight w:val="none"/>
          <w:lang w:val="en-US" w:eastAsia="zh-CN"/>
        </w:rPr>
        <w:t>交</w:t>
      </w:r>
      <w:r>
        <w:rPr>
          <w:rFonts w:hint="eastAsia" w:ascii="Times New Roman" w:hAnsi="Times New Roman" w:eastAsia="宋体" w:cs="Times New Roman"/>
          <w:color w:val="auto"/>
          <w:highlight w:val="none"/>
        </w:rPr>
        <w:t>工验收通过，</w:t>
      </w:r>
      <w:r>
        <w:rPr>
          <w:rFonts w:hint="eastAsia" w:ascii="Times New Roman" w:hAnsi="Times New Roman" w:eastAsia="宋体" w:cs="Times New Roman"/>
          <w:color w:val="auto"/>
          <w:highlight w:val="none"/>
          <w:lang w:val="en-US" w:eastAsia="zh-CN"/>
        </w:rPr>
        <w:t>2024年10月21日完成</w:t>
      </w:r>
      <w:r>
        <w:rPr>
          <w:rFonts w:hint="eastAsia" w:ascii="Times New Roman" w:hAnsi="Times New Roman" w:eastAsia="宋体" w:cs="Times New Roman"/>
          <w:color w:val="auto"/>
          <w:highlight w:val="none"/>
        </w:rPr>
        <w:t>竣工</w:t>
      </w:r>
      <w:r>
        <w:rPr>
          <w:rFonts w:hint="eastAsia" w:ascii="Times New Roman" w:hAnsi="Times New Roman" w:eastAsia="宋体" w:cs="Times New Roman"/>
          <w:color w:val="auto"/>
          <w:highlight w:val="none"/>
          <w:lang w:val="en-US" w:eastAsia="zh-CN"/>
        </w:rPr>
        <w:t>结算审核工作，</w:t>
      </w:r>
      <w:r>
        <w:rPr>
          <w:rFonts w:hint="eastAsia" w:ascii="Times New Roman" w:hAnsi="Times New Roman" w:eastAsia="宋体" w:cs="Times New Roman"/>
          <w:color w:val="auto"/>
          <w:highlight w:val="none"/>
        </w:rPr>
        <w:t>截至</w:t>
      </w:r>
      <w:r>
        <w:rPr>
          <w:rFonts w:hint="eastAsia" w:ascii="Times New Roman" w:hAnsi="Times New Roman" w:eastAsia="宋体" w:cs="Times New Roman"/>
          <w:color w:val="auto"/>
          <w:highlight w:val="none"/>
          <w:lang w:val="en-US" w:eastAsia="zh-CN"/>
        </w:rPr>
        <w:t>评价阶段</w:t>
      </w:r>
      <w:r>
        <w:rPr>
          <w:rFonts w:hint="eastAsia" w:ascii="Times New Roman" w:hAnsi="Times New Roman" w:eastAsia="宋体" w:cs="Times New Roman"/>
          <w:color w:val="auto"/>
          <w:highlight w:val="none"/>
        </w:rPr>
        <w:t>，项目尚未完成工程竣工财务决算审计工作</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szCs w:val="21"/>
          <w:highlight w:val="none"/>
          <w:lang w:val="en-US" w:eastAsia="zh-CN"/>
        </w:rPr>
        <w:t>与</w:t>
      </w:r>
      <w:r>
        <w:rPr>
          <w:rFonts w:hint="eastAsia" w:ascii="Times New Roman" w:hAnsi="Times New Roman" w:eastAsia="宋体" w:cs="Times New Roman"/>
          <w:color w:val="auto"/>
          <w:highlight w:val="none"/>
        </w:rPr>
        <w:t>《关于印发〈基本建设项目竣工财务决算管理暂行办法〉的通知》（财建〔2016〕503号）规定“第二条基本建设项目，完工可投入使用或者试运行合格后，应当在3个月内编报竣工财务决算，特殊情况确需延长的，不得超过2个月，大型项目不得超过6个月”</w:t>
      </w:r>
      <w:r>
        <w:rPr>
          <w:rFonts w:hint="eastAsia" w:ascii="Times New Roman" w:hAnsi="Times New Roman" w:eastAsia="宋体" w:cs="Times New Roman"/>
          <w:color w:val="auto"/>
          <w:highlight w:val="none"/>
          <w:lang w:val="en-US" w:eastAsia="zh-CN"/>
        </w:rPr>
        <w:t>等规定不符。</w:t>
      </w:r>
      <w:r>
        <w:rPr>
          <w:rFonts w:hint="eastAsia" w:ascii="Times New Roman" w:hAnsi="Times New Roman" w:eastAsia="宋体" w:cs="Times New Roman"/>
          <w:color w:val="auto"/>
          <w:szCs w:val="21"/>
          <w:highlight w:val="none"/>
        </w:rPr>
        <w:t>根据评分标准</w:t>
      </w:r>
      <w:r>
        <w:rPr>
          <w:rFonts w:hint="eastAsia" w:ascii="Times New Roman" w:hAnsi="Times New Roman" w:eastAsia="宋体" w:cs="Times New Roman"/>
          <w:color w:val="auto"/>
          <w:szCs w:val="21"/>
          <w:highlight w:val="none"/>
          <w:lang w:eastAsia="zh-CN"/>
        </w:rPr>
        <w:t>，</w:t>
      </w:r>
      <w:r>
        <w:rPr>
          <w:rFonts w:hint="eastAsia" w:ascii="Times New Roman" w:hAnsi="Times New Roman" w:eastAsia="宋体" w:cs="Times New Roman"/>
          <w:color w:val="auto"/>
          <w:szCs w:val="21"/>
          <w:highlight w:val="none"/>
          <w:lang w:val="en-US" w:eastAsia="zh-CN"/>
        </w:rPr>
        <w:t>扣1.00分。</w:t>
      </w:r>
    </w:p>
    <w:p w14:paraId="7DB991E1">
      <w:pPr>
        <w:numPr>
          <w:ilvl w:val="0"/>
          <w:numId w:val="0"/>
        </w:numPr>
        <w:spacing w:line="360" w:lineRule="auto"/>
        <w:ind w:firstLine="420" w:firstLineChars="200"/>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②</w:t>
      </w:r>
      <w:r>
        <w:rPr>
          <w:rFonts w:hint="eastAsia" w:ascii="Times New Roman" w:hAnsi="Times New Roman" w:eastAsia="宋体" w:cs="Times New Roman"/>
          <w:color w:val="auto"/>
          <w:highlight w:val="none"/>
          <w:lang w:val="en-US" w:eastAsia="zh-CN"/>
        </w:rPr>
        <w:t>未按合同约定及时支付合同费用</w:t>
      </w:r>
      <w:r>
        <w:rPr>
          <w:rFonts w:hint="eastAsia" w:eastAsia="宋体" w:cs="Times New Roman"/>
          <w:color w:val="auto"/>
          <w:highlight w:val="none"/>
          <w:lang w:val="en-US" w:eastAsia="zh-CN"/>
        </w:rPr>
        <w:t>：</w:t>
      </w:r>
      <w:r>
        <w:rPr>
          <w:rFonts w:hint="default" w:ascii="Times New Roman" w:hAnsi="Times New Roman" w:eastAsia="宋体" w:cs="Times New Roman"/>
          <w:color w:val="auto"/>
          <w:highlight w:val="none"/>
        </w:rPr>
        <w:t>该项目于202</w:t>
      </w:r>
      <w:r>
        <w:rPr>
          <w:rFonts w:hint="eastAsia" w:ascii="Times New Roman" w:hAnsi="Times New Roman" w:eastAsia="宋体" w:cs="Times New Roman"/>
          <w:color w:val="auto"/>
          <w:highlight w:val="none"/>
          <w:lang w:val="en-US" w:eastAsia="zh-CN"/>
        </w:rPr>
        <w:t>4</w:t>
      </w:r>
      <w:r>
        <w:rPr>
          <w:rFonts w:hint="default" w:ascii="Times New Roman" w:hAnsi="Times New Roman" w:eastAsia="宋体" w:cs="Times New Roman"/>
          <w:color w:val="auto"/>
          <w:highlight w:val="none"/>
        </w:rPr>
        <w:t>年9月</w:t>
      </w:r>
      <w:r>
        <w:rPr>
          <w:rFonts w:hint="eastAsia" w:ascii="Times New Roman" w:hAnsi="Times New Roman" w:eastAsia="宋体" w:cs="Times New Roman"/>
          <w:color w:val="auto"/>
          <w:highlight w:val="none"/>
          <w:lang w:val="en-US" w:eastAsia="zh-CN"/>
        </w:rPr>
        <w:t>9</w:t>
      </w:r>
      <w:r>
        <w:rPr>
          <w:rFonts w:hint="default" w:ascii="Times New Roman" w:hAnsi="Times New Roman" w:eastAsia="宋体" w:cs="Times New Roman"/>
          <w:color w:val="auto"/>
          <w:highlight w:val="none"/>
        </w:rPr>
        <w:t>日竣工验收通过，截至2024年1</w:t>
      </w:r>
      <w:r>
        <w:rPr>
          <w:rFonts w:hint="eastAsia" w:ascii="Times New Roman" w:hAnsi="Times New Roman" w:eastAsia="宋体" w:cs="Times New Roman"/>
          <w:color w:val="auto"/>
          <w:highlight w:val="none"/>
          <w:lang w:val="en-US" w:eastAsia="zh-CN"/>
        </w:rPr>
        <w:t>2</w:t>
      </w:r>
      <w:r>
        <w:rPr>
          <w:rFonts w:hint="default" w:ascii="Times New Roman" w:hAnsi="Times New Roman" w:eastAsia="宋体" w:cs="Times New Roman"/>
          <w:color w:val="auto"/>
          <w:highlight w:val="none"/>
        </w:rPr>
        <w:t>月30日，</w:t>
      </w:r>
      <w:r>
        <w:rPr>
          <w:rFonts w:hint="eastAsia" w:ascii="Times New Roman" w:hAnsi="Times New Roman" w:eastAsia="宋体" w:cs="Times New Roman"/>
          <w:color w:val="auto"/>
          <w:highlight w:val="none"/>
          <w:lang w:val="en-US" w:eastAsia="zh-CN"/>
        </w:rPr>
        <w:t>尚未</w:t>
      </w:r>
      <w:r>
        <w:rPr>
          <w:rFonts w:hint="default" w:ascii="Times New Roman" w:hAnsi="Times New Roman" w:eastAsia="宋体" w:cs="Times New Roman"/>
          <w:color w:val="auto"/>
          <w:highlight w:val="none"/>
          <w:lang w:val="en-US" w:eastAsia="zh-CN"/>
        </w:rPr>
        <w:t>根据项目</w:t>
      </w:r>
      <w:r>
        <w:rPr>
          <w:rFonts w:hint="eastAsia" w:ascii="Times New Roman" w:hAnsi="Times New Roman" w:eastAsia="宋体" w:cs="Times New Roman"/>
          <w:color w:val="auto"/>
          <w:highlight w:val="none"/>
          <w:lang w:val="en-US" w:eastAsia="zh-CN"/>
        </w:rPr>
        <w:t>《监理</w:t>
      </w:r>
      <w:r>
        <w:rPr>
          <w:rFonts w:hint="default" w:ascii="Times New Roman" w:hAnsi="Times New Roman" w:eastAsia="宋体" w:cs="Times New Roman"/>
          <w:color w:val="auto"/>
          <w:highlight w:val="none"/>
          <w:lang w:val="en-US" w:eastAsia="zh-CN"/>
        </w:rPr>
        <w:t>合同</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约定“监理人员进场后，支付合同总价的30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按工程进度支付至合同总价的90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工程经质量监督部门进行质量认证合格后，支付合同总价的10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支付</w:t>
      </w:r>
      <w:r>
        <w:rPr>
          <w:rFonts w:hint="default" w:ascii="Times New Roman" w:hAnsi="Times New Roman" w:eastAsia="宋体" w:cs="Times New Roman"/>
          <w:color w:val="auto"/>
          <w:highlight w:val="none"/>
        </w:rPr>
        <w:t>监理费用</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尚未按照《设计</w:t>
      </w:r>
      <w:r>
        <w:rPr>
          <w:rFonts w:hint="default" w:ascii="Times New Roman" w:hAnsi="Times New Roman" w:eastAsia="宋体" w:cs="Times New Roman"/>
          <w:color w:val="auto"/>
          <w:highlight w:val="none"/>
          <w:lang w:val="en-US" w:eastAsia="zh-CN"/>
        </w:rPr>
        <w:t>合同</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约定“设计人提交施工图设计文件后15天内，委托人支付设计人设计费总额的50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剩余设计费总额的50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待本项目投标完成后七天内一次性付清。”</w:t>
      </w:r>
      <w:r>
        <w:rPr>
          <w:rFonts w:hint="default" w:ascii="Times New Roman" w:hAnsi="Times New Roman" w:eastAsia="宋体" w:cs="Times New Roman"/>
          <w:color w:val="auto"/>
          <w:highlight w:val="none"/>
        </w:rPr>
        <w:t>支付</w:t>
      </w:r>
      <w:r>
        <w:rPr>
          <w:rFonts w:hint="eastAsia" w:ascii="Times New Roman" w:hAnsi="Times New Roman" w:eastAsia="宋体" w:cs="Times New Roman"/>
          <w:color w:val="auto"/>
          <w:highlight w:val="none"/>
          <w:lang w:val="en-US" w:eastAsia="zh-CN"/>
        </w:rPr>
        <w:t>设计</w:t>
      </w:r>
      <w:r>
        <w:rPr>
          <w:rFonts w:hint="default" w:ascii="Times New Roman" w:hAnsi="Times New Roman" w:eastAsia="宋体" w:cs="Times New Roman"/>
          <w:color w:val="auto"/>
          <w:highlight w:val="none"/>
        </w:rPr>
        <w:t>费用</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szCs w:val="21"/>
          <w:highlight w:val="none"/>
          <w:lang w:val="en-US" w:eastAsia="zh-CN"/>
        </w:rPr>
        <w:t>扣2.00分。</w:t>
      </w:r>
    </w:p>
    <w:p w14:paraId="55CB6881">
      <w:pPr>
        <w:pageBreakBefore w:val="0"/>
        <w:kinsoku/>
        <w:wordWrap/>
        <w:overflowPunct/>
        <w:topLinePunct w:val="0"/>
        <w:autoSpaceDE/>
        <w:autoSpaceDN/>
        <w:bidi w:val="0"/>
        <w:snapToGrid w:val="0"/>
        <w:spacing w:before="0" w:after="0" w:line="360" w:lineRule="auto"/>
        <w:ind w:firstLine="560"/>
        <w:outlineLvl w:val="9"/>
        <w:rPr>
          <w:rFonts w:hint="eastAsia"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color w:val="auto"/>
          <w:szCs w:val="21"/>
          <w:highlight w:val="none"/>
          <w:lang w:val="en-US" w:eastAsia="zh-CN"/>
        </w:rPr>
        <w:t>③</w:t>
      </w:r>
      <w:r>
        <w:rPr>
          <w:rFonts w:hint="eastAsia" w:ascii="Times New Roman" w:hAnsi="Times New Roman" w:eastAsia="宋体" w:cs="Times New Roman"/>
          <w:b w:val="0"/>
          <w:bCs w:val="0"/>
          <w:color w:val="auto"/>
          <w:sz w:val="21"/>
          <w:szCs w:val="21"/>
          <w:highlight w:val="none"/>
          <w:lang w:val="en-US" w:eastAsia="zh-CN"/>
        </w:rPr>
        <w:t>该项目</w:t>
      </w:r>
      <w:r>
        <w:rPr>
          <w:rFonts w:hint="eastAsia" w:ascii="Times New Roman" w:hAnsi="Times New Roman" w:eastAsia="宋体" w:cs="Times New Roman"/>
          <w:b w:val="0"/>
          <w:bCs w:val="0"/>
          <w:color w:val="auto"/>
          <w:kern w:val="2"/>
          <w:sz w:val="21"/>
          <w:szCs w:val="21"/>
          <w:highlight w:val="none"/>
          <w:lang w:val="en-US" w:eastAsia="zh-CN" w:bidi="ar-SA"/>
        </w:rPr>
        <w:t>实施单位通过直接采购的方式确定项目的监理单位、设计单位和审计结算单位等合作单位，但未按照</w:t>
      </w:r>
      <w:r>
        <w:rPr>
          <w:rFonts w:hint="eastAsia" w:ascii="Times New Roman" w:hAnsi="Times New Roman" w:eastAsia="宋体" w:cs="Times New Roman"/>
          <w:color w:val="auto"/>
          <w:szCs w:val="21"/>
          <w:highlight w:val="none"/>
          <w:lang w:val="en-US" w:eastAsia="zh-CN"/>
        </w:rPr>
        <w:t>《</w:t>
      </w:r>
      <w:r>
        <w:rPr>
          <w:rFonts w:hint="eastAsia" w:ascii="Times New Roman" w:hAnsi="Times New Roman" w:eastAsia="宋体" w:cs="Times New Roman"/>
          <w:color w:val="auto"/>
          <w:sz w:val="21"/>
          <w:szCs w:val="21"/>
          <w:highlight w:val="none"/>
          <w:lang w:val="en-US" w:eastAsia="zh-CN"/>
        </w:rPr>
        <w:t>伊宁县交通运输局采购管理制度》规定</w:t>
      </w:r>
      <w:r>
        <w:rPr>
          <w:rFonts w:hint="eastAsia" w:ascii="Times New Roman" w:hAnsi="Times New Roman" w:eastAsia="宋体" w:cs="Times New Roman"/>
          <w:color w:val="auto"/>
          <w:szCs w:val="21"/>
          <w:highlight w:val="none"/>
          <w:lang w:val="en-US" w:eastAsia="zh-CN"/>
        </w:rPr>
        <w:t>“单位</w:t>
      </w:r>
      <w:r>
        <w:rPr>
          <w:rFonts w:hint="eastAsia" w:ascii="Times New Roman" w:hAnsi="Times New Roman" w:eastAsia="宋体" w:cs="Times New Roman"/>
          <w:color w:val="auto"/>
          <w:sz w:val="21"/>
          <w:szCs w:val="21"/>
          <w:highlight w:val="none"/>
          <w:lang w:val="en-US" w:eastAsia="zh-CN"/>
        </w:rPr>
        <w:t>使用财政性资金采购货物、工程和服务的活动。可选择</w:t>
      </w:r>
      <w:r>
        <w:rPr>
          <w:rFonts w:hint="eastAsia" w:ascii="Times New Roman" w:hAnsi="Times New Roman" w:eastAsia="宋体" w:cs="Times New Roman"/>
          <w:b w:val="0"/>
          <w:bCs w:val="0"/>
          <w:color w:val="auto"/>
          <w:sz w:val="21"/>
          <w:szCs w:val="21"/>
          <w:highlight w:val="none"/>
          <w:lang w:val="en-US" w:eastAsia="zh-CN"/>
        </w:rPr>
        <w:t>公开招标、邀请招标、竞争性谈判、询价、单一来源采购方式</w:t>
      </w:r>
      <w:r>
        <w:rPr>
          <w:rFonts w:hint="eastAsia" w:ascii="Times New Roman" w:hAnsi="Times New Roman" w:eastAsia="宋体" w:cs="Times New Roman"/>
          <w:color w:val="auto"/>
          <w:szCs w:val="21"/>
          <w:highlight w:val="none"/>
          <w:lang w:val="en-US" w:eastAsia="zh-CN"/>
        </w:rPr>
        <w:t>”</w:t>
      </w:r>
      <w:r>
        <w:rPr>
          <w:rFonts w:hint="eastAsia" w:ascii="Times New Roman" w:hAnsi="Times New Roman" w:eastAsia="宋体" w:cs="Times New Roman"/>
          <w:b w:val="0"/>
          <w:bCs w:val="0"/>
          <w:color w:val="auto"/>
          <w:sz w:val="21"/>
          <w:szCs w:val="21"/>
          <w:highlight w:val="none"/>
          <w:lang w:val="en-US" w:eastAsia="zh-CN"/>
        </w:rPr>
        <w:t>等要求提供</w:t>
      </w:r>
      <w:r>
        <w:rPr>
          <w:rFonts w:hint="eastAsia" w:ascii="Times New Roman" w:hAnsi="Times New Roman" w:eastAsia="宋体" w:cs="Times New Roman"/>
          <w:b w:val="0"/>
          <w:bCs w:val="0"/>
          <w:color w:val="auto"/>
          <w:kern w:val="2"/>
          <w:sz w:val="21"/>
          <w:szCs w:val="21"/>
          <w:highlight w:val="none"/>
          <w:lang w:val="en-US" w:eastAsia="zh-CN" w:bidi="ar-SA"/>
        </w:rPr>
        <w:t>开展采购活动的相关资料。按照评分标准，扣1.00分。</w:t>
      </w:r>
    </w:p>
    <w:p w14:paraId="292A2FDE">
      <w:pPr>
        <w:pageBreakBefore w:val="0"/>
        <w:kinsoku/>
        <w:wordWrap/>
        <w:overflowPunct/>
        <w:topLinePunct w:val="0"/>
        <w:autoSpaceDE/>
        <w:autoSpaceDN/>
        <w:bidi w:val="0"/>
        <w:snapToGrid w:val="0"/>
        <w:spacing w:before="0" w:after="0" w:line="360" w:lineRule="auto"/>
        <w:ind w:firstLine="560"/>
        <w:outlineLvl w:val="9"/>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b w:val="0"/>
          <w:bCs w:val="0"/>
          <w:color w:val="auto"/>
          <w:kern w:val="2"/>
          <w:sz w:val="21"/>
          <w:szCs w:val="21"/>
          <w:highlight w:val="none"/>
          <w:lang w:val="en-US" w:eastAsia="zh-CN" w:bidi="ar-SA"/>
        </w:rPr>
        <w:t>④</w:t>
      </w:r>
      <w:r>
        <w:rPr>
          <w:rFonts w:hint="eastAsia" w:ascii="Times New Roman" w:hAnsi="Times New Roman" w:eastAsia="宋体" w:cs="Times New Roman"/>
          <w:color w:val="auto"/>
          <w:highlight w:val="none"/>
          <w:lang w:val="en-US" w:eastAsia="zh-CN"/>
        </w:rPr>
        <w:t>经查看伊犁州公共资源交易网，</w:t>
      </w:r>
      <w:r>
        <w:rPr>
          <w:rFonts w:hint="eastAsia" w:ascii="Times New Roman" w:hAnsi="Times New Roman" w:eastAsia="宋体" w:cs="Times New Roman"/>
          <w:b w:val="0"/>
          <w:bCs w:val="0"/>
          <w:color w:val="auto"/>
          <w:kern w:val="2"/>
          <w:sz w:val="21"/>
          <w:szCs w:val="21"/>
          <w:highlight w:val="none"/>
          <w:lang w:val="en-US" w:eastAsia="zh-CN" w:bidi="ar-SA"/>
        </w:rPr>
        <w:t>2024年5月29日通过伊犁州公共资源交易网发布公开招标公告，招标控制价</w:t>
      </w:r>
      <w:r>
        <w:rPr>
          <w:rFonts w:hint="eastAsia" w:eastAsia="宋体" w:cs="Times New Roman"/>
          <w:b w:val="0"/>
          <w:bCs w:val="0"/>
          <w:color w:val="auto"/>
          <w:kern w:val="2"/>
          <w:sz w:val="21"/>
          <w:szCs w:val="21"/>
          <w:highlight w:val="none"/>
          <w:lang w:val="en-US" w:eastAsia="zh-CN" w:bidi="ar-SA"/>
        </w:rPr>
        <w:t>为</w:t>
      </w:r>
      <w:r>
        <w:rPr>
          <w:rFonts w:hint="eastAsia" w:ascii="Times New Roman" w:hAnsi="Times New Roman" w:eastAsia="宋体" w:cs="Times New Roman"/>
          <w:b w:val="0"/>
          <w:bCs w:val="0"/>
          <w:color w:val="auto"/>
          <w:kern w:val="2"/>
          <w:sz w:val="21"/>
          <w:szCs w:val="21"/>
          <w:highlight w:val="none"/>
          <w:lang w:val="en-US" w:eastAsia="zh-CN" w:bidi="ar-SA"/>
        </w:rPr>
        <w:t>225.00万元</w:t>
      </w:r>
      <w:r>
        <w:rPr>
          <w:rFonts w:hint="eastAsia" w:eastAsia="宋体" w:cs="Times New Roman"/>
          <w:b w:val="0"/>
          <w:bCs w:val="0"/>
          <w:color w:val="auto"/>
          <w:kern w:val="2"/>
          <w:sz w:val="21"/>
          <w:szCs w:val="21"/>
          <w:highlight w:val="none"/>
          <w:lang w:val="en-US" w:eastAsia="zh-CN" w:bidi="ar-SA"/>
        </w:rPr>
        <w:t>，</w:t>
      </w:r>
      <w:r>
        <w:rPr>
          <w:rFonts w:hint="eastAsia" w:ascii="Times New Roman" w:hAnsi="Times New Roman" w:eastAsia="宋体" w:cs="Times New Roman"/>
          <w:b w:val="0"/>
          <w:bCs w:val="0"/>
          <w:color w:val="auto"/>
          <w:kern w:val="2"/>
          <w:sz w:val="21"/>
          <w:szCs w:val="21"/>
          <w:highlight w:val="none"/>
          <w:lang w:val="en-US" w:eastAsia="zh-CN" w:bidi="ar-SA"/>
        </w:rPr>
        <w:t>于2024年6月6日在原发布平台发布变更公告，招标控制价调整变更为226.29万元</w:t>
      </w:r>
      <w:r>
        <w:rPr>
          <w:rFonts w:hint="eastAsia" w:eastAsia="宋体" w:cs="Times New Roman"/>
          <w:b w:val="0"/>
          <w:bCs w:val="0"/>
          <w:color w:val="auto"/>
          <w:kern w:val="2"/>
          <w:sz w:val="21"/>
          <w:szCs w:val="21"/>
          <w:highlight w:val="none"/>
          <w:lang w:val="en-US" w:eastAsia="zh-CN" w:bidi="ar-SA"/>
        </w:rPr>
        <w:t>。经沟通反馈</w:t>
      </w:r>
      <w:r>
        <w:rPr>
          <w:rFonts w:hint="eastAsia" w:ascii="Times New Roman" w:hAnsi="Times New Roman" w:eastAsia="宋体" w:cs="Times New Roman"/>
          <w:b w:val="0"/>
          <w:bCs w:val="0"/>
          <w:color w:val="auto"/>
          <w:kern w:val="2"/>
          <w:sz w:val="21"/>
          <w:szCs w:val="21"/>
          <w:highlight w:val="none"/>
          <w:lang w:val="en-US" w:eastAsia="zh-CN" w:bidi="ar-SA"/>
        </w:rPr>
        <w:t>，因</w:t>
      </w:r>
      <w:r>
        <w:rPr>
          <w:rFonts w:hint="eastAsia" w:eastAsia="宋体" w:cs="Times New Roman"/>
          <w:b w:val="0"/>
          <w:bCs w:val="0"/>
          <w:color w:val="auto"/>
          <w:kern w:val="2"/>
          <w:sz w:val="21"/>
          <w:szCs w:val="21"/>
          <w:highlight w:val="none"/>
          <w:lang w:val="en-US" w:eastAsia="zh-CN" w:bidi="ar-SA"/>
        </w:rPr>
        <w:t>项目前期</w:t>
      </w:r>
      <w:r>
        <w:rPr>
          <w:rFonts w:hint="eastAsia" w:ascii="Times New Roman" w:hAnsi="Times New Roman" w:eastAsia="宋体" w:cs="Times New Roman"/>
          <w:b w:val="0"/>
          <w:bCs w:val="0"/>
          <w:color w:val="auto"/>
          <w:kern w:val="2"/>
          <w:sz w:val="21"/>
          <w:szCs w:val="21"/>
          <w:highlight w:val="none"/>
          <w:lang w:val="en-US" w:eastAsia="zh-CN" w:bidi="ar-SA"/>
        </w:rPr>
        <w:t>设计复查报告提交滞后导致的招标控制价未及时调整</w:t>
      </w:r>
      <w:r>
        <w:rPr>
          <w:rFonts w:hint="eastAsia" w:eastAsia="宋体" w:cs="Times New Roman"/>
          <w:b w:val="0"/>
          <w:bCs w:val="0"/>
          <w:color w:val="auto"/>
          <w:kern w:val="2"/>
          <w:sz w:val="21"/>
          <w:szCs w:val="21"/>
          <w:highlight w:val="none"/>
          <w:lang w:val="en-US" w:eastAsia="zh-CN" w:bidi="ar-SA"/>
        </w:rPr>
        <w:t>，故按照</w:t>
      </w:r>
      <w:r>
        <w:rPr>
          <w:rFonts w:hint="eastAsia" w:ascii="Times New Roman" w:hAnsi="Times New Roman" w:eastAsia="宋体" w:cs="Times New Roman"/>
          <w:b w:val="0"/>
          <w:bCs w:val="0"/>
          <w:color w:val="auto"/>
          <w:kern w:val="2"/>
          <w:sz w:val="21"/>
          <w:szCs w:val="21"/>
          <w:highlight w:val="none"/>
          <w:lang w:val="en-US" w:eastAsia="zh-CN" w:bidi="ar-SA"/>
        </w:rPr>
        <w:t>《关于伊宁县2024年农村公路日常养护项目施工图设计文件的批复》（伊县交发〔2024〕7号）</w:t>
      </w:r>
      <w:r>
        <w:rPr>
          <w:rFonts w:hint="eastAsia" w:eastAsia="宋体" w:cs="Times New Roman"/>
          <w:b w:val="0"/>
          <w:bCs w:val="0"/>
          <w:color w:val="auto"/>
          <w:kern w:val="2"/>
          <w:sz w:val="21"/>
          <w:szCs w:val="21"/>
          <w:highlight w:val="none"/>
          <w:lang w:val="en-US" w:eastAsia="zh-CN" w:bidi="ar-SA"/>
        </w:rPr>
        <w:t>的批复施工预算价予以调整</w:t>
      </w:r>
      <w:r>
        <w:rPr>
          <w:rFonts w:hint="eastAsia" w:ascii="Times New Roman" w:hAnsi="Times New Roman" w:eastAsia="宋体" w:cs="Times New Roman"/>
          <w:color w:val="auto"/>
          <w:highlight w:val="none"/>
          <w:lang w:val="en-US" w:eastAsia="zh-CN"/>
        </w:rPr>
        <w:t>，</w:t>
      </w:r>
      <w:r>
        <w:rPr>
          <w:rFonts w:hint="eastAsia" w:eastAsia="宋体" w:cs="Times New Roman"/>
          <w:color w:val="auto"/>
          <w:highlight w:val="none"/>
          <w:lang w:val="en-US" w:eastAsia="zh-CN"/>
        </w:rPr>
        <w:t>但项目实施单位未提供采购前期招标控制价的审核备案手续以及招标控制价的变更审核手续</w:t>
      </w:r>
      <w:r>
        <w:rPr>
          <w:rFonts w:hint="eastAsia" w:ascii="Times New Roman" w:hAnsi="Times New Roman" w:eastAsia="宋体" w:cs="Times New Roman"/>
          <w:color w:val="auto"/>
          <w:highlight w:val="none"/>
          <w:lang w:val="en-US" w:eastAsia="zh-CN"/>
        </w:rPr>
        <w:t>。按</w:t>
      </w:r>
      <w:r>
        <w:rPr>
          <w:rFonts w:hint="default" w:ascii="Times New Roman" w:hAnsi="Times New Roman" w:eastAsia="宋体" w:cs="Times New Roman"/>
          <w:color w:val="auto"/>
          <w:highlight w:val="none"/>
          <w:lang w:val="zh-TW" w:eastAsia="zh-CN"/>
        </w:rPr>
        <w:t>评分标准</w:t>
      </w:r>
      <w:r>
        <w:rPr>
          <w:rFonts w:hint="eastAsia" w:ascii="Times New Roman" w:hAnsi="Times New Roman" w:eastAsia="宋体" w:cs="Times New Roman"/>
          <w:color w:val="auto"/>
          <w:highlight w:val="none"/>
          <w:lang w:val="zh-TW" w:eastAsia="zh-CN"/>
        </w:rPr>
        <w:t>，</w:t>
      </w:r>
      <w:r>
        <w:rPr>
          <w:rFonts w:hint="eastAsia" w:ascii="Times New Roman" w:hAnsi="Times New Roman" w:eastAsia="宋体" w:cs="Times New Roman"/>
          <w:b w:val="0"/>
          <w:bCs w:val="0"/>
          <w:color w:val="auto"/>
          <w:kern w:val="2"/>
          <w:sz w:val="21"/>
          <w:szCs w:val="21"/>
          <w:highlight w:val="none"/>
          <w:lang w:val="en-US" w:eastAsia="zh-CN" w:bidi="ar-SA"/>
        </w:rPr>
        <w:t>扣1.00分。</w:t>
      </w:r>
    </w:p>
    <w:p w14:paraId="4C27C93B">
      <w:pPr>
        <w:spacing w:line="360" w:lineRule="auto"/>
        <w:ind w:firstLine="42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该指标满分为</w:t>
      </w:r>
      <w:r>
        <w:rPr>
          <w:rFonts w:hint="eastAsia" w:ascii="Times New Roman" w:hAnsi="Times New Roman" w:eastAsia="宋体" w:cs="Times New Roman"/>
          <w:color w:val="auto"/>
          <w:highlight w:val="none"/>
          <w:lang w:val="en-US" w:eastAsia="zh-CN"/>
        </w:rPr>
        <w:t>8</w:t>
      </w:r>
      <w:r>
        <w:rPr>
          <w:rFonts w:hint="default" w:ascii="Times New Roman" w:hAnsi="Times New Roman" w:eastAsia="宋体" w:cs="Times New Roman"/>
          <w:color w:val="auto"/>
          <w:highlight w:val="none"/>
        </w:rPr>
        <w:t>.00分，根据评分标准得</w:t>
      </w:r>
      <w:r>
        <w:rPr>
          <w:rFonts w:hint="eastAsia" w:eastAsia="宋体" w:cs="Times New Roman"/>
          <w:color w:val="auto"/>
          <w:highlight w:val="none"/>
          <w:lang w:val="en-US" w:eastAsia="zh-CN"/>
        </w:rPr>
        <w:t>3</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rPr>
        <w:t>分。</w:t>
      </w:r>
    </w:p>
    <w:p w14:paraId="6D714145">
      <w:pPr>
        <w:pStyle w:val="5"/>
        <w:pageBreakBefore w:val="0"/>
        <w:kinsoku/>
        <w:wordWrap/>
        <w:overflowPunct/>
        <w:topLinePunct w:val="0"/>
        <w:autoSpaceDE/>
        <w:autoSpaceDN/>
        <w:bidi w:val="0"/>
        <w:snapToGrid w:val="0"/>
        <w:spacing w:line="360" w:lineRule="auto"/>
        <w:ind w:firstLine="482"/>
        <w:rPr>
          <w:rFonts w:ascii="Times New Roman" w:hAnsi="Times New Roman" w:eastAsia="宋体" w:cs="Times New Roman"/>
          <w:color w:val="auto"/>
          <w:highlight w:val="none"/>
        </w:rPr>
      </w:pPr>
      <w:bookmarkStart w:id="94" w:name="_Toc12138"/>
      <w:r>
        <w:rPr>
          <w:rFonts w:ascii="Times New Roman" w:hAnsi="Times New Roman" w:eastAsia="宋体" w:cs="Times New Roman"/>
          <w:color w:val="auto"/>
          <w:highlight w:val="none"/>
        </w:rPr>
        <w:t>（三）项目产出情况</w:t>
      </w:r>
      <w:bookmarkEnd w:id="93"/>
      <w:bookmarkEnd w:id="94"/>
    </w:p>
    <w:p w14:paraId="0994991B">
      <w:pPr>
        <w:pageBreakBefore w:val="0"/>
        <w:kinsoku/>
        <w:wordWrap/>
        <w:overflowPunct/>
        <w:topLinePunct w:val="0"/>
        <w:autoSpaceDE/>
        <w:autoSpaceDN/>
        <w:bidi w:val="0"/>
        <w:snapToGrid w:val="0"/>
        <w:spacing w:line="360" w:lineRule="auto"/>
        <w:ind w:firstLine="420"/>
        <w:jc w:val="left"/>
        <w:rPr>
          <w:rFonts w:ascii="Times New Roman" w:hAnsi="Times New Roman" w:eastAsia="宋体" w:cs="Times New Roman"/>
          <w:color w:val="auto"/>
          <w:highlight w:val="none"/>
        </w:rPr>
      </w:pPr>
      <w:r>
        <w:rPr>
          <w:rFonts w:ascii="Times New Roman" w:hAnsi="Times New Roman" w:eastAsia="宋体" w:cs="Times New Roman"/>
          <w:color w:val="auto"/>
          <w:highlight w:val="none"/>
        </w:rPr>
        <w:t>项目产出指标由</w:t>
      </w:r>
      <w:r>
        <w:rPr>
          <w:rFonts w:hint="eastAsia" w:ascii="Times New Roman" w:hAnsi="Times New Roman" w:eastAsia="宋体" w:cs="Times New Roman"/>
          <w:color w:val="auto"/>
          <w:highlight w:val="none"/>
        </w:rPr>
        <w:t>4</w:t>
      </w:r>
      <w:r>
        <w:rPr>
          <w:rFonts w:ascii="Times New Roman" w:hAnsi="Times New Roman" w:eastAsia="宋体" w:cs="Times New Roman"/>
          <w:color w:val="auto"/>
          <w:highlight w:val="none"/>
        </w:rPr>
        <w:t>个二级和</w:t>
      </w:r>
      <w:r>
        <w:rPr>
          <w:rFonts w:hint="eastAsia" w:ascii="Times New Roman" w:hAnsi="Times New Roman" w:eastAsia="宋体" w:cs="Times New Roman"/>
          <w:color w:val="auto"/>
          <w:highlight w:val="none"/>
          <w:lang w:val="en-US" w:eastAsia="zh-CN"/>
        </w:rPr>
        <w:t>6</w:t>
      </w:r>
      <w:r>
        <w:rPr>
          <w:rFonts w:ascii="Times New Roman" w:hAnsi="Times New Roman" w:eastAsia="宋体" w:cs="Times New Roman"/>
          <w:color w:val="auto"/>
          <w:highlight w:val="none"/>
        </w:rPr>
        <w:t>个三级指标构成，权重分</w:t>
      </w:r>
      <w:r>
        <w:rPr>
          <w:rFonts w:hint="eastAsia" w:ascii="Times New Roman" w:hAnsi="Times New Roman" w:eastAsia="宋体" w:cs="Times New Roman"/>
          <w:color w:val="auto"/>
          <w:highlight w:val="none"/>
          <w:lang w:val="en-US" w:eastAsia="zh-CN"/>
        </w:rPr>
        <w:t>30</w:t>
      </w:r>
      <w:r>
        <w:rPr>
          <w:rFonts w:hint="eastAsia" w:ascii="Times New Roman" w:hAnsi="Times New Roman" w:eastAsia="宋体" w:cs="Times New Roman"/>
          <w:color w:val="auto"/>
          <w:highlight w:val="none"/>
        </w:rPr>
        <w:t>.00</w:t>
      </w:r>
      <w:r>
        <w:rPr>
          <w:rFonts w:ascii="Times New Roman" w:hAnsi="Times New Roman" w:eastAsia="宋体" w:cs="Times New Roman"/>
          <w:color w:val="auto"/>
          <w:highlight w:val="none"/>
        </w:rPr>
        <w:t>分，实际得分</w:t>
      </w:r>
      <w:r>
        <w:rPr>
          <w:rFonts w:hint="eastAsia" w:ascii="Times New Roman" w:hAnsi="Times New Roman" w:eastAsia="宋体" w:cs="Times New Roman"/>
          <w:color w:val="auto"/>
          <w:highlight w:val="none"/>
          <w:lang w:val="en-US" w:eastAsia="zh-CN"/>
        </w:rPr>
        <w:t>27</w:t>
      </w:r>
      <w:r>
        <w:rPr>
          <w:rFonts w:hint="eastAsia" w:ascii="Times New Roman" w:hAnsi="Times New Roman" w:eastAsia="宋体" w:cs="Times New Roman"/>
          <w:color w:val="auto"/>
          <w:highlight w:val="none"/>
        </w:rPr>
        <w:t>.00</w:t>
      </w:r>
      <w:r>
        <w:rPr>
          <w:rFonts w:ascii="Times New Roman" w:hAnsi="Times New Roman" w:eastAsia="宋体" w:cs="Times New Roman"/>
          <w:color w:val="auto"/>
          <w:highlight w:val="none"/>
        </w:rPr>
        <w:t>分</w:t>
      </w:r>
      <w:r>
        <w:rPr>
          <w:rFonts w:hint="eastAsia" w:ascii="Times New Roman" w:hAnsi="Times New Roman" w:eastAsia="宋体" w:cs="Times New Roman"/>
          <w:color w:val="auto"/>
          <w:highlight w:val="none"/>
        </w:rPr>
        <w:t>，得分率为</w:t>
      </w:r>
      <w:r>
        <w:rPr>
          <w:rFonts w:hint="eastAsia" w:ascii="Times New Roman" w:hAnsi="Times New Roman" w:eastAsia="宋体" w:cs="Times New Roman"/>
          <w:color w:val="auto"/>
          <w:highlight w:val="none"/>
          <w:lang w:val="en-US" w:eastAsia="zh-CN"/>
        </w:rPr>
        <w:t>90.00</w:t>
      </w:r>
      <w:r>
        <w:rPr>
          <w:rFonts w:hint="eastAsia" w:ascii="Times New Roman" w:hAnsi="Times New Roman" w:eastAsia="宋体" w:cs="Times New Roman"/>
          <w:color w:val="auto"/>
          <w:highlight w:val="none"/>
        </w:rPr>
        <w:t>%</w:t>
      </w:r>
      <w:r>
        <w:rPr>
          <w:rFonts w:ascii="Times New Roman" w:hAnsi="Times New Roman" w:eastAsia="宋体" w:cs="Times New Roman"/>
          <w:color w:val="auto"/>
          <w:highlight w:val="none"/>
        </w:rPr>
        <w:t>。各指标业绩值和绩效分值如下表所示：</w:t>
      </w:r>
    </w:p>
    <w:p w14:paraId="49BCE1EF">
      <w:pPr>
        <w:pageBreakBefore w:val="0"/>
        <w:kinsoku/>
        <w:wordWrap/>
        <w:overflowPunct/>
        <w:topLinePunct w:val="0"/>
        <w:autoSpaceDE/>
        <w:autoSpaceDN/>
        <w:bidi w:val="0"/>
        <w:snapToGrid w:val="0"/>
        <w:spacing w:line="360" w:lineRule="auto"/>
        <w:ind w:firstLine="0" w:firstLineChars="0"/>
        <w:jc w:val="center"/>
        <w:rPr>
          <w:rFonts w:ascii="Times New Roman" w:hAnsi="Times New Roman" w:eastAsia="宋体" w:cs="Times New Roman"/>
          <w:color w:val="auto"/>
          <w:szCs w:val="16"/>
          <w:highlight w:val="none"/>
        </w:rPr>
      </w:pPr>
      <w:r>
        <w:rPr>
          <w:rFonts w:ascii="Times New Roman" w:hAnsi="Times New Roman" w:eastAsia="宋体" w:cs="Times New Roman"/>
          <w:b/>
          <w:bCs/>
          <w:color w:val="auto"/>
          <w:szCs w:val="16"/>
          <w:highlight w:val="none"/>
        </w:rPr>
        <w:t>表</w:t>
      </w:r>
      <w:r>
        <w:rPr>
          <w:rFonts w:hint="eastAsia" w:ascii="Times New Roman" w:hAnsi="Times New Roman" w:eastAsia="宋体" w:cs="Times New Roman"/>
          <w:b/>
          <w:bCs/>
          <w:color w:val="auto"/>
          <w:szCs w:val="16"/>
          <w:highlight w:val="none"/>
          <w:lang w:val="en-US" w:eastAsia="zh-CN"/>
        </w:rPr>
        <w:t>5</w:t>
      </w:r>
      <w:r>
        <w:rPr>
          <w:rFonts w:ascii="Times New Roman" w:hAnsi="Times New Roman" w:eastAsia="宋体" w:cs="Times New Roman"/>
          <w:b/>
          <w:bCs/>
          <w:color w:val="auto"/>
          <w:szCs w:val="16"/>
          <w:highlight w:val="none"/>
        </w:rPr>
        <w:t>-3：项目产出指标及分值</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831"/>
        <w:gridCol w:w="1177"/>
        <w:gridCol w:w="1951"/>
        <w:gridCol w:w="1159"/>
        <w:gridCol w:w="1061"/>
        <w:gridCol w:w="804"/>
        <w:gridCol w:w="620"/>
        <w:gridCol w:w="805"/>
      </w:tblGrid>
      <w:tr w14:paraId="3C56C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494" w:type="pct"/>
            <w:vAlign w:val="center"/>
          </w:tcPr>
          <w:p w14:paraId="486E6C8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一级指标</w:t>
            </w:r>
          </w:p>
        </w:tc>
        <w:tc>
          <w:tcPr>
            <w:tcW w:w="699" w:type="pct"/>
            <w:vAlign w:val="center"/>
          </w:tcPr>
          <w:p w14:paraId="0C0916B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二级指标</w:t>
            </w:r>
          </w:p>
        </w:tc>
        <w:tc>
          <w:tcPr>
            <w:tcW w:w="1160" w:type="pct"/>
            <w:vAlign w:val="center"/>
          </w:tcPr>
          <w:p w14:paraId="029483E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三级指标</w:t>
            </w:r>
          </w:p>
        </w:tc>
        <w:tc>
          <w:tcPr>
            <w:tcW w:w="689" w:type="pct"/>
            <w:vAlign w:val="center"/>
          </w:tcPr>
          <w:p w14:paraId="34627EA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目标值</w:t>
            </w:r>
          </w:p>
        </w:tc>
        <w:tc>
          <w:tcPr>
            <w:tcW w:w="630" w:type="pct"/>
            <w:vAlign w:val="center"/>
          </w:tcPr>
          <w:p w14:paraId="1BC7D5F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实际完成值</w:t>
            </w:r>
          </w:p>
        </w:tc>
        <w:tc>
          <w:tcPr>
            <w:tcW w:w="478" w:type="pct"/>
            <w:vAlign w:val="center"/>
          </w:tcPr>
          <w:p w14:paraId="11DC70D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权重</w:t>
            </w:r>
          </w:p>
        </w:tc>
        <w:tc>
          <w:tcPr>
            <w:tcW w:w="368" w:type="pct"/>
            <w:vAlign w:val="center"/>
          </w:tcPr>
          <w:p w14:paraId="35E7E855">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得分</w:t>
            </w:r>
          </w:p>
        </w:tc>
        <w:tc>
          <w:tcPr>
            <w:tcW w:w="478" w:type="pct"/>
            <w:vAlign w:val="center"/>
          </w:tcPr>
          <w:p w14:paraId="0DA7BC71">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得分率</w:t>
            </w:r>
          </w:p>
        </w:tc>
      </w:tr>
      <w:tr w14:paraId="5D83D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494" w:type="pct"/>
            <w:vMerge w:val="restart"/>
            <w:vAlign w:val="center"/>
          </w:tcPr>
          <w:p w14:paraId="240A3783">
            <w:pPr>
              <w:pageBreakBefore w:val="0"/>
              <w:widowControl/>
              <w:kinsoku/>
              <w:wordWrap/>
              <w:overflowPunct/>
              <w:topLinePunct w:val="0"/>
              <w:autoSpaceDE/>
              <w:autoSpaceDN/>
              <w:bidi w:val="0"/>
              <w:snapToGrid w:val="0"/>
              <w:spacing w:before="0" w:after="0" w:line="240" w:lineRule="auto"/>
              <w:ind w:firstLine="0" w:firstLineChars="0"/>
              <w:jc w:val="left"/>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C产出（</w:t>
            </w:r>
            <w:r>
              <w:rPr>
                <w:rFonts w:hint="eastAsia" w:ascii="Times New Roman" w:hAnsi="Times New Roman" w:eastAsia="宋体" w:cs="Times New Roman"/>
                <w:color w:val="auto"/>
                <w:sz w:val="21"/>
                <w:szCs w:val="21"/>
                <w:highlight w:val="none"/>
                <w:lang w:val="en-US" w:eastAsia="zh-CN"/>
              </w:rPr>
              <w:t>30</w:t>
            </w:r>
            <w:r>
              <w:rPr>
                <w:rFonts w:hint="eastAsia" w:ascii="Times New Roman" w:hAnsi="Times New Roman" w:eastAsia="宋体" w:cs="Times New Roman"/>
                <w:color w:val="auto"/>
                <w:sz w:val="21"/>
                <w:szCs w:val="21"/>
                <w:highlight w:val="none"/>
              </w:rPr>
              <w:t>.00分）</w:t>
            </w:r>
          </w:p>
        </w:tc>
        <w:tc>
          <w:tcPr>
            <w:tcW w:w="699" w:type="pct"/>
            <w:vMerge w:val="restart"/>
            <w:vAlign w:val="center"/>
          </w:tcPr>
          <w:p w14:paraId="689818D9">
            <w:pPr>
              <w:pageBreakBefore w:val="0"/>
              <w:widowControl/>
              <w:kinsoku/>
              <w:wordWrap/>
              <w:overflowPunct/>
              <w:topLinePunct w:val="0"/>
              <w:autoSpaceDE/>
              <w:autoSpaceDN/>
              <w:bidi w:val="0"/>
              <w:snapToGrid w:val="0"/>
              <w:spacing w:before="0" w:after="0" w:line="240" w:lineRule="auto"/>
              <w:ind w:firstLine="0" w:firstLineChars="0"/>
              <w:jc w:val="left"/>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C1产出数量（</w:t>
            </w:r>
            <w:r>
              <w:rPr>
                <w:rFonts w:hint="eastAsia" w:ascii="Times New Roman" w:hAnsi="Times New Roman" w:eastAsia="宋体" w:cs="Times New Roman"/>
                <w:color w:val="auto"/>
                <w:kern w:val="2"/>
                <w:sz w:val="21"/>
                <w:szCs w:val="21"/>
                <w:highlight w:val="none"/>
                <w:lang w:val="en-US" w:eastAsia="zh-CN" w:bidi="ar"/>
              </w:rPr>
              <w:t>13</w:t>
            </w:r>
            <w:r>
              <w:rPr>
                <w:rFonts w:hint="eastAsia" w:ascii="Times New Roman" w:hAnsi="Times New Roman" w:eastAsia="宋体" w:cs="Times New Roman"/>
                <w:color w:val="auto"/>
                <w:kern w:val="2"/>
                <w:sz w:val="21"/>
                <w:szCs w:val="21"/>
                <w:highlight w:val="none"/>
                <w:lang w:bidi="ar"/>
              </w:rPr>
              <w:t>.00分）</w:t>
            </w:r>
          </w:p>
        </w:tc>
        <w:tc>
          <w:tcPr>
            <w:tcW w:w="1160" w:type="pct"/>
            <w:vAlign w:val="center"/>
          </w:tcPr>
          <w:p w14:paraId="20050833">
            <w:pPr>
              <w:pageBreakBefore w:val="0"/>
              <w:widowControl/>
              <w:kinsoku/>
              <w:wordWrap/>
              <w:overflowPunct/>
              <w:topLinePunct w:val="0"/>
              <w:autoSpaceDE/>
              <w:autoSpaceDN/>
              <w:bidi w:val="0"/>
              <w:snapToGrid w:val="0"/>
              <w:spacing w:before="0" w:after="0" w:line="240" w:lineRule="auto"/>
              <w:ind w:firstLine="0" w:firstLineChars="0"/>
              <w:jc w:val="left"/>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kern w:val="2"/>
                <w:sz w:val="21"/>
                <w:szCs w:val="21"/>
                <w:highlight w:val="none"/>
                <w:lang w:bidi="ar"/>
              </w:rPr>
              <w:t>C11</w:t>
            </w:r>
            <w:r>
              <w:rPr>
                <w:rFonts w:hint="eastAsia" w:ascii="Times New Roman" w:hAnsi="Times New Roman" w:eastAsia="宋体" w:cs="Times New Roman"/>
                <w:color w:val="auto"/>
                <w:kern w:val="2"/>
                <w:sz w:val="21"/>
                <w:szCs w:val="21"/>
                <w:highlight w:val="none"/>
                <w:lang w:eastAsia="zh-CN" w:bidi="ar"/>
              </w:rPr>
              <w:t>农村公路养护里程</w:t>
            </w:r>
          </w:p>
        </w:tc>
        <w:tc>
          <w:tcPr>
            <w:tcW w:w="689" w:type="pct"/>
            <w:vAlign w:val="center"/>
          </w:tcPr>
          <w:p w14:paraId="7D663A6C">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w:t>
            </w:r>
            <w:r>
              <w:rPr>
                <w:rFonts w:hint="eastAsia" w:eastAsia="宋体" w:cs="Times New Roman"/>
                <w:color w:val="auto"/>
                <w:kern w:val="2"/>
                <w:sz w:val="21"/>
                <w:szCs w:val="21"/>
                <w:highlight w:val="none"/>
                <w:lang w:eastAsia="zh-CN" w:bidi="ar"/>
              </w:rPr>
              <w:t>214.2</w:t>
            </w:r>
            <w:r>
              <w:rPr>
                <w:rFonts w:hint="eastAsia" w:ascii="Times New Roman" w:hAnsi="Times New Roman" w:eastAsia="宋体" w:cs="Times New Roman"/>
                <w:color w:val="auto"/>
                <w:kern w:val="2"/>
                <w:sz w:val="21"/>
                <w:szCs w:val="21"/>
                <w:highlight w:val="none"/>
                <w:lang w:bidi="ar"/>
              </w:rPr>
              <w:t>公里</w:t>
            </w:r>
          </w:p>
        </w:tc>
        <w:tc>
          <w:tcPr>
            <w:tcW w:w="630" w:type="pct"/>
            <w:vAlign w:val="center"/>
          </w:tcPr>
          <w:p w14:paraId="0C3076E8">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eastAsia="宋体" w:cs="Times New Roman"/>
                <w:color w:val="auto"/>
                <w:kern w:val="2"/>
                <w:sz w:val="21"/>
                <w:szCs w:val="21"/>
                <w:highlight w:val="none"/>
                <w:lang w:eastAsia="zh-CN" w:bidi="ar"/>
              </w:rPr>
              <w:t>214.2</w:t>
            </w:r>
            <w:r>
              <w:rPr>
                <w:rFonts w:hint="eastAsia" w:ascii="Times New Roman" w:hAnsi="Times New Roman" w:eastAsia="宋体" w:cs="Times New Roman"/>
                <w:color w:val="auto"/>
                <w:kern w:val="2"/>
                <w:sz w:val="21"/>
                <w:szCs w:val="21"/>
                <w:highlight w:val="none"/>
                <w:lang w:bidi="ar"/>
              </w:rPr>
              <w:t>公里</w:t>
            </w:r>
          </w:p>
        </w:tc>
        <w:tc>
          <w:tcPr>
            <w:tcW w:w="478" w:type="pct"/>
            <w:vAlign w:val="center"/>
          </w:tcPr>
          <w:p w14:paraId="6E6DC05A">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7</w:t>
            </w:r>
            <w:r>
              <w:rPr>
                <w:rFonts w:hint="eastAsia" w:ascii="Times New Roman" w:hAnsi="Times New Roman" w:eastAsia="宋体" w:cs="Times New Roman"/>
                <w:color w:val="auto"/>
                <w:kern w:val="2"/>
                <w:sz w:val="21"/>
                <w:szCs w:val="21"/>
                <w:highlight w:val="none"/>
                <w:lang w:bidi="ar"/>
              </w:rPr>
              <w:t>.00</w:t>
            </w:r>
          </w:p>
        </w:tc>
        <w:tc>
          <w:tcPr>
            <w:tcW w:w="368" w:type="pct"/>
            <w:vAlign w:val="center"/>
          </w:tcPr>
          <w:p w14:paraId="532DF01F">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7</w:t>
            </w:r>
            <w:r>
              <w:rPr>
                <w:rFonts w:hint="eastAsia" w:ascii="Times New Roman" w:hAnsi="Times New Roman" w:eastAsia="宋体" w:cs="Times New Roman"/>
                <w:color w:val="auto"/>
                <w:kern w:val="2"/>
                <w:sz w:val="21"/>
                <w:szCs w:val="21"/>
                <w:highlight w:val="none"/>
                <w:lang w:bidi="ar"/>
              </w:rPr>
              <w:t>.00</w:t>
            </w:r>
          </w:p>
        </w:tc>
        <w:tc>
          <w:tcPr>
            <w:tcW w:w="478" w:type="pct"/>
            <w:vAlign w:val="center"/>
          </w:tcPr>
          <w:p w14:paraId="745BF03A">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10</w:t>
            </w:r>
            <w:r>
              <w:rPr>
                <w:rFonts w:hint="eastAsia" w:ascii="Times New Roman" w:hAnsi="Times New Roman" w:eastAsia="宋体" w:cs="Times New Roman"/>
                <w:color w:val="auto"/>
                <w:kern w:val="2"/>
                <w:sz w:val="21"/>
                <w:szCs w:val="21"/>
                <w:highlight w:val="none"/>
                <w:lang w:bidi="ar"/>
              </w:rPr>
              <w:t>0.00%</w:t>
            </w:r>
          </w:p>
        </w:tc>
      </w:tr>
      <w:tr w14:paraId="136A2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494" w:type="pct"/>
            <w:vMerge w:val="continue"/>
            <w:vAlign w:val="center"/>
          </w:tcPr>
          <w:p w14:paraId="11B15004">
            <w:pPr>
              <w:pageBreakBefore w:val="0"/>
              <w:widowControl/>
              <w:kinsoku/>
              <w:wordWrap/>
              <w:overflowPunct/>
              <w:topLinePunct w:val="0"/>
              <w:autoSpaceDE/>
              <w:autoSpaceDN/>
              <w:bidi w:val="0"/>
              <w:snapToGrid w:val="0"/>
              <w:spacing w:before="0" w:after="0" w:line="240" w:lineRule="auto"/>
              <w:ind w:firstLine="420" w:firstLineChars="0"/>
              <w:jc w:val="left"/>
              <w:rPr>
                <w:rFonts w:hint="eastAsia" w:ascii="Times New Roman" w:hAnsi="Times New Roman" w:eastAsia="宋体" w:cs="Times New Roman"/>
                <w:color w:val="auto"/>
                <w:sz w:val="21"/>
                <w:szCs w:val="21"/>
                <w:highlight w:val="none"/>
              </w:rPr>
            </w:pPr>
          </w:p>
        </w:tc>
        <w:tc>
          <w:tcPr>
            <w:tcW w:w="699" w:type="pct"/>
            <w:vMerge w:val="continue"/>
            <w:vAlign w:val="center"/>
          </w:tcPr>
          <w:p w14:paraId="26F8C017">
            <w:pPr>
              <w:pageBreakBefore w:val="0"/>
              <w:widowControl/>
              <w:kinsoku/>
              <w:wordWrap/>
              <w:overflowPunct/>
              <w:topLinePunct w:val="0"/>
              <w:autoSpaceDE/>
              <w:autoSpaceDN/>
              <w:bidi w:val="0"/>
              <w:snapToGrid w:val="0"/>
              <w:spacing w:before="0" w:after="0" w:line="240" w:lineRule="auto"/>
              <w:ind w:firstLine="420" w:firstLineChars="0"/>
              <w:jc w:val="left"/>
              <w:rPr>
                <w:rFonts w:hint="eastAsia" w:ascii="Times New Roman" w:hAnsi="Times New Roman" w:eastAsia="宋体" w:cs="Times New Roman"/>
                <w:color w:val="auto"/>
                <w:sz w:val="21"/>
                <w:szCs w:val="21"/>
                <w:highlight w:val="none"/>
              </w:rPr>
            </w:pPr>
          </w:p>
        </w:tc>
        <w:tc>
          <w:tcPr>
            <w:tcW w:w="1160" w:type="pct"/>
            <w:vAlign w:val="center"/>
          </w:tcPr>
          <w:p w14:paraId="01EB9F89">
            <w:pPr>
              <w:pageBreakBefore w:val="0"/>
              <w:widowControl/>
              <w:kinsoku/>
              <w:wordWrap/>
              <w:overflowPunct/>
              <w:topLinePunct w:val="0"/>
              <w:autoSpaceDE/>
              <w:autoSpaceDN/>
              <w:bidi w:val="0"/>
              <w:snapToGrid w:val="0"/>
              <w:spacing w:before="0" w:after="0" w:line="240" w:lineRule="auto"/>
              <w:ind w:firstLine="0" w:firstLineChars="0"/>
              <w:jc w:val="left"/>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C12养护公路条数</w:t>
            </w:r>
          </w:p>
        </w:tc>
        <w:tc>
          <w:tcPr>
            <w:tcW w:w="689" w:type="pct"/>
            <w:vAlign w:val="center"/>
          </w:tcPr>
          <w:p w14:paraId="1DAE5FCA">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≥27条</w:t>
            </w:r>
          </w:p>
        </w:tc>
        <w:tc>
          <w:tcPr>
            <w:tcW w:w="630" w:type="pct"/>
            <w:vAlign w:val="center"/>
          </w:tcPr>
          <w:p w14:paraId="68DC003E">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kern w:val="2"/>
                <w:sz w:val="21"/>
                <w:szCs w:val="21"/>
                <w:highlight w:val="none"/>
                <w:lang w:bidi="ar"/>
              </w:rPr>
              <w:t>27条</w:t>
            </w:r>
          </w:p>
        </w:tc>
        <w:tc>
          <w:tcPr>
            <w:tcW w:w="478" w:type="pct"/>
            <w:vAlign w:val="center"/>
          </w:tcPr>
          <w:p w14:paraId="5785CFB7">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6</w:t>
            </w:r>
            <w:r>
              <w:rPr>
                <w:rFonts w:hint="eastAsia" w:ascii="Times New Roman" w:hAnsi="Times New Roman" w:eastAsia="宋体" w:cs="Times New Roman"/>
                <w:color w:val="auto"/>
                <w:kern w:val="2"/>
                <w:sz w:val="21"/>
                <w:szCs w:val="21"/>
                <w:highlight w:val="none"/>
                <w:lang w:bidi="ar"/>
              </w:rPr>
              <w:t>.00</w:t>
            </w:r>
          </w:p>
        </w:tc>
        <w:tc>
          <w:tcPr>
            <w:tcW w:w="368" w:type="pct"/>
            <w:vAlign w:val="center"/>
          </w:tcPr>
          <w:p w14:paraId="28010553">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6</w:t>
            </w:r>
            <w:r>
              <w:rPr>
                <w:rFonts w:hint="eastAsia" w:ascii="Times New Roman" w:hAnsi="Times New Roman" w:eastAsia="宋体" w:cs="Times New Roman"/>
                <w:color w:val="auto"/>
                <w:kern w:val="2"/>
                <w:sz w:val="21"/>
                <w:szCs w:val="21"/>
                <w:highlight w:val="none"/>
                <w:lang w:bidi="ar"/>
              </w:rPr>
              <w:t>.00</w:t>
            </w:r>
          </w:p>
        </w:tc>
        <w:tc>
          <w:tcPr>
            <w:tcW w:w="478" w:type="pct"/>
            <w:vAlign w:val="center"/>
          </w:tcPr>
          <w:p w14:paraId="73A63CB3">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10</w:t>
            </w:r>
            <w:r>
              <w:rPr>
                <w:rFonts w:hint="eastAsia" w:ascii="Times New Roman" w:hAnsi="Times New Roman" w:eastAsia="宋体" w:cs="Times New Roman"/>
                <w:color w:val="auto"/>
                <w:kern w:val="2"/>
                <w:sz w:val="21"/>
                <w:szCs w:val="21"/>
                <w:highlight w:val="none"/>
                <w:lang w:bidi="ar"/>
              </w:rPr>
              <w:t>0.00%</w:t>
            </w:r>
          </w:p>
        </w:tc>
      </w:tr>
      <w:tr w14:paraId="274D1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494" w:type="pct"/>
            <w:vMerge w:val="continue"/>
            <w:vAlign w:val="center"/>
          </w:tcPr>
          <w:p w14:paraId="06C7E6C4">
            <w:pPr>
              <w:pageBreakBefore w:val="0"/>
              <w:widowControl/>
              <w:kinsoku/>
              <w:wordWrap/>
              <w:overflowPunct/>
              <w:topLinePunct w:val="0"/>
              <w:autoSpaceDE/>
              <w:autoSpaceDN/>
              <w:bidi w:val="0"/>
              <w:snapToGrid w:val="0"/>
              <w:spacing w:before="0" w:after="0" w:line="240" w:lineRule="auto"/>
              <w:ind w:firstLine="420" w:firstLineChars="0"/>
              <w:jc w:val="left"/>
              <w:rPr>
                <w:rFonts w:hint="eastAsia" w:ascii="Times New Roman" w:hAnsi="Times New Roman" w:eastAsia="宋体" w:cs="Times New Roman"/>
                <w:color w:val="auto"/>
                <w:sz w:val="21"/>
                <w:szCs w:val="21"/>
                <w:highlight w:val="none"/>
              </w:rPr>
            </w:pPr>
          </w:p>
        </w:tc>
        <w:tc>
          <w:tcPr>
            <w:tcW w:w="699" w:type="pct"/>
            <w:vAlign w:val="center"/>
          </w:tcPr>
          <w:p w14:paraId="3855339B">
            <w:pPr>
              <w:pageBreakBefore w:val="0"/>
              <w:widowControl/>
              <w:kinsoku/>
              <w:wordWrap/>
              <w:overflowPunct/>
              <w:topLinePunct w:val="0"/>
              <w:autoSpaceDE/>
              <w:autoSpaceDN/>
              <w:bidi w:val="0"/>
              <w:snapToGrid w:val="0"/>
              <w:spacing w:before="0" w:after="0" w:line="240" w:lineRule="auto"/>
              <w:ind w:firstLine="0" w:firstLineChars="0"/>
              <w:jc w:val="left"/>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C2产出质量（</w:t>
            </w:r>
            <w:r>
              <w:rPr>
                <w:rFonts w:hint="eastAsia" w:ascii="Times New Roman" w:hAnsi="Times New Roman" w:eastAsia="宋体" w:cs="Times New Roman"/>
                <w:color w:val="auto"/>
                <w:kern w:val="2"/>
                <w:sz w:val="21"/>
                <w:szCs w:val="21"/>
                <w:highlight w:val="none"/>
                <w:lang w:val="en-US" w:eastAsia="zh-CN" w:bidi="ar"/>
              </w:rPr>
              <w:t>6</w:t>
            </w:r>
            <w:r>
              <w:rPr>
                <w:rFonts w:hint="eastAsia" w:ascii="Times New Roman" w:hAnsi="Times New Roman" w:eastAsia="宋体" w:cs="Times New Roman"/>
                <w:color w:val="auto"/>
                <w:kern w:val="2"/>
                <w:sz w:val="21"/>
                <w:szCs w:val="21"/>
                <w:highlight w:val="none"/>
                <w:lang w:bidi="ar"/>
              </w:rPr>
              <w:t>.00分）</w:t>
            </w:r>
          </w:p>
        </w:tc>
        <w:tc>
          <w:tcPr>
            <w:tcW w:w="1160" w:type="pct"/>
            <w:vAlign w:val="center"/>
          </w:tcPr>
          <w:p w14:paraId="56CC9808">
            <w:pPr>
              <w:pageBreakBefore w:val="0"/>
              <w:widowControl/>
              <w:kinsoku/>
              <w:wordWrap/>
              <w:overflowPunct/>
              <w:topLinePunct w:val="0"/>
              <w:autoSpaceDE/>
              <w:autoSpaceDN/>
              <w:bidi w:val="0"/>
              <w:snapToGrid w:val="0"/>
              <w:spacing w:before="0" w:after="0" w:line="240" w:lineRule="auto"/>
              <w:ind w:firstLine="0" w:firstLineChars="0"/>
              <w:jc w:val="left"/>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kern w:val="2"/>
                <w:sz w:val="21"/>
                <w:szCs w:val="21"/>
                <w:highlight w:val="none"/>
                <w:lang w:bidi="ar"/>
              </w:rPr>
              <w:t>C21</w:t>
            </w:r>
            <w:r>
              <w:rPr>
                <w:rFonts w:hint="eastAsia" w:ascii="Times New Roman" w:hAnsi="Times New Roman" w:eastAsia="宋体" w:cs="Times New Roman"/>
                <w:color w:val="auto"/>
                <w:kern w:val="2"/>
                <w:sz w:val="21"/>
                <w:szCs w:val="21"/>
                <w:highlight w:val="none"/>
                <w:lang w:eastAsia="zh-CN" w:bidi="ar"/>
              </w:rPr>
              <w:t>公路养护工程合格率</w:t>
            </w:r>
          </w:p>
        </w:tc>
        <w:tc>
          <w:tcPr>
            <w:tcW w:w="689" w:type="pct"/>
            <w:vAlign w:val="center"/>
          </w:tcPr>
          <w:p w14:paraId="39C36B7F">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100</w:t>
            </w:r>
            <w:r>
              <w:rPr>
                <w:rFonts w:hint="eastAsia" w:ascii="Times New Roman" w:hAnsi="Times New Roman" w:eastAsia="宋体" w:cs="Times New Roman"/>
                <w:color w:val="auto"/>
                <w:kern w:val="2"/>
                <w:sz w:val="21"/>
                <w:szCs w:val="21"/>
                <w:highlight w:val="none"/>
                <w:lang w:val="en-US" w:eastAsia="zh-CN" w:bidi="ar"/>
              </w:rPr>
              <w:t>.00</w:t>
            </w:r>
            <w:r>
              <w:rPr>
                <w:rFonts w:hint="eastAsia" w:ascii="Times New Roman" w:hAnsi="Times New Roman" w:eastAsia="宋体" w:cs="Times New Roman"/>
                <w:color w:val="auto"/>
                <w:kern w:val="2"/>
                <w:sz w:val="21"/>
                <w:szCs w:val="21"/>
                <w:highlight w:val="none"/>
                <w:lang w:bidi="ar"/>
              </w:rPr>
              <w:t>%</w:t>
            </w:r>
          </w:p>
        </w:tc>
        <w:tc>
          <w:tcPr>
            <w:tcW w:w="630" w:type="pct"/>
            <w:vAlign w:val="center"/>
          </w:tcPr>
          <w:p w14:paraId="39FA217F">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kern w:val="2"/>
                <w:sz w:val="21"/>
                <w:szCs w:val="21"/>
                <w:highlight w:val="none"/>
                <w:lang w:bidi="ar"/>
              </w:rPr>
              <w:t>100</w:t>
            </w:r>
            <w:r>
              <w:rPr>
                <w:rFonts w:hint="eastAsia" w:ascii="Times New Roman" w:hAnsi="Times New Roman" w:eastAsia="宋体" w:cs="Times New Roman"/>
                <w:color w:val="auto"/>
                <w:kern w:val="2"/>
                <w:sz w:val="21"/>
                <w:szCs w:val="21"/>
                <w:highlight w:val="none"/>
                <w:lang w:val="en-US" w:eastAsia="zh-CN" w:bidi="ar"/>
              </w:rPr>
              <w:t>.00</w:t>
            </w:r>
            <w:r>
              <w:rPr>
                <w:rFonts w:hint="eastAsia" w:ascii="Times New Roman" w:hAnsi="Times New Roman" w:eastAsia="宋体" w:cs="Times New Roman"/>
                <w:color w:val="auto"/>
                <w:kern w:val="2"/>
                <w:sz w:val="21"/>
                <w:szCs w:val="21"/>
                <w:highlight w:val="none"/>
                <w:lang w:bidi="ar"/>
              </w:rPr>
              <w:t>%</w:t>
            </w:r>
          </w:p>
        </w:tc>
        <w:tc>
          <w:tcPr>
            <w:tcW w:w="478" w:type="pct"/>
            <w:vAlign w:val="center"/>
          </w:tcPr>
          <w:p w14:paraId="61EF1184">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6</w:t>
            </w:r>
            <w:r>
              <w:rPr>
                <w:rFonts w:hint="eastAsia" w:ascii="Times New Roman" w:hAnsi="Times New Roman" w:eastAsia="宋体" w:cs="Times New Roman"/>
                <w:color w:val="auto"/>
                <w:kern w:val="2"/>
                <w:sz w:val="21"/>
                <w:szCs w:val="21"/>
                <w:highlight w:val="none"/>
                <w:lang w:bidi="ar"/>
              </w:rPr>
              <w:t>.00</w:t>
            </w:r>
          </w:p>
        </w:tc>
        <w:tc>
          <w:tcPr>
            <w:tcW w:w="368" w:type="pct"/>
            <w:vAlign w:val="center"/>
          </w:tcPr>
          <w:p w14:paraId="2C3FD538">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6</w:t>
            </w:r>
            <w:r>
              <w:rPr>
                <w:rFonts w:hint="eastAsia" w:ascii="Times New Roman" w:hAnsi="Times New Roman" w:eastAsia="宋体" w:cs="Times New Roman"/>
                <w:color w:val="auto"/>
                <w:kern w:val="2"/>
                <w:sz w:val="21"/>
                <w:szCs w:val="21"/>
                <w:highlight w:val="none"/>
                <w:lang w:bidi="ar"/>
              </w:rPr>
              <w:t>.00</w:t>
            </w:r>
          </w:p>
        </w:tc>
        <w:tc>
          <w:tcPr>
            <w:tcW w:w="478" w:type="pct"/>
            <w:vAlign w:val="center"/>
          </w:tcPr>
          <w:p w14:paraId="73AFB9C6">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10</w:t>
            </w:r>
            <w:r>
              <w:rPr>
                <w:rFonts w:hint="eastAsia" w:ascii="Times New Roman" w:hAnsi="Times New Roman" w:eastAsia="宋体" w:cs="Times New Roman"/>
                <w:color w:val="auto"/>
                <w:kern w:val="2"/>
                <w:sz w:val="21"/>
                <w:szCs w:val="21"/>
                <w:highlight w:val="none"/>
                <w:lang w:bidi="ar"/>
              </w:rPr>
              <w:t>0.00%</w:t>
            </w:r>
          </w:p>
        </w:tc>
      </w:tr>
      <w:tr w14:paraId="353A4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494" w:type="pct"/>
            <w:vMerge w:val="continue"/>
            <w:vAlign w:val="center"/>
          </w:tcPr>
          <w:p w14:paraId="4A4A41AB">
            <w:pPr>
              <w:pageBreakBefore w:val="0"/>
              <w:widowControl/>
              <w:kinsoku/>
              <w:wordWrap/>
              <w:overflowPunct/>
              <w:topLinePunct w:val="0"/>
              <w:autoSpaceDE/>
              <w:autoSpaceDN/>
              <w:bidi w:val="0"/>
              <w:snapToGrid w:val="0"/>
              <w:spacing w:before="0" w:after="0" w:line="240" w:lineRule="auto"/>
              <w:ind w:firstLine="420" w:firstLineChars="0"/>
              <w:jc w:val="left"/>
              <w:rPr>
                <w:rFonts w:hint="eastAsia" w:ascii="Times New Roman" w:hAnsi="Times New Roman" w:eastAsia="宋体" w:cs="Times New Roman"/>
                <w:color w:val="auto"/>
                <w:sz w:val="21"/>
                <w:szCs w:val="21"/>
                <w:highlight w:val="none"/>
              </w:rPr>
            </w:pPr>
          </w:p>
        </w:tc>
        <w:tc>
          <w:tcPr>
            <w:tcW w:w="699" w:type="pct"/>
            <w:vMerge w:val="restart"/>
            <w:vAlign w:val="center"/>
          </w:tcPr>
          <w:p w14:paraId="1643FB0C">
            <w:pPr>
              <w:pageBreakBefore w:val="0"/>
              <w:widowControl/>
              <w:kinsoku/>
              <w:wordWrap/>
              <w:overflowPunct/>
              <w:topLinePunct w:val="0"/>
              <w:autoSpaceDE/>
              <w:autoSpaceDN/>
              <w:bidi w:val="0"/>
              <w:snapToGrid w:val="0"/>
              <w:spacing w:before="0" w:after="0" w:line="240" w:lineRule="auto"/>
              <w:ind w:firstLine="0" w:firstLineChars="0"/>
              <w:jc w:val="left"/>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C3产出时效（</w:t>
            </w:r>
            <w:r>
              <w:rPr>
                <w:rFonts w:hint="eastAsia" w:ascii="Times New Roman" w:hAnsi="Times New Roman" w:eastAsia="宋体" w:cs="Times New Roman"/>
                <w:color w:val="auto"/>
                <w:kern w:val="2"/>
                <w:sz w:val="21"/>
                <w:szCs w:val="21"/>
                <w:highlight w:val="none"/>
                <w:lang w:val="en-US" w:eastAsia="zh-CN" w:bidi="ar"/>
              </w:rPr>
              <w:t>6</w:t>
            </w:r>
            <w:r>
              <w:rPr>
                <w:rFonts w:hint="eastAsia" w:ascii="Times New Roman" w:hAnsi="Times New Roman" w:eastAsia="宋体" w:cs="Times New Roman"/>
                <w:color w:val="auto"/>
                <w:kern w:val="2"/>
                <w:sz w:val="21"/>
                <w:szCs w:val="21"/>
                <w:highlight w:val="none"/>
                <w:lang w:bidi="ar"/>
              </w:rPr>
              <w:t>.00分）</w:t>
            </w:r>
          </w:p>
        </w:tc>
        <w:tc>
          <w:tcPr>
            <w:tcW w:w="1160" w:type="pct"/>
            <w:vAlign w:val="center"/>
          </w:tcPr>
          <w:p w14:paraId="36D16C28">
            <w:pPr>
              <w:pageBreakBefore w:val="0"/>
              <w:widowControl/>
              <w:kinsoku/>
              <w:wordWrap/>
              <w:overflowPunct/>
              <w:topLinePunct w:val="0"/>
              <w:autoSpaceDE/>
              <w:autoSpaceDN/>
              <w:bidi w:val="0"/>
              <w:snapToGrid w:val="0"/>
              <w:spacing w:before="0" w:after="0" w:line="240" w:lineRule="auto"/>
              <w:ind w:firstLine="0" w:firstLineChars="0"/>
              <w:jc w:val="left"/>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C31项目开工及时率</w:t>
            </w:r>
          </w:p>
        </w:tc>
        <w:tc>
          <w:tcPr>
            <w:tcW w:w="689" w:type="pct"/>
            <w:vAlign w:val="center"/>
          </w:tcPr>
          <w:p w14:paraId="284C23F4">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100</w:t>
            </w:r>
            <w:r>
              <w:rPr>
                <w:rFonts w:hint="eastAsia" w:ascii="Times New Roman" w:hAnsi="Times New Roman" w:eastAsia="宋体" w:cs="Times New Roman"/>
                <w:color w:val="auto"/>
                <w:kern w:val="2"/>
                <w:sz w:val="21"/>
                <w:szCs w:val="21"/>
                <w:highlight w:val="none"/>
                <w:lang w:val="en-US" w:eastAsia="zh-CN" w:bidi="ar"/>
              </w:rPr>
              <w:t>.00</w:t>
            </w:r>
            <w:r>
              <w:rPr>
                <w:rFonts w:hint="eastAsia" w:ascii="Times New Roman" w:hAnsi="Times New Roman" w:eastAsia="宋体" w:cs="Times New Roman"/>
                <w:color w:val="auto"/>
                <w:kern w:val="2"/>
                <w:sz w:val="21"/>
                <w:szCs w:val="21"/>
                <w:highlight w:val="none"/>
                <w:lang w:bidi="ar"/>
              </w:rPr>
              <w:t>%</w:t>
            </w:r>
          </w:p>
        </w:tc>
        <w:tc>
          <w:tcPr>
            <w:tcW w:w="630" w:type="pct"/>
            <w:vAlign w:val="center"/>
          </w:tcPr>
          <w:p w14:paraId="33C54456">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bidi="ar"/>
              </w:rPr>
              <w:t>10</w:t>
            </w:r>
            <w:r>
              <w:rPr>
                <w:rFonts w:hint="eastAsia" w:ascii="Times New Roman" w:hAnsi="Times New Roman" w:eastAsia="宋体" w:cs="Times New Roman"/>
                <w:color w:val="auto"/>
                <w:kern w:val="2"/>
                <w:sz w:val="21"/>
                <w:szCs w:val="21"/>
                <w:highlight w:val="none"/>
                <w:lang w:bidi="ar"/>
              </w:rPr>
              <w:t>0</w:t>
            </w:r>
            <w:r>
              <w:rPr>
                <w:rFonts w:hint="eastAsia" w:ascii="Times New Roman" w:hAnsi="Times New Roman" w:eastAsia="宋体" w:cs="Times New Roman"/>
                <w:color w:val="auto"/>
                <w:kern w:val="2"/>
                <w:sz w:val="21"/>
                <w:szCs w:val="21"/>
                <w:highlight w:val="none"/>
                <w:lang w:val="en-US" w:eastAsia="zh-CN" w:bidi="ar"/>
              </w:rPr>
              <w:t>.00</w:t>
            </w:r>
            <w:r>
              <w:rPr>
                <w:rFonts w:hint="eastAsia" w:ascii="Times New Roman" w:hAnsi="Times New Roman" w:eastAsia="宋体" w:cs="Times New Roman"/>
                <w:color w:val="auto"/>
                <w:kern w:val="2"/>
                <w:sz w:val="21"/>
                <w:szCs w:val="21"/>
                <w:highlight w:val="none"/>
                <w:lang w:bidi="ar"/>
              </w:rPr>
              <w:t>%</w:t>
            </w:r>
          </w:p>
        </w:tc>
        <w:tc>
          <w:tcPr>
            <w:tcW w:w="478" w:type="pct"/>
            <w:vAlign w:val="center"/>
          </w:tcPr>
          <w:p w14:paraId="1C6FF3C5">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3</w:t>
            </w:r>
            <w:r>
              <w:rPr>
                <w:rFonts w:hint="eastAsia" w:ascii="Times New Roman" w:hAnsi="Times New Roman" w:eastAsia="宋体" w:cs="Times New Roman"/>
                <w:color w:val="auto"/>
                <w:kern w:val="2"/>
                <w:sz w:val="21"/>
                <w:szCs w:val="21"/>
                <w:highlight w:val="none"/>
                <w:lang w:bidi="ar"/>
              </w:rPr>
              <w:t>.00</w:t>
            </w:r>
          </w:p>
        </w:tc>
        <w:tc>
          <w:tcPr>
            <w:tcW w:w="368" w:type="pct"/>
            <w:vAlign w:val="center"/>
          </w:tcPr>
          <w:p w14:paraId="49422752">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3</w:t>
            </w:r>
            <w:r>
              <w:rPr>
                <w:rFonts w:hint="eastAsia" w:ascii="Times New Roman" w:hAnsi="Times New Roman" w:eastAsia="宋体" w:cs="Times New Roman"/>
                <w:color w:val="auto"/>
                <w:kern w:val="2"/>
                <w:sz w:val="21"/>
                <w:szCs w:val="21"/>
                <w:highlight w:val="none"/>
                <w:lang w:bidi="ar"/>
              </w:rPr>
              <w:t>.00</w:t>
            </w:r>
          </w:p>
        </w:tc>
        <w:tc>
          <w:tcPr>
            <w:tcW w:w="478" w:type="pct"/>
            <w:vAlign w:val="center"/>
          </w:tcPr>
          <w:p w14:paraId="52F4F42E">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10</w:t>
            </w:r>
            <w:r>
              <w:rPr>
                <w:rFonts w:hint="eastAsia" w:ascii="Times New Roman" w:hAnsi="Times New Roman" w:eastAsia="宋体" w:cs="Times New Roman"/>
                <w:color w:val="auto"/>
                <w:kern w:val="2"/>
                <w:sz w:val="21"/>
                <w:szCs w:val="21"/>
                <w:highlight w:val="none"/>
                <w:lang w:bidi="ar"/>
              </w:rPr>
              <w:t>0.00%</w:t>
            </w:r>
          </w:p>
        </w:tc>
      </w:tr>
      <w:tr w14:paraId="3FDBB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494" w:type="pct"/>
            <w:vMerge w:val="continue"/>
            <w:vAlign w:val="center"/>
          </w:tcPr>
          <w:p w14:paraId="0AB4B0F7">
            <w:pPr>
              <w:pageBreakBefore w:val="0"/>
              <w:widowControl/>
              <w:kinsoku/>
              <w:wordWrap/>
              <w:overflowPunct/>
              <w:topLinePunct w:val="0"/>
              <w:autoSpaceDE/>
              <w:autoSpaceDN/>
              <w:bidi w:val="0"/>
              <w:snapToGrid w:val="0"/>
              <w:spacing w:before="0" w:after="0" w:line="240" w:lineRule="auto"/>
              <w:ind w:firstLine="420" w:firstLineChars="0"/>
              <w:jc w:val="left"/>
              <w:rPr>
                <w:rFonts w:hint="eastAsia" w:ascii="Times New Roman" w:hAnsi="Times New Roman" w:eastAsia="宋体" w:cs="Times New Roman"/>
                <w:color w:val="auto"/>
                <w:sz w:val="21"/>
                <w:szCs w:val="21"/>
                <w:highlight w:val="none"/>
              </w:rPr>
            </w:pPr>
          </w:p>
        </w:tc>
        <w:tc>
          <w:tcPr>
            <w:tcW w:w="699" w:type="pct"/>
            <w:vMerge w:val="continue"/>
            <w:vAlign w:val="center"/>
          </w:tcPr>
          <w:p w14:paraId="67F3C5B9">
            <w:pPr>
              <w:pageBreakBefore w:val="0"/>
              <w:widowControl/>
              <w:kinsoku/>
              <w:wordWrap/>
              <w:overflowPunct/>
              <w:topLinePunct w:val="0"/>
              <w:autoSpaceDE/>
              <w:autoSpaceDN/>
              <w:bidi w:val="0"/>
              <w:snapToGrid w:val="0"/>
              <w:spacing w:before="0" w:after="0" w:line="240" w:lineRule="auto"/>
              <w:ind w:firstLine="420" w:firstLineChars="0"/>
              <w:jc w:val="left"/>
              <w:rPr>
                <w:rFonts w:hint="eastAsia" w:ascii="Times New Roman" w:hAnsi="Times New Roman" w:eastAsia="宋体" w:cs="Times New Roman"/>
                <w:color w:val="auto"/>
                <w:kern w:val="2"/>
                <w:sz w:val="21"/>
                <w:szCs w:val="21"/>
                <w:highlight w:val="none"/>
                <w:lang w:bidi="ar"/>
              </w:rPr>
            </w:pPr>
          </w:p>
        </w:tc>
        <w:tc>
          <w:tcPr>
            <w:tcW w:w="1160" w:type="pct"/>
            <w:vAlign w:val="center"/>
          </w:tcPr>
          <w:p w14:paraId="62CA7C3F">
            <w:pPr>
              <w:pageBreakBefore w:val="0"/>
              <w:widowControl/>
              <w:kinsoku/>
              <w:wordWrap/>
              <w:overflowPunct/>
              <w:topLinePunct w:val="0"/>
              <w:autoSpaceDE/>
              <w:autoSpaceDN/>
              <w:bidi w:val="0"/>
              <w:snapToGrid w:val="0"/>
              <w:spacing w:before="0" w:after="0" w:line="240" w:lineRule="auto"/>
              <w:ind w:firstLine="0" w:firstLineChars="0"/>
              <w:jc w:val="left"/>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bidi="ar"/>
              </w:rPr>
              <w:t>C32项目完工及时率</w:t>
            </w:r>
          </w:p>
        </w:tc>
        <w:tc>
          <w:tcPr>
            <w:tcW w:w="689" w:type="pct"/>
            <w:vAlign w:val="center"/>
          </w:tcPr>
          <w:p w14:paraId="00ECFB85">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bidi="ar"/>
              </w:rPr>
              <w:t>100</w:t>
            </w:r>
            <w:r>
              <w:rPr>
                <w:rFonts w:hint="eastAsia" w:ascii="Times New Roman" w:hAnsi="Times New Roman" w:eastAsia="宋体" w:cs="Times New Roman"/>
                <w:color w:val="auto"/>
                <w:kern w:val="2"/>
                <w:sz w:val="21"/>
                <w:szCs w:val="21"/>
                <w:highlight w:val="none"/>
                <w:lang w:val="en-US" w:eastAsia="zh-CN" w:bidi="ar"/>
              </w:rPr>
              <w:t>.00</w:t>
            </w:r>
            <w:r>
              <w:rPr>
                <w:rFonts w:hint="eastAsia" w:ascii="Times New Roman" w:hAnsi="Times New Roman" w:eastAsia="宋体" w:cs="Times New Roman"/>
                <w:color w:val="auto"/>
                <w:kern w:val="2"/>
                <w:sz w:val="21"/>
                <w:szCs w:val="21"/>
                <w:highlight w:val="none"/>
                <w:lang w:bidi="ar"/>
              </w:rPr>
              <w:t>%</w:t>
            </w:r>
          </w:p>
        </w:tc>
        <w:tc>
          <w:tcPr>
            <w:tcW w:w="630" w:type="pct"/>
            <w:vAlign w:val="center"/>
          </w:tcPr>
          <w:p w14:paraId="5ABF30CA">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kern w:val="2"/>
                <w:sz w:val="21"/>
                <w:szCs w:val="21"/>
                <w:highlight w:val="none"/>
                <w:lang w:bidi="ar"/>
              </w:rPr>
              <w:t>0</w:t>
            </w:r>
            <w:r>
              <w:rPr>
                <w:rFonts w:hint="eastAsia" w:ascii="Times New Roman" w:hAnsi="Times New Roman" w:eastAsia="宋体" w:cs="Times New Roman"/>
                <w:color w:val="auto"/>
                <w:kern w:val="2"/>
                <w:sz w:val="21"/>
                <w:szCs w:val="21"/>
                <w:highlight w:val="none"/>
                <w:lang w:val="en-US" w:eastAsia="zh-CN" w:bidi="ar"/>
              </w:rPr>
              <w:t>.00</w:t>
            </w:r>
            <w:r>
              <w:rPr>
                <w:rFonts w:hint="eastAsia" w:ascii="Times New Roman" w:hAnsi="Times New Roman" w:eastAsia="宋体" w:cs="Times New Roman"/>
                <w:color w:val="auto"/>
                <w:kern w:val="2"/>
                <w:sz w:val="21"/>
                <w:szCs w:val="21"/>
                <w:highlight w:val="none"/>
                <w:lang w:bidi="ar"/>
              </w:rPr>
              <w:t>%</w:t>
            </w:r>
          </w:p>
        </w:tc>
        <w:tc>
          <w:tcPr>
            <w:tcW w:w="478" w:type="pct"/>
            <w:shd w:val="clear" w:color="auto" w:fill="auto"/>
            <w:vAlign w:val="center"/>
          </w:tcPr>
          <w:p w14:paraId="70BD0C0A">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
              </w:rPr>
              <w:t>3</w:t>
            </w:r>
            <w:r>
              <w:rPr>
                <w:rFonts w:hint="eastAsia" w:ascii="Times New Roman" w:hAnsi="Times New Roman" w:eastAsia="宋体" w:cs="Times New Roman"/>
                <w:color w:val="auto"/>
                <w:kern w:val="2"/>
                <w:sz w:val="21"/>
                <w:szCs w:val="21"/>
                <w:highlight w:val="none"/>
                <w:lang w:bidi="ar"/>
              </w:rPr>
              <w:t>.00</w:t>
            </w:r>
          </w:p>
        </w:tc>
        <w:tc>
          <w:tcPr>
            <w:tcW w:w="368" w:type="pct"/>
            <w:vAlign w:val="center"/>
          </w:tcPr>
          <w:p w14:paraId="341DEDD7">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0</w:t>
            </w:r>
            <w:r>
              <w:rPr>
                <w:rFonts w:hint="eastAsia" w:ascii="Times New Roman" w:hAnsi="Times New Roman" w:eastAsia="宋体" w:cs="Times New Roman"/>
                <w:color w:val="auto"/>
                <w:kern w:val="2"/>
                <w:sz w:val="21"/>
                <w:szCs w:val="21"/>
                <w:highlight w:val="none"/>
                <w:lang w:bidi="ar"/>
              </w:rPr>
              <w:t>.00</w:t>
            </w:r>
          </w:p>
        </w:tc>
        <w:tc>
          <w:tcPr>
            <w:tcW w:w="478" w:type="pct"/>
            <w:vAlign w:val="center"/>
          </w:tcPr>
          <w:p w14:paraId="5235F978">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kern w:val="2"/>
                <w:sz w:val="21"/>
                <w:szCs w:val="21"/>
                <w:highlight w:val="none"/>
                <w:lang w:bidi="ar"/>
              </w:rPr>
            </w:pPr>
            <w:r>
              <w:rPr>
                <w:rFonts w:hint="eastAsia" w:ascii="Times New Roman" w:hAnsi="Times New Roman" w:eastAsia="宋体" w:cs="Times New Roman"/>
                <w:color w:val="auto"/>
                <w:kern w:val="2"/>
                <w:sz w:val="21"/>
                <w:szCs w:val="21"/>
                <w:highlight w:val="none"/>
                <w:lang w:bidi="ar"/>
              </w:rPr>
              <w:t>0.00%</w:t>
            </w:r>
          </w:p>
        </w:tc>
      </w:tr>
      <w:tr w14:paraId="507B3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494" w:type="pct"/>
            <w:vMerge w:val="continue"/>
            <w:vAlign w:val="center"/>
          </w:tcPr>
          <w:p w14:paraId="2230E799">
            <w:pPr>
              <w:pageBreakBefore w:val="0"/>
              <w:widowControl/>
              <w:kinsoku/>
              <w:wordWrap/>
              <w:overflowPunct/>
              <w:topLinePunct w:val="0"/>
              <w:autoSpaceDE/>
              <w:autoSpaceDN/>
              <w:bidi w:val="0"/>
              <w:snapToGrid w:val="0"/>
              <w:spacing w:before="0" w:after="0" w:line="240" w:lineRule="auto"/>
              <w:ind w:firstLine="420" w:firstLineChars="0"/>
              <w:jc w:val="left"/>
              <w:rPr>
                <w:rFonts w:hint="eastAsia" w:ascii="Times New Roman" w:hAnsi="Times New Roman" w:eastAsia="宋体" w:cs="Times New Roman"/>
                <w:color w:val="auto"/>
                <w:sz w:val="21"/>
                <w:szCs w:val="21"/>
                <w:highlight w:val="none"/>
              </w:rPr>
            </w:pPr>
          </w:p>
        </w:tc>
        <w:tc>
          <w:tcPr>
            <w:tcW w:w="699" w:type="pct"/>
            <w:vAlign w:val="center"/>
          </w:tcPr>
          <w:p w14:paraId="37941775">
            <w:pPr>
              <w:pageBreakBefore w:val="0"/>
              <w:widowControl/>
              <w:kinsoku/>
              <w:wordWrap/>
              <w:overflowPunct/>
              <w:topLinePunct w:val="0"/>
              <w:autoSpaceDE/>
              <w:autoSpaceDN/>
              <w:bidi w:val="0"/>
              <w:snapToGrid w:val="0"/>
              <w:spacing w:before="0" w:after="0" w:line="240" w:lineRule="auto"/>
              <w:ind w:firstLine="0" w:firstLineChars="0"/>
              <w:jc w:val="left"/>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C4产出成本（</w:t>
            </w:r>
            <w:r>
              <w:rPr>
                <w:rFonts w:hint="eastAsia" w:ascii="Times New Roman" w:hAnsi="Times New Roman" w:eastAsia="宋体" w:cs="Times New Roman"/>
                <w:color w:val="auto"/>
                <w:kern w:val="2"/>
                <w:sz w:val="21"/>
                <w:szCs w:val="21"/>
                <w:highlight w:val="none"/>
                <w:lang w:val="en-US" w:eastAsia="zh-CN" w:bidi="ar"/>
              </w:rPr>
              <w:t>5</w:t>
            </w:r>
            <w:r>
              <w:rPr>
                <w:rFonts w:hint="eastAsia" w:ascii="Times New Roman" w:hAnsi="Times New Roman" w:eastAsia="宋体" w:cs="Times New Roman"/>
                <w:color w:val="auto"/>
                <w:kern w:val="2"/>
                <w:sz w:val="21"/>
                <w:szCs w:val="21"/>
                <w:highlight w:val="none"/>
                <w:lang w:bidi="ar"/>
              </w:rPr>
              <w:t>.00分）</w:t>
            </w:r>
          </w:p>
        </w:tc>
        <w:tc>
          <w:tcPr>
            <w:tcW w:w="1160" w:type="pct"/>
            <w:vAlign w:val="center"/>
          </w:tcPr>
          <w:p w14:paraId="4E6DFDA4">
            <w:pPr>
              <w:pageBreakBefore w:val="0"/>
              <w:widowControl/>
              <w:kinsoku/>
              <w:wordWrap/>
              <w:overflowPunct/>
              <w:topLinePunct w:val="0"/>
              <w:autoSpaceDE/>
              <w:autoSpaceDN/>
              <w:bidi w:val="0"/>
              <w:snapToGrid w:val="0"/>
              <w:spacing w:before="0" w:after="0" w:line="240" w:lineRule="auto"/>
              <w:ind w:firstLine="0" w:firstLineChars="0"/>
              <w:jc w:val="left"/>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kern w:val="2"/>
                <w:sz w:val="21"/>
                <w:szCs w:val="21"/>
                <w:highlight w:val="none"/>
                <w:lang w:bidi="ar"/>
              </w:rPr>
              <w:t>C41</w:t>
            </w:r>
            <w:r>
              <w:rPr>
                <w:rFonts w:hint="eastAsia" w:ascii="Times New Roman" w:hAnsi="Times New Roman" w:eastAsia="宋体" w:cs="Times New Roman"/>
                <w:color w:val="auto"/>
                <w:kern w:val="2"/>
                <w:sz w:val="21"/>
                <w:szCs w:val="21"/>
                <w:highlight w:val="none"/>
                <w:lang w:eastAsia="zh-CN" w:bidi="ar"/>
              </w:rPr>
              <w:t>工程建安成本控制率</w:t>
            </w:r>
          </w:p>
        </w:tc>
        <w:tc>
          <w:tcPr>
            <w:tcW w:w="689" w:type="pct"/>
            <w:vAlign w:val="center"/>
          </w:tcPr>
          <w:p w14:paraId="63CD9625">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80.00%—100.00%</w:t>
            </w:r>
          </w:p>
        </w:tc>
        <w:tc>
          <w:tcPr>
            <w:tcW w:w="630" w:type="pct"/>
            <w:vAlign w:val="center"/>
          </w:tcPr>
          <w:p w14:paraId="2478B910">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eastAsia="zh-CN"/>
              </w:rPr>
              <w:t>98.13%</w:t>
            </w:r>
          </w:p>
        </w:tc>
        <w:tc>
          <w:tcPr>
            <w:tcW w:w="478" w:type="pct"/>
            <w:vAlign w:val="center"/>
          </w:tcPr>
          <w:p w14:paraId="4E13F761">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5</w:t>
            </w:r>
            <w:r>
              <w:rPr>
                <w:rFonts w:hint="eastAsia" w:ascii="Times New Roman" w:hAnsi="Times New Roman" w:eastAsia="宋体" w:cs="Times New Roman"/>
                <w:color w:val="auto"/>
                <w:kern w:val="2"/>
                <w:sz w:val="21"/>
                <w:szCs w:val="21"/>
                <w:highlight w:val="none"/>
                <w:lang w:bidi="ar"/>
              </w:rPr>
              <w:t>.00</w:t>
            </w:r>
          </w:p>
        </w:tc>
        <w:tc>
          <w:tcPr>
            <w:tcW w:w="368" w:type="pct"/>
            <w:vAlign w:val="center"/>
          </w:tcPr>
          <w:p w14:paraId="3F3E2501">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5</w:t>
            </w:r>
            <w:r>
              <w:rPr>
                <w:rFonts w:hint="eastAsia" w:ascii="Times New Roman" w:hAnsi="Times New Roman" w:eastAsia="宋体" w:cs="Times New Roman"/>
                <w:color w:val="auto"/>
                <w:kern w:val="2"/>
                <w:sz w:val="21"/>
                <w:szCs w:val="21"/>
                <w:highlight w:val="none"/>
                <w:lang w:bidi="ar"/>
              </w:rPr>
              <w:t>.00</w:t>
            </w:r>
          </w:p>
        </w:tc>
        <w:tc>
          <w:tcPr>
            <w:tcW w:w="478" w:type="pct"/>
            <w:vAlign w:val="center"/>
          </w:tcPr>
          <w:p w14:paraId="354F76CA">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10</w:t>
            </w:r>
            <w:r>
              <w:rPr>
                <w:rFonts w:hint="eastAsia" w:ascii="Times New Roman" w:hAnsi="Times New Roman" w:eastAsia="宋体" w:cs="Times New Roman"/>
                <w:color w:val="auto"/>
                <w:kern w:val="2"/>
                <w:sz w:val="21"/>
                <w:szCs w:val="21"/>
                <w:highlight w:val="none"/>
                <w:lang w:bidi="ar"/>
              </w:rPr>
              <w:t>0.00%</w:t>
            </w:r>
          </w:p>
        </w:tc>
      </w:tr>
      <w:tr w14:paraId="2A30A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354" w:type="pct"/>
            <w:gridSpan w:val="3"/>
            <w:vAlign w:val="center"/>
          </w:tcPr>
          <w:p w14:paraId="356F979F">
            <w:pPr>
              <w:pageBreakBefore w:val="0"/>
              <w:widowControl/>
              <w:kinsoku/>
              <w:wordWrap/>
              <w:overflowPunct/>
              <w:topLinePunct w:val="0"/>
              <w:autoSpaceDE/>
              <w:autoSpaceDN/>
              <w:bidi w:val="0"/>
              <w:snapToGrid w:val="0"/>
              <w:spacing w:before="0" w:after="0" w:line="240" w:lineRule="auto"/>
              <w:ind w:firstLine="420" w:firstLineChars="0"/>
              <w:jc w:val="left"/>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合计</w:t>
            </w:r>
          </w:p>
        </w:tc>
        <w:tc>
          <w:tcPr>
            <w:tcW w:w="689" w:type="pct"/>
            <w:vAlign w:val="center"/>
          </w:tcPr>
          <w:p w14:paraId="3E8F0396">
            <w:pPr>
              <w:pageBreakBefore w:val="0"/>
              <w:widowControl/>
              <w:kinsoku/>
              <w:wordWrap/>
              <w:overflowPunct/>
              <w:topLinePunct w:val="0"/>
              <w:autoSpaceDE/>
              <w:autoSpaceDN/>
              <w:bidi w:val="0"/>
              <w:snapToGrid w:val="0"/>
              <w:spacing w:before="0" w:after="0" w:line="240" w:lineRule="auto"/>
              <w:ind w:firstLine="420" w:firstLineChars="0"/>
              <w:jc w:val="center"/>
              <w:rPr>
                <w:rFonts w:hint="eastAsia" w:ascii="Times New Roman" w:hAnsi="Times New Roman" w:eastAsia="宋体" w:cs="Times New Roman"/>
                <w:color w:val="auto"/>
                <w:sz w:val="21"/>
                <w:szCs w:val="21"/>
                <w:highlight w:val="none"/>
              </w:rPr>
            </w:pPr>
          </w:p>
        </w:tc>
        <w:tc>
          <w:tcPr>
            <w:tcW w:w="630" w:type="pct"/>
            <w:vAlign w:val="center"/>
          </w:tcPr>
          <w:p w14:paraId="54A9BE9D">
            <w:pPr>
              <w:pageBreakBefore w:val="0"/>
              <w:widowControl/>
              <w:kinsoku/>
              <w:wordWrap/>
              <w:overflowPunct/>
              <w:topLinePunct w:val="0"/>
              <w:autoSpaceDE/>
              <w:autoSpaceDN/>
              <w:bidi w:val="0"/>
              <w:snapToGrid w:val="0"/>
              <w:spacing w:before="0" w:after="0" w:line="240" w:lineRule="auto"/>
              <w:ind w:firstLine="420" w:firstLineChars="0"/>
              <w:jc w:val="center"/>
              <w:rPr>
                <w:rFonts w:hint="eastAsia" w:ascii="Times New Roman" w:hAnsi="Times New Roman" w:eastAsia="宋体" w:cs="Times New Roman"/>
                <w:color w:val="auto"/>
                <w:sz w:val="21"/>
                <w:szCs w:val="21"/>
                <w:highlight w:val="none"/>
                <w:lang w:val="en-US" w:eastAsia="zh-CN"/>
              </w:rPr>
            </w:pPr>
          </w:p>
        </w:tc>
        <w:tc>
          <w:tcPr>
            <w:tcW w:w="478" w:type="pct"/>
            <w:vAlign w:val="center"/>
          </w:tcPr>
          <w:p w14:paraId="0FD1B8D6">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30</w:t>
            </w:r>
            <w:r>
              <w:rPr>
                <w:rFonts w:hint="eastAsia" w:ascii="Times New Roman" w:hAnsi="Times New Roman" w:eastAsia="宋体" w:cs="Times New Roman"/>
                <w:color w:val="auto"/>
                <w:kern w:val="2"/>
                <w:sz w:val="21"/>
                <w:szCs w:val="21"/>
                <w:highlight w:val="none"/>
                <w:lang w:bidi="ar"/>
              </w:rPr>
              <w:t>.00</w:t>
            </w:r>
          </w:p>
        </w:tc>
        <w:tc>
          <w:tcPr>
            <w:tcW w:w="368" w:type="pct"/>
            <w:vAlign w:val="center"/>
          </w:tcPr>
          <w:p w14:paraId="11E58904">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27</w:t>
            </w:r>
            <w:r>
              <w:rPr>
                <w:rFonts w:hint="eastAsia" w:ascii="Times New Roman" w:hAnsi="Times New Roman" w:eastAsia="宋体" w:cs="Times New Roman"/>
                <w:color w:val="auto"/>
                <w:kern w:val="2"/>
                <w:sz w:val="21"/>
                <w:szCs w:val="21"/>
                <w:highlight w:val="none"/>
                <w:lang w:bidi="ar"/>
              </w:rPr>
              <w:t>.00</w:t>
            </w:r>
          </w:p>
        </w:tc>
        <w:tc>
          <w:tcPr>
            <w:tcW w:w="478" w:type="pct"/>
            <w:vAlign w:val="center"/>
          </w:tcPr>
          <w:p w14:paraId="47532679">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90.00</w:t>
            </w:r>
            <w:r>
              <w:rPr>
                <w:rFonts w:hint="eastAsia" w:ascii="Times New Roman" w:hAnsi="Times New Roman" w:eastAsia="宋体" w:cs="Times New Roman"/>
                <w:color w:val="auto"/>
                <w:kern w:val="2"/>
                <w:sz w:val="21"/>
                <w:szCs w:val="21"/>
                <w:highlight w:val="none"/>
                <w:lang w:bidi="ar"/>
              </w:rPr>
              <w:t>%</w:t>
            </w:r>
          </w:p>
        </w:tc>
      </w:tr>
    </w:tbl>
    <w:p w14:paraId="23E92307">
      <w:pPr>
        <w:pageBreakBefore w:val="0"/>
        <w:kinsoku/>
        <w:wordWrap/>
        <w:overflowPunct/>
        <w:topLinePunct w:val="0"/>
        <w:autoSpaceDE/>
        <w:autoSpaceDN/>
        <w:bidi w:val="0"/>
        <w:snapToGrid w:val="0"/>
        <w:spacing w:line="360" w:lineRule="auto"/>
        <w:ind w:firstLine="422"/>
        <w:rPr>
          <w:rFonts w:ascii="Times New Roman" w:hAnsi="Times New Roman" w:eastAsia="宋体" w:cs="Times New Roman"/>
          <w:b/>
          <w:bCs/>
          <w:color w:val="auto"/>
          <w:highlight w:val="none"/>
        </w:rPr>
      </w:pPr>
    </w:p>
    <w:p w14:paraId="05C8186D">
      <w:pPr>
        <w:pageBreakBefore w:val="0"/>
        <w:kinsoku/>
        <w:wordWrap/>
        <w:overflowPunct/>
        <w:topLinePunct w:val="0"/>
        <w:autoSpaceDE/>
        <w:autoSpaceDN/>
        <w:bidi w:val="0"/>
        <w:snapToGrid w:val="0"/>
        <w:spacing w:line="360" w:lineRule="auto"/>
        <w:ind w:firstLine="422"/>
        <w:rPr>
          <w:rFonts w:ascii="Times New Roman" w:hAnsi="Times New Roman" w:eastAsia="宋体" w:cs="Times New Roman"/>
          <w:color w:val="auto"/>
          <w:highlight w:val="none"/>
        </w:rPr>
      </w:pPr>
      <w:r>
        <w:rPr>
          <w:rFonts w:ascii="Times New Roman" w:hAnsi="Times New Roman" w:eastAsia="宋体" w:cs="Times New Roman"/>
          <w:b/>
          <w:bCs/>
          <w:color w:val="auto"/>
          <w:highlight w:val="none"/>
        </w:rPr>
        <w:t>指标得分分析：</w:t>
      </w:r>
    </w:p>
    <w:p w14:paraId="5FE92A17">
      <w:pPr>
        <w:spacing w:line="360" w:lineRule="auto"/>
        <w:ind w:firstLine="422"/>
        <w:rPr>
          <w:rFonts w:hint="default" w:ascii="Times New Roman" w:hAnsi="Times New Roman" w:eastAsia="宋体" w:cs="Times New Roman"/>
          <w:b/>
          <w:bCs/>
          <w:color w:val="auto"/>
          <w:highlight w:val="none"/>
        </w:rPr>
      </w:pPr>
      <w:bookmarkStart w:id="95" w:name="_Toc1416196209"/>
      <w:r>
        <w:rPr>
          <w:rFonts w:hint="default" w:ascii="Times New Roman" w:hAnsi="Times New Roman" w:eastAsia="宋体" w:cs="Times New Roman"/>
          <w:b/>
          <w:bCs/>
          <w:color w:val="auto"/>
          <w:highlight w:val="none"/>
        </w:rPr>
        <w:t>（1）</w:t>
      </w:r>
      <w:r>
        <w:rPr>
          <w:rFonts w:hint="default" w:ascii="Times New Roman" w:hAnsi="Times New Roman" w:eastAsia="宋体" w:cs="Times New Roman"/>
          <w:b/>
          <w:bCs/>
          <w:color w:val="auto"/>
          <w:szCs w:val="21"/>
          <w:highlight w:val="none"/>
        </w:rPr>
        <w:t>C11</w:t>
      </w:r>
      <w:r>
        <w:rPr>
          <w:rFonts w:hint="eastAsia" w:ascii="Times New Roman" w:hAnsi="Times New Roman" w:eastAsia="宋体" w:cs="Times New Roman"/>
          <w:b/>
          <w:bCs/>
          <w:color w:val="auto"/>
          <w:szCs w:val="21"/>
          <w:highlight w:val="none"/>
          <w:lang w:eastAsia="zh-CN"/>
        </w:rPr>
        <w:t>农村公路养护里程</w:t>
      </w:r>
      <w:r>
        <w:rPr>
          <w:rFonts w:hint="default" w:ascii="Times New Roman" w:hAnsi="Times New Roman" w:eastAsia="宋体" w:cs="Times New Roman"/>
          <w:b/>
          <w:bCs/>
          <w:color w:val="auto"/>
          <w:highlight w:val="none"/>
          <w:lang w:val="en-US" w:eastAsia="zh-CN"/>
        </w:rPr>
        <w:t>指标</w:t>
      </w:r>
      <w:r>
        <w:rPr>
          <w:rFonts w:hint="default" w:ascii="Times New Roman" w:hAnsi="Times New Roman" w:eastAsia="宋体" w:cs="Times New Roman"/>
          <w:b/>
          <w:bCs/>
          <w:color w:val="auto"/>
          <w:highlight w:val="none"/>
        </w:rPr>
        <w:t>：</w:t>
      </w:r>
    </w:p>
    <w:p w14:paraId="758B54FB">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rPr>
        <w:t>经查证《建设项目施工合同》</w:t>
      </w:r>
      <w:r>
        <w:rPr>
          <w:rFonts w:hint="default" w:ascii="Times New Roman" w:hAnsi="Times New Roman" w:eastAsia="宋体" w:cs="Times New Roman"/>
          <w:color w:val="auto"/>
          <w:highlight w:val="none"/>
          <w:lang w:val="en-US" w:eastAsia="zh-CN"/>
        </w:rPr>
        <w:t>《公路工程交工验收证书》</w:t>
      </w:r>
      <w:r>
        <w:rPr>
          <w:rFonts w:hint="default" w:ascii="Times New Roman" w:hAnsi="Times New Roman" w:eastAsia="宋体" w:cs="Times New Roman"/>
          <w:color w:val="auto"/>
          <w:highlight w:val="none"/>
        </w:rPr>
        <w:t>等资料，</w:t>
      </w:r>
      <w:r>
        <w:rPr>
          <w:rFonts w:hint="eastAsia" w:ascii="Times New Roman" w:hAnsi="Times New Roman" w:eastAsia="宋体" w:cs="Times New Roman"/>
          <w:color w:val="auto"/>
          <w:highlight w:val="none"/>
          <w:lang w:eastAsia="zh-CN"/>
        </w:rPr>
        <w:t>伊宁县</w:t>
      </w:r>
      <w:r>
        <w:rPr>
          <w:rFonts w:hint="eastAsia" w:ascii="Times New Roman" w:hAnsi="Times New Roman" w:eastAsia="宋体" w:cs="Times New Roman"/>
          <w:color w:val="auto"/>
          <w:highlight w:val="none"/>
          <w:lang w:val="en-US" w:eastAsia="zh-CN"/>
        </w:rPr>
        <w:t>成品油税费农村公路日常养护项目</w:t>
      </w:r>
      <w:r>
        <w:rPr>
          <w:rFonts w:hint="eastAsia"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计划</w:t>
      </w:r>
      <w:r>
        <w:rPr>
          <w:rFonts w:hint="eastAsia" w:ascii="Times New Roman" w:hAnsi="Times New Roman" w:eastAsia="宋体" w:cs="Times New Roman"/>
          <w:color w:val="auto"/>
          <w:highlight w:val="none"/>
          <w:lang w:val="en-US" w:eastAsia="zh-CN"/>
        </w:rPr>
        <w:t>养护</w:t>
      </w:r>
      <w:r>
        <w:rPr>
          <w:rFonts w:hint="eastAsia" w:ascii="Times New Roman" w:hAnsi="Times New Roman" w:eastAsia="宋体" w:cs="Times New Roman"/>
          <w:color w:val="auto"/>
          <w:kern w:val="0"/>
          <w:sz w:val="20"/>
          <w:szCs w:val="20"/>
          <w:highlight w:val="none"/>
          <w:lang w:eastAsia="zh-CN" w:bidi="ar"/>
        </w:rPr>
        <w:t>农村公路养护里程</w:t>
      </w:r>
      <w:r>
        <w:rPr>
          <w:rFonts w:hint="eastAsia" w:eastAsia="宋体" w:cs="Times New Roman"/>
          <w:color w:val="auto"/>
          <w:highlight w:val="none"/>
          <w:lang w:val="en-US" w:eastAsia="zh-CN"/>
        </w:rPr>
        <w:t>214.2</w:t>
      </w:r>
      <w:r>
        <w:rPr>
          <w:rFonts w:hint="eastAsia" w:ascii="Times New Roman" w:hAnsi="Times New Roman" w:eastAsia="宋体" w:cs="Times New Roman"/>
          <w:color w:val="auto"/>
          <w:highlight w:val="none"/>
          <w:lang w:val="en-US" w:eastAsia="zh-CN"/>
        </w:rPr>
        <w:t>公里，</w:t>
      </w:r>
      <w:r>
        <w:rPr>
          <w:rFonts w:hint="default" w:ascii="Times New Roman" w:hAnsi="Times New Roman" w:eastAsia="宋体" w:cs="Times New Roman"/>
          <w:color w:val="auto"/>
          <w:highlight w:val="none"/>
          <w:lang w:val="en-US" w:eastAsia="zh-CN"/>
        </w:rPr>
        <w:t>项目</w:t>
      </w:r>
      <w:r>
        <w:rPr>
          <w:rFonts w:hint="default" w:ascii="Times New Roman" w:hAnsi="Times New Roman" w:eastAsia="宋体" w:cs="Times New Roman"/>
          <w:color w:val="auto"/>
          <w:highlight w:val="none"/>
        </w:rPr>
        <w:t>实际</w:t>
      </w:r>
      <w:r>
        <w:rPr>
          <w:rFonts w:hint="eastAsia" w:ascii="Times New Roman" w:hAnsi="Times New Roman" w:eastAsia="宋体" w:cs="Times New Roman"/>
          <w:color w:val="auto"/>
          <w:highlight w:val="none"/>
          <w:lang w:val="en-US" w:eastAsia="zh-CN"/>
        </w:rPr>
        <w:t>养护</w:t>
      </w:r>
      <w:r>
        <w:rPr>
          <w:rFonts w:hint="eastAsia" w:ascii="Times New Roman" w:hAnsi="Times New Roman" w:eastAsia="宋体" w:cs="Times New Roman"/>
          <w:color w:val="auto"/>
          <w:kern w:val="0"/>
          <w:sz w:val="20"/>
          <w:szCs w:val="20"/>
          <w:highlight w:val="none"/>
          <w:lang w:eastAsia="zh-CN" w:bidi="ar"/>
        </w:rPr>
        <w:t>农村公路养护里程</w:t>
      </w:r>
      <w:r>
        <w:rPr>
          <w:rFonts w:hint="eastAsia" w:eastAsia="宋体" w:cs="Times New Roman"/>
          <w:color w:val="auto"/>
          <w:highlight w:val="none"/>
          <w:lang w:val="en-US" w:eastAsia="zh-CN"/>
        </w:rPr>
        <w:t>214.2</w:t>
      </w:r>
      <w:r>
        <w:rPr>
          <w:rFonts w:hint="eastAsia" w:ascii="Times New Roman" w:hAnsi="Times New Roman" w:eastAsia="宋体" w:cs="Times New Roman"/>
          <w:color w:val="auto"/>
          <w:highlight w:val="none"/>
          <w:lang w:val="en-US" w:eastAsia="zh-CN"/>
        </w:rPr>
        <w:t>公里</w:t>
      </w:r>
      <w:r>
        <w:rPr>
          <w:rFonts w:hint="default" w:ascii="Times New Roman" w:hAnsi="Times New Roman" w:eastAsia="宋体" w:cs="Times New Roman"/>
          <w:color w:val="auto"/>
          <w:highlight w:val="none"/>
        </w:rPr>
        <w:t>。根据评分标准</w:t>
      </w:r>
      <w:r>
        <w:rPr>
          <w:rFonts w:hint="eastAsia" w:ascii="Times New Roman" w:hAnsi="Times New Roman" w:eastAsia="宋体" w:cs="Times New Roman"/>
          <w:color w:val="auto"/>
          <w:highlight w:val="none"/>
          <w:lang w:eastAsia="zh-CN"/>
        </w:rPr>
        <w:t>，</w:t>
      </w:r>
      <w:r>
        <w:rPr>
          <w:rFonts w:hint="default" w:ascii="Times New Roman" w:hAnsi="Times New Roman" w:eastAsia="宋体" w:cs="Times New Roman"/>
          <w:color w:val="auto"/>
          <w:szCs w:val="21"/>
          <w:highlight w:val="none"/>
        </w:rPr>
        <w:t>得满分。</w:t>
      </w:r>
    </w:p>
    <w:p w14:paraId="324C9913">
      <w:pPr>
        <w:snapToGrid w:val="0"/>
        <w:spacing w:line="360" w:lineRule="auto"/>
        <w:ind w:firstLine="42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该指标满分为</w:t>
      </w:r>
      <w:r>
        <w:rPr>
          <w:rFonts w:hint="eastAsia" w:ascii="Times New Roman" w:hAnsi="Times New Roman" w:eastAsia="宋体" w:cs="Times New Roman"/>
          <w:color w:val="auto"/>
          <w:highlight w:val="none"/>
          <w:lang w:val="en-US" w:eastAsia="zh-CN"/>
        </w:rPr>
        <w:t>7</w:t>
      </w:r>
      <w:r>
        <w:rPr>
          <w:rFonts w:hint="default" w:ascii="Times New Roman" w:hAnsi="Times New Roman" w:eastAsia="宋体" w:cs="Times New Roman"/>
          <w:color w:val="auto"/>
          <w:szCs w:val="21"/>
          <w:highlight w:val="none"/>
        </w:rPr>
        <w:t>.00</w:t>
      </w:r>
      <w:r>
        <w:rPr>
          <w:rFonts w:hint="default" w:ascii="Times New Roman" w:hAnsi="Times New Roman" w:eastAsia="宋体" w:cs="Times New Roman"/>
          <w:color w:val="auto"/>
          <w:highlight w:val="none"/>
        </w:rPr>
        <w:t>分，根据评分标准得</w:t>
      </w:r>
      <w:r>
        <w:rPr>
          <w:rFonts w:hint="eastAsia" w:ascii="Times New Roman" w:hAnsi="Times New Roman" w:eastAsia="宋体" w:cs="Times New Roman"/>
          <w:color w:val="auto"/>
          <w:highlight w:val="none"/>
          <w:lang w:val="en-US" w:eastAsia="zh-CN"/>
        </w:rPr>
        <w:t>7</w:t>
      </w:r>
      <w:r>
        <w:rPr>
          <w:rFonts w:hint="default" w:ascii="Times New Roman" w:hAnsi="Times New Roman" w:eastAsia="宋体" w:cs="Times New Roman"/>
          <w:color w:val="auto"/>
          <w:szCs w:val="21"/>
          <w:highlight w:val="none"/>
        </w:rPr>
        <w:t>.00</w:t>
      </w:r>
      <w:r>
        <w:rPr>
          <w:rFonts w:hint="default" w:ascii="Times New Roman" w:hAnsi="Times New Roman" w:eastAsia="宋体" w:cs="Times New Roman"/>
          <w:color w:val="auto"/>
          <w:highlight w:val="none"/>
        </w:rPr>
        <w:t>分。</w:t>
      </w:r>
    </w:p>
    <w:p w14:paraId="4DA7A9BD">
      <w:pPr>
        <w:spacing w:line="360" w:lineRule="auto"/>
        <w:ind w:firstLine="422"/>
        <w:rPr>
          <w:rFonts w:hint="default" w:ascii="Times New Roman" w:hAnsi="Times New Roman" w:eastAsia="宋体" w:cs="Times New Roman"/>
          <w:b/>
          <w:bCs/>
          <w:color w:val="auto"/>
          <w:highlight w:val="none"/>
        </w:rPr>
      </w:pPr>
      <w:r>
        <w:rPr>
          <w:rFonts w:hint="default" w:ascii="Times New Roman" w:hAnsi="Times New Roman" w:eastAsia="宋体" w:cs="Times New Roman"/>
          <w:b/>
          <w:bCs/>
          <w:color w:val="auto"/>
          <w:highlight w:val="none"/>
        </w:rPr>
        <w:t>（2）</w:t>
      </w:r>
      <w:r>
        <w:rPr>
          <w:rFonts w:hint="default" w:ascii="Times New Roman" w:hAnsi="Times New Roman" w:eastAsia="宋体" w:cs="Times New Roman"/>
          <w:b/>
          <w:bCs/>
          <w:color w:val="auto"/>
          <w:szCs w:val="21"/>
          <w:highlight w:val="none"/>
        </w:rPr>
        <w:t>C12养护公路条数</w:t>
      </w:r>
      <w:r>
        <w:rPr>
          <w:rFonts w:hint="default" w:ascii="Times New Roman" w:hAnsi="Times New Roman" w:eastAsia="宋体" w:cs="Times New Roman"/>
          <w:b/>
          <w:bCs/>
          <w:color w:val="auto"/>
          <w:highlight w:val="none"/>
          <w:lang w:val="en-US" w:eastAsia="zh-CN"/>
        </w:rPr>
        <w:t>指标</w:t>
      </w:r>
      <w:r>
        <w:rPr>
          <w:rFonts w:hint="default" w:ascii="Times New Roman" w:hAnsi="Times New Roman" w:eastAsia="宋体" w:cs="Times New Roman"/>
          <w:b/>
          <w:bCs/>
          <w:color w:val="auto"/>
          <w:highlight w:val="none"/>
        </w:rPr>
        <w:t>：</w:t>
      </w:r>
    </w:p>
    <w:p w14:paraId="69511539">
      <w:pPr>
        <w:spacing w:line="360" w:lineRule="auto"/>
        <w:ind w:firstLine="420"/>
        <w:rPr>
          <w:rFonts w:hint="default" w:ascii="Times New Roman" w:hAnsi="Times New Roman" w:eastAsia="宋体" w:cs="Times New Roman"/>
          <w:color w:val="auto"/>
          <w:highlight w:val="none"/>
        </w:rPr>
      </w:pPr>
      <w:r>
        <w:rPr>
          <w:rFonts w:hint="eastAsia" w:ascii="Times New Roman" w:hAnsi="Times New Roman" w:eastAsia="宋体" w:cs="Times New Roman"/>
          <w:color w:val="auto"/>
          <w:szCs w:val="21"/>
          <w:highlight w:val="none"/>
          <w:lang w:val="en-US" w:eastAsia="zh-CN"/>
        </w:rPr>
        <w:t>经查阅该项目《公路工程交工验收证书》《工程竣工结算审核报告》，该项目实际已完成伊宁县27条其中：</w:t>
      </w:r>
      <w:r>
        <w:rPr>
          <w:rFonts w:hint="eastAsia" w:ascii="Times New Roman" w:hAnsi="Times New Roman" w:eastAsia="宋体" w:cs="Times New Roman"/>
          <w:color w:val="auto"/>
          <w:highlight w:val="none"/>
        </w:rPr>
        <w:t>县道</w:t>
      </w:r>
      <w:r>
        <w:rPr>
          <w:rFonts w:hint="eastAsia" w:ascii="Times New Roman" w:hAnsi="Times New Roman" w:eastAsia="宋体" w:cs="Times New Roman"/>
          <w:color w:val="auto"/>
          <w:highlight w:val="none"/>
          <w:lang w:val="en-US" w:eastAsia="zh-CN"/>
        </w:rPr>
        <w:t>6</w:t>
      </w:r>
      <w:r>
        <w:rPr>
          <w:rFonts w:hint="eastAsia" w:ascii="Times New Roman" w:hAnsi="Times New Roman" w:eastAsia="宋体" w:cs="Times New Roman"/>
          <w:color w:val="auto"/>
          <w:highlight w:val="none"/>
        </w:rPr>
        <w:t>条</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乡道8条</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村道13条</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szCs w:val="21"/>
          <w:highlight w:val="none"/>
          <w:lang w:val="en-US" w:eastAsia="zh-CN"/>
        </w:rPr>
        <w:t>县乡村道路路基路面日常养护工作</w:t>
      </w:r>
      <w:r>
        <w:rPr>
          <w:rFonts w:hint="default" w:ascii="Times New Roman" w:hAnsi="Times New Roman" w:eastAsia="宋体" w:cs="Times New Roman"/>
          <w:color w:val="auto"/>
          <w:szCs w:val="21"/>
          <w:highlight w:val="none"/>
        </w:rPr>
        <w:t>。根据评分标准，实际完成值等于年度指标值，得满分。</w:t>
      </w:r>
    </w:p>
    <w:p w14:paraId="0922E825">
      <w:pPr>
        <w:spacing w:line="360" w:lineRule="auto"/>
        <w:ind w:firstLine="42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该指标满分为</w:t>
      </w:r>
      <w:r>
        <w:rPr>
          <w:rFonts w:hint="eastAsia" w:ascii="Times New Roman" w:hAnsi="Times New Roman" w:eastAsia="宋体" w:cs="Times New Roman"/>
          <w:color w:val="auto"/>
          <w:highlight w:val="none"/>
          <w:lang w:val="en-US" w:eastAsia="zh-CN"/>
        </w:rPr>
        <w:t>6</w:t>
      </w:r>
      <w:r>
        <w:rPr>
          <w:rFonts w:hint="default" w:ascii="Times New Roman" w:hAnsi="Times New Roman" w:eastAsia="宋体" w:cs="Times New Roman"/>
          <w:color w:val="auto"/>
          <w:szCs w:val="21"/>
          <w:highlight w:val="none"/>
        </w:rPr>
        <w:t>.00</w:t>
      </w:r>
      <w:r>
        <w:rPr>
          <w:rFonts w:hint="default" w:ascii="Times New Roman" w:hAnsi="Times New Roman" w:eastAsia="宋体" w:cs="Times New Roman"/>
          <w:color w:val="auto"/>
          <w:highlight w:val="none"/>
        </w:rPr>
        <w:t>分，根据评分标准得</w:t>
      </w:r>
      <w:r>
        <w:rPr>
          <w:rFonts w:hint="eastAsia" w:ascii="Times New Roman" w:hAnsi="Times New Roman" w:eastAsia="宋体" w:cs="Times New Roman"/>
          <w:color w:val="auto"/>
          <w:highlight w:val="none"/>
          <w:lang w:val="en-US" w:eastAsia="zh-CN"/>
        </w:rPr>
        <w:t>6</w:t>
      </w:r>
      <w:r>
        <w:rPr>
          <w:rFonts w:hint="default" w:ascii="Times New Roman" w:hAnsi="Times New Roman" w:eastAsia="宋体" w:cs="Times New Roman"/>
          <w:color w:val="auto"/>
          <w:szCs w:val="21"/>
          <w:highlight w:val="none"/>
        </w:rPr>
        <w:t>.00</w:t>
      </w:r>
      <w:r>
        <w:rPr>
          <w:rFonts w:hint="default" w:ascii="Times New Roman" w:hAnsi="Times New Roman" w:eastAsia="宋体" w:cs="Times New Roman"/>
          <w:color w:val="auto"/>
          <w:highlight w:val="none"/>
        </w:rPr>
        <w:t>分。</w:t>
      </w:r>
    </w:p>
    <w:p w14:paraId="2F3D4C6C">
      <w:pPr>
        <w:spacing w:line="360" w:lineRule="auto"/>
        <w:ind w:firstLine="422"/>
        <w:rPr>
          <w:rFonts w:hint="default" w:ascii="Times New Roman" w:hAnsi="Times New Roman" w:eastAsia="宋体" w:cs="Times New Roman"/>
          <w:b/>
          <w:bCs/>
          <w:color w:val="auto"/>
          <w:highlight w:val="none"/>
        </w:rPr>
      </w:pPr>
      <w:r>
        <w:rPr>
          <w:rFonts w:hint="default" w:ascii="Times New Roman" w:hAnsi="Times New Roman" w:eastAsia="宋体" w:cs="Times New Roman"/>
          <w:b/>
          <w:bCs/>
          <w:color w:val="auto"/>
          <w:highlight w:val="none"/>
        </w:rPr>
        <w:t>（</w:t>
      </w:r>
      <w:r>
        <w:rPr>
          <w:rFonts w:hint="eastAsia" w:ascii="Times New Roman" w:hAnsi="Times New Roman" w:eastAsia="宋体" w:cs="Times New Roman"/>
          <w:b/>
          <w:bCs/>
          <w:color w:val="auto"/>
          <w:highlight w:val="none"/>
          <w:lang w:val="en-US" w:eastAsia="zh-CN"/>
        </w:rPr>
        <w:t>3</w:t>
      </w:r>
      <w:r>
        <w:rPr>
          <w:rFonts w:hint="default" w:ascii="Times New Roman" w:hAnsi="Times New Roman" w:eastAsia="宋体" w:cs="Times New Roman"/>
          <w:b/>
          <w:bCs/>
          <w:color w:val="auto"/>
          <w:highlight w:val="none"/>
        </w:rPr>
        <w:t>）</w:t>
      </w:r>
      <w:r>
        <w:rPr>
          <w:rFonts w:hint="default" w:ascii="Times New Roman" w:hAnsi="Times New Roman" w:eastAsia="宋体" w:cs="Times New Roman"/>
          <w:b/>
          <w:bCs/>
          <w:color w:val="auto"/>
          <w:szCs w:val="21"/>
          <w:highlight w:val="none"/>
        </w:rPr>
        <w:t>C2</w:t>
      </w:r>
      <w:r>
        <w:rPr>
          <w:rFonts w:hint="eastAsia" w:ascii="Times New Roman" w:hAnsi="Times New Roman" w:eastAsia="宋体" w:cs="Times New Roman"/>
          <w:b/>
          <w:bCs/>
          <w:color w:val="auto"/>
          <w:szCs w:val="21"/>
          <w:highlight w:val="none"/>
          <w:lang w:val="en-US" w:eastAsia="zh-CN"/>
        </w:rPr>
        <w:t>1</w:t>
      </w:r>
      <w:r>
        <w:rPr>
          <w:rFonts w:hint="eastAsia" w:ascii="Times New Roman" w:hAnsi="Times New Roman" w:eastAsia="宋体" w:cs="Times New Roman"/>
          <w:b/>
          <w:bCs/>
          <w:color w:val="auto"/>
          <w:szCs w:val="21"/>
          <w:highlight w:val="none"/>
          <w:lang w:eastAsia="zh-CN"/>
        </w:rPr>
        <w:t>公路养护工程合格率</w:t>
      </w:r>
      <w:r>
        <w:rPr>
          <w:rFonts w:hint="default" w:ascii="Times New Roman" w:hAnsi="Times New Roman" w:eastAsia="宋体" w:cs="Times New Roman"/>
          <w:b/>
          <w:bCs/>
          <w:color w:val="auto"/>
          <w:highlight w:val="none"/>
          <w:lang w:val="en-US" w:eastAsia="zh-CN"/>
        </w:rPr>
        <w:t>指标</w:t>
      </w:r>
      <w:r>
        <w:rPr>
          <w:rFonts w:hint="default" w:ascii="Times New Roman" w:hAnsi="Times New Roman" w:eastAsia="宋体" w:cs="Times New Roman"/>
          <w:b/>
          <w:bCs/>
          <w:color w:val="auto"/>
          <w:highlight w:val="none"/>
        </w:rPr>
        <w:t>：</w:t>
      </w:r>
    </w:p>
    <w:p w14:paraId="34EA877F">
      <w:pPr>
        <w:spacing w:line="360" w:lineRule="auto"/>
        <w:ind w:firstLine="420"/>
        <w:rPr>
          <w:rFonts w:hint="default"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rPr>
        <w:t>经查看</w:t>
      </w:r>
      <w:r>
        <w:rPr>
          <w:rFonts w:hint="eastAsia" w:ascii="Times New Roman" w:hAnsi="Times New Roman" w:eastAsia="宋体" w:cs="Times New Roman"/>
          <w:color w:val="auto"/>
          <w:szCs w:val="21"/>
          <w:highlight w:val="none"/>
          <w:lang w:val="en-US" w:eastAsia="zh-CN"/>
        </w:rPr>
        <w:t>《公路工程交工验收证书》</w:t>
      </w:r>
      <w:r>
        <w:rPr>
          <w:rFonts w:hint="default"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伊宁县2024年农村公路日常养护项目工程</w:t>
      </w:r>
      <w:r>
        <w:rPr>
          <w:rFonts w:hint="default" w:ascii="Times New Roman" w:hAnsi="Times New Roman" w:eastAsia="宋体" w:cs="Times New Roman"/>
          <w:color w:val="auto"/>
          <w:highlight w:val="none"/>
        </w:rPr>
        <w:t>竣工</w:t>
      </w:r>
      <w:r>
        <w:rPr>
          <w:rFonts w:hint="eastAsia" w:ascii="Times New Roman" w:hAnsi="Times New Roman" w:eastAsia="宋体" w:cs="Times New Roman"/>
          <w:color w:val="auto"/>
          <w:highlight w:val="none"/>
          <w:lang w:val="en-US" w:eastAsia="zh-CN"/>
        </w:rPr>
        <w:t>结算</w:t>
      </w:r>
      <w:r>
        <w:rPr>
          <w:rFonts w:hint="default" w:ascii="Times New Roman" w:hAnsi="Times New Roman" w:eastAsia="宋体" w:cs="Times New Roman"/>
          <w:color w:val="auto"/>
          <w:highlight w:val="none"/>
        </w:rPr>
        <w:t>审核报告》（</w:t>
      </w:r>
      <w:r>
        <w:rPr>
          <w:rFonts w:hint="eastAsia" w:ascii="Times New Roman" w:hAnsi="Times New Roman" w:eastAsia="宋体" w:cs="Times New Roman"/>
          <w:color w:val="auto"/>
          <w:highlight w:val="none"/>
          <w:lang w:val="en-US" w:eastAsia="zh-CN"/>
        </w:rPr>
        <w:t>惠文伊结</w:t>
      </w:r>
      <w:r>
        <w:rPr>
          <w:rFonts w:hint="default" w:ascii="Times New Roman" w:hAnsi="Times New Roman" w:eastAsia="宋体" w:cs="Times New Roman"/>
          <w:color w:val="auto"/>
          <w:highlight w:val="none"/>
        </w:rPr>
        <w:t>〔2024〕</w:t>
      </w:r>
      <w:r>
        <w:rPr>
          <w:rFonts w:hint="eastAsia" w:ascii="Times New Roman" w:hAnsi="Times New Roman" w:eastAsia="宋体" w:cs="Times New Roman"/>
          <w:color w:val="auto"/>
          <w:highlight w:val="none"/>
          <w:lang w:val="en-US" w:eastAsia="zh-CN"/>
        </w:rPr>
        <w:t>10-131</w:t>
      </w:r>
      <w:r>
        <w:rPr>
          <w:rFonts w:hint="default" w:ascii="Times New Roman" w:hAnsi="Times New Roman" w:eastAsia="宋体" w:cs="Times New Roman"/>
          <w:color w:val="auto"/>
          <w:highlight w:val="none"/>
        </w:rPr>
        <w:t>号）</w:t>
      </w:r>
      <w:r>
        <w:rPr>
          <w:rFonts w:hint="eastAsia" w:ascii="Times New Roman" w:hAnsi="Times New Roman" w:eastAsia="宋体" w:cs="Times New Roman"/>
          <w:color w:val="auto"/>
          <w:szCs w:val="21"/>
          <w:highlight w:val="none"/>
        </w:rPr>
        <w:t>，</w:t>
      </w:r>
      <w:r>
        <w:rPr>
          <w:rFonts w:hint="eastAsia" w:ascii="Times New Roman" w:hAnsi="Times New Roman" w:eastAsia="宋体" w:cs="Times New Roman"/>
          <w:color w:val="auto"/>
          <w:szCs w:val="21"/>
          <w:highlight w:val="none"/>
          <w:lang w:val="en-US" w:eastAsia="zh-CN"/>
        </w:rPr>
        <w:t>项目于2024年9月9日交工验收</w:t>
      </w:r>
      <w:r>
        <w:rPr>
          <w:rFonts w:hint="eastAsia" w:ascii="Times New Roman" w:hAnsi="Times New Roman" w:eastAsia="宋体" w:cs="Times New Roman"/>
          <w:color w:val="auto"/>
          <w:szCs w:val="21"/>
          <w:highlight w:val="none"/>
          <w:lang w:eastAsia="zh-CN"/>
        </w:rPr>
        <w:t>，</w:t>
      </w:r>
      <w:r>
        <w:rPr>
          <w:rFonts w:hint="eastAsia" w:ascii="Times New Roman" w:hAnsi="Times New Roman" w:eastAsia="宋体" w:cs="Times New Roman"/>
          <w:color w:val="auto"/>
          <w:szCs w:val="21"/>
          <w:highlight w:val="none"/>
          <w:lang w:val="en-US" w:eastAsia="zh-CN"/>
        </w:rPr>
        <w:t>经</w:t>
      </w:r>
      <w:r>
        <w:rPr>
          <w:rFonts w:hint="eastAsia" w:ascii="Times New Roman" w:hAnsi="Times New Roman" w:eastAsia="宋体" w:cs="Times New Roman"/>
          <w:color w:val="auto"/>
          <w:szCs w:val="21"/>
          <w:highlight w:val="none"/>
        </w:rPr>
        <w:t>建设单位、设计单位、监理单位</w:t>
      </w:r>
      <w:r>
        <w:rPr>
          <w:rFonts w:hint="eastAsia" w:ascii="Times New Roman" w:hAnsi="Times New Roman" w:eastAsia="宋体" w:cs="Times New Roman"/>
          <w:color w:val="auto"/>
          <w:szCs w:val="21"/>
          <w:highlight w:val="none"/>
          <w:lang w:eastAsia="zh-CN"/>
        </w:rPr>
        <w:t>、</w:t>
      </w:r>
      <w:r>
        <w:rPr>
          <w:rFonts w:hint="eastAsia" w:ascii="Times New Roman" w:hAnsi="Times New Roman" w:eastAsia="宋体" w:cs="Times New Roman"/>
          <w:color w:val="auto"/>
          <w:szCs w:val="21"/>
          <w:highlight w:val="none"/>
        </w:rPr>
        <w:t>施工单位确认</w:t>
      </w:r>
      <w:r>
        <w:rPr>
          <w:rFonts w:hint="eastAsia" w:ascii="Times New Roman" w:hAnsi="Times New Roman" w:eastAsia="宋体" w:cs="Times New Roman"/>
          <w:color w:val="auto"/>
          <w:szCs w:val="21"/>
          <w:highlight w:val="none"/>
          <w:lang w:val="en-US" w:eastAsia="zh-CN"/>
        </w:rPr>
        <w:t>验收结果，验收结果为“工程质量验收合格”</w:t>
      </w:r>
      <w:r>
        <w:rPr>
          <w:rFonts w:hint="eastAsia" w:ascii="Times New Roman" w:hAnsi="Times New Roman" w:eastAsia="宋体" w:cs="Times New Roman"/>
          <w:color w:val="auto"/>
          <w:szCs w:val="21"/>
          <w:highlight w:val="none"/>
          <w:lang w:eastAsia="zh-CN"/>
        </w:rPr>
        <w:t>。公路养护工程合格率</w:t>
      </w:r>
      <w:r>
        <w:rPr>
          <w:rFonts w:hint="eastAsia" w:ascii="Times New Roman" w:hAnsi="Times New Roman" w:eastAsia="宋体" w:cs="Times New Roman"/>
          <w:color w:val="auto"/>
          <w:szCs w:val="21"/>
          <w:highlight w:val="none"/>
          <w:lang w:val="en-US" w:eastAsia="zh-CN"/>
        </w:rPr>
        <w:t>为100.00%。</w:t>
      </w:r>
    </w:p>
    <w:p w14:paraId="49AF2FD8">
      <w:pPr>
        <w:spacing w:line="360" w:lineRule="auto"/>
        <w:ind w:firstLine="420"/>
        <w:rPr>
          <w:rFonts w:hint="eastAsia"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该指标满分为</w:t>
      </w:r>
      <w:r>
        <w:rPr>
          <w:rFonts w:hint="eastAsia" w:ascii="Times New Roman" w:hAnsi="Times New Roman" w:eastAsia="宋体" w:cs="Times New Roman"/>
          <w:color w:val="auto"/>
          <w:szCs w:val="21"/>
          <w:highlight w:val="none"/>
          <w:lang w:val="en-US" w:eastAsia="zh-CN"/>
        </w:rPr>
        <w:t>6</w:t>
      </w:r>
      <w:r>
        <w:rPr>
          <w:rFonts w:hint="eastAsia" w:ascii="Times New Roman" w:hAnsi="Times New Roman" w:eastAsia="宋体" w:cs="Times New Roman"/>
          <w:color w:val="auto"/>
          <w:szCs w:val="21"/>
          <w:highlight w:val="none"/>
        </w:rPr>
        <w:t>.00分，根据评分标准得</w:t>
      </w:r>
      <w:r>
        <w:rPr>
          <w:rFonts w:hint="eastAsia" w:ascii="Times New Roman" w:hAnsi="Times New Roman" w:eastAsia="宋体" w:cs="Times New Roman"/>
          <w:color w:val="auto"/>
          <w:szCs w:val="21"/>
          <w:highlight w:val="none"/>
          <w:lang w:val="en-US" w:eastAsia="zh-CN"/>
        </w:rPr>
        <w:t>6</w:t>
      </w:r>
      <w:r>
        <w:rPr>
          <w:rFonts w:hint="eastAsia" w:ascii="Times New Roman" w:hAnsi="Times New Roman" w:eastAsia="宋体" w:cs="Times New Roman"/>
          <w:color w:val="auto"/>
          <w:szCs w:val="21"/>
          <w:highlight w:val="none"/>
        </w:rPr>
        <w:t>.00分。</w:t>
      </w:r>
    </w:p>
    <w:p w14:paraId="50337A94">
      <w:pPr>
        <w:spacing w:line="360" w:lineRule="auto"/>
        <w:ind w:firstLine="422"/>
        <w:rPr>
          <w:rFonts w:hint="default" w:ascii="Times New Roman" w:hAnsi="Times New Roman" w:eastAsia="宋体" w:cs="Times New Roman"/>
          <w:b/>
          <w:bCs/>
          <w:color w:val="auto"/>
          <w:highlight w:val="none"/>
        </w:rPr>
      </w:pPr>
      <w:r>
        <w:rPr>
          <w:rFonts w:hint="default" w:ascii="Times New Roman" w:hAnsi="Times New Roman" w:eastAsia="宋体" w:cs="Times New Roman"/>
          <w:b/>
          <w:bCs/>
          <w:color w:val="auto"/>
          <w:highlight w:val="none"/>
        </w:rPr>
        <w:t>（</w:t>
      </w:r>
      <w:r>
        <w:rPr>
          <w:rFonts w:hint="eastAsia" w:ascii="Times New Roman" w:hAnsi="Times New Roman" w:eastAsia="宋体" w:cs="Times New Roman"/>
          <w:b/>
          <w:bCs/>
          <w:color w:val="auto"/>
          <w:szCs w:val="21"/>
          <w:highlight w:val="none"/>
          <w:lang w:val="en-US" w:eastAsia="zh-CN"/>
        </w:rPr>
        <w:t>4</w:t>
      </w:r>
      <w:r>
        <w:rPr>
          <w:rFonts w:hint="default" w:ascii="Times New Roman" w:hAnsi="Times New Roman" w:eastAsia="宋体" w:cs="Times New Roman"/>
          <w:b/>
          <w:bCs/>
          <w:color w:val="auto"/>
          <w:szCs w:val="21"/>
          <w:highlight w:val="none"/>
        </w:rPr>
        <w:t>）C</w:t>
      </w:r>
      <w:r>
        <w:rPr>
          <w:rFonts w:hint="eastAsia" w:ascii="Times New Roman" w:hAnsi="Times New Roman" w:eastAsia="宋体" w:cs="Times New Roman"/>
          <w:b/>
          <w:bCs/>
          <w:color w:val="auto"/>
          <w:szCs w:val="21"/>
          <w:highlight w:val="none"/>
          <w:lang w:val="en-US" w:eastAsia="zh-CN"/>
        </w:rPr>
        <w:t>31项目开工及时率指标</w:t>
      </w:r>
      <w:r>
        <w:rPr>
          <w:rFonts w:hint="default" w:ascii="Times New Roman" w:hAnsi="Times New Roman" w:eastAsia="宋体" w:cs="Times New Roman"/>
          <w:b/>
          <w:bCs/>
          <w:color w:val="auto"/>
          <w:szCs w:val="21"/>
          <w:highlight w:val="none"/>
        </w:rPr>
        <w:t>：</w:t>
      </w:r>
    </w:p>
    <w:p w14:paraId="586783AC">
      <w:pPr>
        <w:pageBreakBefore w:val="0"/>
        <w:kinsoku/>
        <w:wordWrap/>
        <w:overflowPunct/>
        <w:topLinePunct w:val="0"/>
        <w:autoSpaceDE/>
        <w:autoSpaceDN/>
        <w:bidi w:val="0"/>
        <w:snapToGrid w:val="0"/>
        <w:spacing w:before="0" w:after="0" w:line="360" w:lineRule="auto"/>
        <w:ind w:firstLine="420"/>
        <w:rPr>
          <w:rFonts w:hint="default" w:ascii="Times New Roman" w:hAnsi="Times New Roman" w:eastAsia="宋体" w:cs="Times New Roman"/>
          <w:color w:val="auto"/>
          <w:highlight w:val="none"/>
        </w:rPr>
      </w:pPr>
      <w:r>
        <w:rPr>
          <w:rFonts w:hint="eastAsia" w:ascii="Times New Roman" w:hAnsi="Times New Roman" w:eastAsia="宋体" w:cs="Times New Roman"/>
          <w:color w:val="auto"/>
          <w:highlight w:val="none"/>
        </w:rPr>
        <w:t>根据</w:t>
      </w:r>
      <w:r>
        <w:rPr>
          <w:rFonts w:hint="eastAsia" w:ascii="Times New Roman" w:hAnsi="Times New Roman" w:eastAsia="宋体" w:cs="Times New Roman"/>
          <w:color w:val="auto"/>
          <w:szCs w:val="21"/>
          <w:highlight w:val="none"/>
          <w:lang w:val="en-US" w:eastAsia="zh-CN"/>
        </w:rPr>
        <w:t>《施工合同》约定承包人应按照监理人指示于6月25日开工；经查看</w:t>
      </w:r>
      <w:r>
        <w:rPr>
          <w:rFonts w:hint="default" w:ascii="Times New Roman" w:hAnsi="Times New Roman" w:eastAsia="宋体" w:cs="Times New Roman"/>
          <w:color w:val="auto"/>
          <w:highlight w:val="none"/>
        </w:rPr>
        <w:t>伊宁县农村公路建设项目执行办</w:t>
      </w:r>
      <w:r>
        <w:rPr>
          <w:rFonts w:hint="eastAsia" w:ascii="Times New Roman" w:hAnsi="Times New Roman" w:eastAsia="宋体" w:cs="Times New Roman"/>
          <w:color w:val="auto"/>
          <w:highlight w:val="none"/>
          <w:lang w:val="en-US" w:eastAsia="zh-CN"/>
        </w:rPr>
        <w:t>出具的</w:t>
      </w:r>
      <w:r>
        <w:rPr>
          <w:rFonts w:hint="default"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关于伊宁县2024年农村公路日常养护项目开工的批复</w:t>
      </w:r>
      <w:r>
        <w:rPr>
          <w:rFonts w:hint="default"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eastAsia="zh-CN"/>
        </w:rPr>
        <w:t>（伊县交项字〔2024〕14号）</w:t>
      </w:r>
      <w:r>
        <w:rPr>
          <w:rFonts w:hint="default" w:ascii="Times New Roman" w:hAnsi="Times New Roman" w:eastAsia="宋体" w:cs="Times New Roman"/>
          <w:color w:val="auto"/>
          <w:highlight w:val="none"/>
        </w:rPr>
        <w:t>资料显示，</w:t>
      </w:r>
      <w:r>
        <w:rPr>
          <w:rFonts w:hint="eastAsia" w:ascii="Times New Roman" w:hAnsi="Times New Roman" w:eastAsia="宋体" w:cs="Times New Roman"/>
          <w:color w:val="auto"/>
          <w:highlight w:val="none"/>
          <w:lang w:val="en-US" w:eastAsia="zh-CN"/>
        </w:rPr>
        <w:t>项目</w:t>
      </w:r>
      <w:r>
        <w:rPr>
          <w:rFonts w:hint="default" w:ascii="Times New Roman" w:hAnsi="Times New Roman" w:eastAsia="宋体" w:cs="Times New Roman"/>
          <w:color w:val="auto"/>
          <w:highlight w:val="none"/>
        </w:rPr>
        <w:t>实际于2024年</w:t>
      </w:r>
      <w:r>
        <w:rPr>
          <w:rFonts w:hint="eastAsia" w:ascii="Times New Roman" w:hAnsi="Times New Roman" w:eastAsia="宋体" w:cs="Times New Roman"/>
          <w:color w:val="auto"/>
          <w:szCs w:val="21"/>
          <w:highlight w:val="none"/>
          <w:lang w:val="en-US" w:eastAsia="zh-CN"/>
        </w:rPr>
        <w:t>6月25</w:t>
      </w:r>
      <w:r>
        <w:rPr>
          <w:rFonts w:hint="default" w:ascii="Times New Roman" w:hAnsi="Times New Roman" w:eastAsia="宋体" w:cs="Times New Roman"/>
          <w:color w:val="auto"/>
          <w:highlight w:val="none"/>
        </w:rPr>
        <w:t>日开工，根据评分标准，</w:t>
      </w:r>
      <w:r>
        <w:rPr>
          <w:rFonts w:hint="eastAsia" w:ascii="Times New Roman" w:hAnsi="Times New Roman" w:eastAsia="宋体" w:cs="Times New Roman"/>
          <w:color w:val="auto"/>
          <w:highlight w:val="none"/>
          <w:lang w:val="en-US" w:eastAsia="zh-CN"/>
        </w:rPr>
        <w:t>得满分</w:t>
      </w:r>
      <w:r>
        <w:rPr>
          <w:rFonts w:hint="default" w:ascii="Times New Roman" w:hAnsi="Times New Roman" w:eastAsia="宋体" w:cs="Times New Roman"/>
          <w:color w:val="auto"/>
          <w:highlight w:val="none"/>
        </w:rPr>
        <w:t>。</w:t>
      </w:r>
    </w:p>
    <w:p w14:paraId="5CBD3AA3">
      <w:pPr>
        <w:spacing w:line="360" w:lineRule="auto"/>
        <w:ind w:firstLine="420"/>
        <w:rPr>
          <w:rFonts w:hint="eastAsia"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highlight w:val="none"/>
        </w:rPr>
        <w:t>该指标满分为3.00分，根据评分标准得</w:t>
      </w:r>
      <w:r>
        <w:rPr>
          <w:rFonts w:hint="eastAsia" w:ascii="Times New Roman" w:hAnsi="Times New Roman" w:eastAsia="宋体" w:cs="Times New Roman"/>
          <w:color w:val="auto"/>
          <w:highlight w:val="none"/>
          <w:lang w:val="en-US" w:eastAsia="zh-CN"/>
        </w:rPr>
        <w:t>3</w:t>
      </w:r>
      <w:r>
        <w:rPr>
          <w:rFonts w:hint="default" w:ascii="Times New Roman" w:hAnsi="Times New Roman" w:eastAsia="宋体" w:cs="Times New Roman"/>
          <w:color w:val="auto"/>
          <w:highlight w:val="none"/>
        </w:rPr>
        <w:t>.00分。</w:t>
      </w:r>
    </w:p>
    <w:p w14:paraId="1F7CCA1E">
      <w:pPr>
        <w:spacing w:line="360" w:lineRule="auto"/>
        <w:ind w:firstLine="422"/>
        <w:rPr>
          <w:rFonts w:hint="default" w:ascii="Times New Roman" w:hAnsi="Times New Roman" w:eastAsia="宋体" w:cs="Times New Roman"/>
          <w:b/>
          <w:bCs/>
          <w:color w:val="auto"/>
          <w:highlight w:val="none"/>
        </w:rPr>
      </w:pPr>
      <w:r>
        <w:rPr>
          <w:rFonts w:hint="default" w:ascii="Times New Roman" w:hAnsi="Times New Roman" w:eastAsia="宋体" w:cs="Times New Roman"/>
          <w:b/>
          <w:bCs/>
          <w:color w:val="auto"/>
          <w:highlight w:val="none"/>
        </w:rPr>
        <w:t>（</w:t>
      </w:r>
      <w:r>
        <w:rPr>
          <w:rFonts w:hint="eastAsia" w:ascii="Times New Roman" w:hAnsi="Times New Roman" w:eastAsia="宋体" w:cs="Times New Roman"/>
          <w:b/>
          <w:bCs/>
          <w:color w:val="auto"/>
          <w:highlight w:val="none"/>
          <w:lang w:val="en-US" w:eastAsia="zh-CN"/>
        </w:rPr>
        <w:t>5</w:t>
      </w:r>
      <w:r>
        <w:rPr>
          <w:rFonts w:hint="default" w:ascii="Times New Roman" w:hAnsi="Times New Roman" w:eastAsia="宋体" w:cs="Times New Roman"/>
          <w:b/>
          <w:bCs/>
          <w:color w:val="auto"/>
          <w:highlight w:val="none"/>
        </w:rPr>
        <w:t>）</w:t>
      </w:r>
      <w:r>
        <w:rPr>
          <w:rFonts w:hint="default" w:ascii="Times New Roman" w:hAnsi="Times New Roman" w:eastAsia="宋体" w:cs="Times New Roman"/>
          <w:b/>
          <w:bCs/>
          <w:color w:val="auto"/>
          <w:szCs w:val="21"/>
          <w:highlight w:val="none"/>
        </w:rPr>
        <w:t>C3</w:t>
      </w:r>
      <w:r>
        <w:rPr>
          <w:rFonts w:hint="eastAsia" w:ascii="Times New Roman" w:hAnsi="Times New Roman" w:eastAsia="宋体" w:cs="Times New Roman"/>
          <w:b/>
          <w:bCs/>
          <w:color w:val="auto"/>
          <w:szCs w:val="21"/>
          <w:highlight w:val="none"/>
          <w:lang w:val="en-US" w:eastAsia="zh-CN"/>
        </w:rPr>
        <w:t>2</w:t>
      </w:r>
      <w:r>
        <w:rPr>
          <w:rFonts w:hint="default" w:ascii="Times New Roman" w:hAnsi="Times New Roman" w:eastAsia="宋体" w:cs="Times New Roman"/>
          <w:b/>
          <w:bCs/>
          <w:color w:val="auto"/>
          <w:szCs w:val="21"/>
          <w:highlight w:val="none"/>
        </w:rPr>
        <w:t>项目</w:t>
      </w:r>
      <w:r>
        <w:rPr>
          <w:rFonts w:hint="eastAsia" w:ascii="Times New Roman" w:hAnsi="Times New Roman" w:eastAsia="宋体" w:cs="Times New Roman"/>
          <w:b/>
          <w:bCs/>
          <w:color w:val="auto"/>
          <w:szCs w:val="21"/>
          <w:highlight w:val="none"/>
          <w:lang w:val="en-US" w:eastAsia="zh-CN"/>
        </w:rPr>
        <w:t>完工及时率指标</w:t>
      </w:r>
      <w:r>
        <w:rPr>
          <w:rFonts w:hint="default" w:ascii="Times New Roman" w:hAnsi="Times New Roman" w:eastAsia="宋体" w:cs="Times New Roman"/>
          <w:b/>
          <w:bCs/>
          <w:color w:val="auto"/>
          <w:highlight w:val="none"/>
        </w:rPr>
        <w:t>：</w:t>
      </w:r>
    </w:p>
    <w:p w14:paraId="17E09284">
      <w:pPr>
        <w:spacing w:line="360" w:lineRule="auto"/>
        <w:ind w:firstLine="420"/>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highlight w:val="none"/>
        </w:rPr>
        <w:t>根据</w:t>
      </w:r>
      <w:r>
        <w:rPr>
          <w:rFonts w:hint="eastAsia" w:ascii="Times New Roman" w:hAnsi="Times New Roman" w:eastAsia="宋体" w:cs="Times New Roman"/>
          <w:color w:val="auto"/>
          <w:szCs w:val="21"/>
          <w:highlight w:val="none"/>
          <w:lang w:val="en-US" w:eastAsia="zh-CN"/>
        </w:rPr>
        <w:t>项目实施过程中签订《施工合同》约定项目完工日期是2024年7月24日；经查看《公路工程交工验收证书》，经施工方、监理方及设计单位共同对工程进行交工验收，交工验收时间为2024年9月9日，</w:t>
      </w:r>
      <w:r>
        <w:rPr>
          <w:rFonts w:hint="eastAsia" w:ascii="Times New Roman" w:hAnsi="Times New Roman" w:eastAsia="宋体" w:cs="Times New Roman"/>
          <w:color w:val="auto"/>
          <w:highlight w:val="none"/>
          <w:lang w:val="en-US" w:eastAsia="zh-CN"/>
        </w:rPr>
        <w:t>根据评分标准，不得分</w:t>
      </w:r>
      <w:r>
        <w:rPr>
          <w:rFonts w:hint="eastAsia" w:ascii="Times New Roman" w:hAnsi="Times New Roman" w:eastAsia="宋体" w:cs="Times New Roman"/>
          <w:color w:val="auto"/>
          <w:szCs w:val="21"/>
          <w:highlight w:val="none"/>
          <w:lang w:val="en-US" w:eastAsia="zh-CN"/>
        </w:rPr>
        <w:t>。</w:t>
      </w:r>
    </w:p>
    <w:p w14:paraId="5F0F5A38">
      <w:pPr>
        <w:spacing w:line="360" w:lineRule="auto"/>
        <w:ind w:firstLine="420"/>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该指标满分为3.00分，根据评分标准得0.00分。</w:t>
      </w:r>
    </w:p>
    <w:p w14:paraId="1BFF91F1">
      <w:pPr>
        <w:spacing w:line="360" w:lineRule="auto"/>
        <w:ind w:firstLine="422"/>
        <w:rPr>
          <w:rFonts w:hint="default" w:ascii="Times New Roman" w:hAnsi="Times New Roman" w:eastAsia="宋体" w:cs="Times New Roman"/>
          <w:b/>
          <w:bCs/>
          <w:color w:val="auto"/>
          <w:highlight w:val="none"/>
          <w:lang w:val="en-US" w:eastAsia="zh-CN"/>
        </w:rPr>
      </w:pPr>
      <w:r>
        <w:rPr>
          <w:rFonts w:hint="default" w:ascii="Times New Roman" w:hAnsi="Times New Roman" w:eastAsia="宋体" w:cs="Times New Roman"/>
          <w:b/>
          <w:bCs/>
          <w:color w:val="auto"/>
          <w:highlight w:val="none"/>
        </w:rPr>
        <w:t>（</w:t>
      </w:r>
      <w:r>
        <w:rPr>
          <w:rFonts w:hint="eastAsia" w:ascii="Times New Roman" w:hAnsi="Times New Roman" w:eastAsia="宋体" w:cs="Times New Roman"/>
          <w:b/>
          <w:bCs/>
          <w:color w:val="auto"/>
          <w:highlight w:val="none"/>
          <w:lang w:val="en-US" w:eastAsia="zh-CN"/>
        </w:rPr>
        <w:t>6</w:t>
      </w:r>
      <w:r>
        <w:rPr>
          <w:rFonts w:hint="default" w:ascii="Times New Roman" w:hAnsi="Times New Roman" w:eastAsia="宋体" w:cs="Times New Roman"/>
          <w:b/>
          <w:bCs/>
          <w:color w:val="auto"/>
          <w:highlight w:val="none"/>
        </w:rPr>
        <w:t>）</w:t>
      </w:r>
      <w:r>
        <w:rPr>
          <w:rFonts w:hint="eastAsia" w:ascii="Times New Roman" w:hAnsi="Times New Roman" w:eastAsia="宋体" w:cs="Times New Roman"/>
          <w:b/>
          <w:bCs/>
          <w:color w:val="auto"/>
          <w:szCs w:val="21"/>
          <w:highlight w:val="none"/>
          <w:lang w:eastAsia="zh-CN"/>
        </w:rPr>
        <w:t>C41工程建安成本控制率</w:t>
      </w:r>
      <w:r>
        <w:rPr>
          <w:rFonts w:hint="eastAsia" w:ascii="Times New Roman" w:hAnsi="Times New Roman" w:eastAsia="宋体" w:cs="Times New Roman"/>
          <w:b/>
          <w:bCs/>
          <w:color w:val="auto"/>
          <w:szCs w:val="21"/>
          <w:highlight w:val="none"/>
          <w:lang w:val="en-US" w:eastAsia="zh-CN"/>
        </w:rPr>
        <w:t>指标：</w:t>
      </w:r>
    </w:p>
    <w:p w14:paraId="4D225418">
      <w:pPr>
        <w:pStyle w:val="3"/>
        <w:spacing w:after="0" w:line="360" w:lineRule="auto"/>
        <w:ind w:firstLine="420" w:firstLineChars="200"/>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rPr>
        <w:t>经查阅</w:t>
      </w:r>
      <w:r>
        <w:rPr>
          <w:rFonts w:hint="eastAsia" w:ascii="Times New Roman" w:hAnsi="Times New Roman" w:eastAsia="宋体" w:cs="Times New Roman"/>
          <w:b w:val="0"/>
          <w:bCs w:val="0"/>
          <w:color w:val="auto"/>
          <w:kern w:val="2"/>
          <w:sz w:val="21"/>
          <w:szCs w:val="21"/>
          <w:highlight w:val="none"/>
          <w:lang w:val="en-US" w:eastAsia="zh-CN" w:bidi="ar-SA"/>
        </w:rPr>
        <w:t>《关于伊宁县2024年农村公路日常养护项目施工图设计文件的批复》（伊县交发〔2024〕7号）</w:t>
      </w:r>
      <w:r>
        <w:rPr>
          <w:rFonts w:hint="eastAsia" w:ascii="Times New Roman" w:hAnsi="Times New Roman" w:eastAsia="宋体" w:cs="Times New Roman"/>
          <w:color w:val="auto"/>
          <w:highlight w:val="none"/>
          <w:lang w:val="en-US" w:eastAsia="zh-CN"/>
        </w:rPr>
        <w:t>显示，施工图预算批复的项目投资总额为261.36</w:t>
      </w:r>
      <w:r>
        <w:rPr>
          <w:rFonts w:hint="eastAsia" w:ascii="Times New Roman" w:hAnsi="Times New Roman" w:eastAsia="宋体" w:cs="Times New Roman"/>
          <w:color w:val="auto"/>
          <w:highlight w:val="none"/>
        </w:rPr>
        <w:t>万元</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建安费为226.29万元；经查看</w:t>
      </w:r>
      <w:r>
        <w:rPr>
          <w:rFonts w:hint="eastAsia" w:ascii="Times New Roman" w:hAnsi="Times New Roman" w:eastAsia="宋体" w:cs="Times New Roman"/>
          <w:b w:val="0"/>
          <w:bCs w:val="0"/>
          <w:color w:val="auto"/>
          <w:kern w:val="2"/>
          <w:sz w:val="21"/>
          <w:szCs w:val="21"/>
          <w:highlight w:val="none"/>
          <w:lang w:val="en-US" w:eastAsia="zh-CN" w:bidi="ar-SA"/>
        </w:rPr>
        <w:t>《建设工程造价咨询审核定案书》，</w:t>
      </w:r>
      <w:r>
        <w:rPr>
          <w:rFonts w:hint="eastAsia" w:ascii="Times New Roman" w:hAnsi="Times New Roman" w:eastAsia="宋体" w:cs="Times New Roman"/>
          <w:color w:val="auto"/>
          <w:highlight w:val="none"/>
          <w:lang w:val="en-US" w:eastAsia="zh-CN"/>
        </w:rPr>
        <w:t>工程结算审核价为222.05万元。工程建安成本控制率</w:t>
      </w:r>
      <w:r>
        <w:rPr>
          <w:rFonts w:hint="default" w:ascii="Times New Roman" w:hAnsi="Times New Roman" w:eastAsia="宋体" w:cs="Times New Roman"/>
          <w:color w:val="auto"/>
          <w:highlight w:val="none"/>
          <w:lang w:val="en-US" w:eastAsia="zh-CN"/>
        </w:rPr>
        <w:t>=</w:t>
      </w:r>
      <w:r>
        <w:rPr>
          <w:rFonts w:hint="eastAsia" w:cs="Times New Roman"/>
          <w:color w:val="auto"/>
          <w:highlight w:val="none"/>
          <w:lang w:val="en-US" w:eastAsia="zh-CN"/>
        </w:rPr>
        <w:t>（</w:t>
      </w:r>
      <w:r>
        <w:rPr>
          <w:rFonts w:hint="default" w:ascii="Times New Roman" w:hAnsi="Times New Roman" w:eastAsia="宋体" w:cs="Times New Roman"/>
          <w:color w:val="auto"/>
          <w:highlight w:val="none"/>
          <w:lang w:val="en-US" w:eastAsia="zh-CN"/>
        </w:rPr>
        <w:t>实际建安成本/</w:t>
      </w:r>
      <w:r>
        <w:rPr>
          <w:rFonts w:hint="eastAsia" w:ascii="Times New Roman" w:hAnsi="Times New Roman" w:eastAsia="宋体" w:cs="Times New Roman"/>
          <w:color w:val="auto"/>
          <w:highlight w:val="none"/>
          <w:lang w:val="en-US" w:eastAsia="zh-CN"/>
        </w:rPr>
        <w:t>计划</w:t>
      </w:r>
      <w:r>
        <w:rPr>
          <w:rFonts w:hint="default" w:ascii="Times New Roman" w:hAnsi="Times New Roman" w:eastAsia="宋体" w:cs="Times New Roman"/>
          <w:color w:val="auto"/>
          <w:highlight w:val="none"/>
          <w:lang w:val="en-US" w:eastAsia="zh-CN"/>
        </w:rPr>
        <w:t>建安成本</w:t>
      </w:r>
      <w:r>
        <w:rPr>
          <w:rFonts w:hint="eastAsia" w:cs="Times New Roman"/>
          <w:color w:val="auto"/>
          <w:highlight w:val="none"/>
          <w:lang w:val="en-US" w:eastAsia="zh-CN"/>
        </w:rPr>
        <w:t>）</w:t>
      </w:r>
      <w:r>
        <w:rPr>
          <w:rFonts w:hint="default" w:ascii="Times New Roman" w:hAnsi="Times New Roman" w:eastAsia="宋体" w:cs="Times New Roman"/>
          <w:color w:val="auto"/>
          <w:highlight w:val="none"/>
          <w:lang w:val="en-US" w:eastAsia="zh-CN"/>
        </w:rPr>
        <w:t>×100.00%</w:t>
      </w:r>
      <w:r>
        <w:rPr>
          <w:rFonts w:hint="eastAsia" w:ascii="Times New Roman" w:hAnsi="Times New Roman" w:eastAsia="宋体" w:cs="Times New Roman"/>
          <w:color w:val="auto"/>
          <w:highlight w:val="none"/>
          <w:lang w:val="en-US" w:eastAsia="zh-CN"/>
        </w:rPr>
        <w:t>=222.05/226.29×</w:t>
      </w:r>
      <w:r>
        <w:rPr>
          <w:rFonts w:hint="default" w:ascii="Times New Roman" w:hAnsi="Times New Roman" w:eastAsia="宋体" w:cs="Times New Roman"/>
          <w:color w:val="auto"/>
          <w:highlight w:val="none"/>
          <w:lang w:val="en-US" w:eastAsia="zh-CN"/>
        </w:rPr>
        <w:t>100.00%</w:t>
      </w:r>
      <w:r>
        <w:rPr>
          <w:rFonts w:hint="eastAsia" w:ascii="Times New Roman" w:hAnsi="Times New Roman" w:eastAsia="宋体" w:cs="Times New Roman"/>
          <w:color w:val="auto"/>
          <w:highlight w:val="none"/>
          <w:lang w:val="en-US" w:eastAsia="zh-CN"/>
        </w:rPr>
        <w:t>=98.13%，根据评分标准，得满分。</w:t>
      </w:r>
    </w:p>
    <w:p w14:paraId="20B8985F">
      <w:pPr>
        <w:spacing w:line="360" w:lineRule="auto"/>
        <w:ind w:firstLine="420"/>
        <w:rPr>
          <w:rFonts w:hint="eastAsia"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lang w:val="en-US" w:eastAsia="zh-CN"/>
        </w:rPr>
        <w:t>该指标满分为5.00分，根据评分标准得5.00分。</w:t>
      </w:r>
    </w:p>
    <w:p w14:paraId="64A8D045">
      <w:pPr>
        <w:pStyle w:val="5"/>
        <w:pageBreakBefore w:val="0"/>
        <w:kinsoku/>
        <w:wordWrap/>
        <w:overflowPunct/>
        <w:topLinePunct w:val="0"/>
        <w:autoSpaceDE/>
        <w:autoSpaceDN/>
        <w:bidi w:val="0"/>
        <w:snapToGrid w:val="0"/>
        <w:spacing w:line="360" w:lineRule="auto"/>
        <w:ind w:firstLine="482"/>
        <w:rPr>
          <w:rFonts w:ascii="Times New Roman" w:hAnsi="Times New Roman" w:eastAsia="宋体" w:cs="Times New Roman"/>
          <w:color w:val="auto"/>
          <w:highlight w:val="none"/>
        </w:rPr>
      </w:pPr>
      <w:bookmarkStart w:id="96" w:name="_Toc11846"/>
      <w:r>
        <w:rPr>
          <w:rFonts w:ascii="Times New Roman" w:hAnsi="Times New Roman" w:eastAsia="宋体" w:cs="Times New Roman"/>
          <w:color w:val="auto"/>
          <w:highlight w:val="none"/>
        </w:rPr>
        <w:t>（四）项目效益情况</w:t>
      </w:r>
      <w:bookmarkEnd w:id="95"/>
      <w:bookmarkEnd w:id="96"/>
    </w:p>
    <w:p w14:paraId="046E3A31">
      <w:pPr>
        <w:pageBreakBefore w:val="0"/>
        <w:kinsoku/>
        <w:wordWrap/>
        <w:overflowPunct/>
        <w:topLinePunct w:val="0"/>
        <w:autoSpaceDE/>
        <w:autoSpaceDN/>
        <w:bidi w:val="0"/>
        <w:snapToGrid w:val="0"/>
        <w:spacing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项目效益指标由2个二级和</w:t>
      </w:r>
      <w:r>
        <w:rPr>
          <w:rFonts w:hint="eastAsia" w:ascii="Times New Roman" w:hAnsi="Times New Roman" w:eastAsia="宋体" w:cs="Times New Roman"/>
          <w:color w:val="auto"/>
          <w:highlight w:val="none"/>
          <w:lang w:val="en-US" w:eastAsia="zh-CN"/>
        </w:rPr>
        <w:t>3</w:t>
      </w:r>
      <w:r>
        <w:rPr>
          <w:rFonts w:hint="eastAsia" w:ascii="Times New Roman" w:hAnsi="Times New Roman" w:eastAsia="宋体" w:cs="Times New Roman"/>
          <w:color w:val="auto"/>
          <w:highlight w:val="none"/>
        </w:rPr>
        <w:t>个三级指标构成，权重分3</w:t>
      </w:r>
      <w:r>
        <w:rPr>
          <w:rFonts w:hint="eastAsia" w:ascii="Times New Roman" w:hAnsi="Times New Roman" w:eastAsia="宋体" w:cs="Times New Roman"/>
          <w:color w:val="auto"/>
          <w:highlight w:val="none"/>
          <w:lang w:val="en-US" w:eastAsia="zh-CN"/>
        </w:rPr>
        <w:t>5</w:t>
      </w:r>
      <w:r>
        <w:rPr>
          <w:rFonts w:hint="eastAsia" w:ascii="Times New Roman" w:hAnsi="Times New Roman" w:eastAsia="宋体" w:cs="Times New Roman"/>
          <w:color w:val="auto"/>
          <w:highlight w:val="none"/>
        </w:rPr>
        <w:t>.00分，实际得分</w:t>
      </w:r>
      <w:r>
        <w:rPr>
          <w:rFonts w:hint="eastAsia" w:ascii="Times New Roman" w:hAnsi="Times New Roman" w:eastAsia="宋体" w:cs="Times New Roman"/>
          <w:color w:val="auto"/>
          <w:highlight w:val="none"/>
          <w:lang w:val="en-US" w:eastAsia="zh-CN"/>
        </w:rPr>
        <w:t>35.00</w:t>
      </w:r>
      <w:r>
        <w:rPr>
          <w:rFonts w:hint="eastAsia" w:ascii="Times New Roman" w:hAnsi="Times New Roman" w:eastAsia="宋体" w:cs="Times New Roman"/>
          <w:color w:val="auto"/>
          <w:highlight w:val="none"/>
        </w:rPr>
        <w:t>分，得分率为</w:t>
      </w:r>
      <w:r>
        <w:rPr>
          <w:rFonts w:hint="eastAsia" w:ascii="Times New Roman" w:hAnsi="Times New Roman" w:eastAsia="宋体" w:cs="Times New Roman"/>
          <w:color w:val="auto"/>
          <w:highlight w:val="none"/>
          <w:lang w:val="en-US" w:eastAsia="zh-CN"/>
        </w:rPr>
        <w:t>10</w:t>
      </w:r>
      <w:r>
        <w:rPr>
          <w:rFonts w:hint="eastAsia" w:ascii="Times New Roman" w:hAnsi="Times New Roman" w:eastAsia="宋体" w:cs="Times New Roman"/>
          <w:color w:val="auto"/>
          <w:highlight w:val="none"/>
        </w:rPr>
        <w:t>0.00%。各指标业绩值和绩效分值如下表所示：</w:t>
      </w:r>
    </w:p>
    <w:p w14:paraId="1C5AC2D9">
      <w:pPr>
        <w:pageBreakBefore w:val="0"/>
        <w:kinsoku/>
        <w:wordWrap/>
        <w:overflowPunct/>
        <w:topLinePunct w:val="0"/>
        <w:autoSpaceDE/>
        <w:autoSpaceDN/>
        <w:bidi w:val="0"/>
        <w:snapToGrid w:val="0"/>
        <w:spacing w:line="360" w:lineRule="auto"/>
        <w:ind w:firstLine="0" w:firstLineChars="0"/>
        <w:jc w:val="center"/>
        <w:rPr>
          <w:rFonts w:ascii="Times New Roman" w:hAnsi="Times New Roman" w:eastAsia="宋体" w:cs="Times New Roman"/>
          <w:color w:val="auto"/>
          <w:highlight w:val="none"/>
        </w:rPr>
      </w:pPr>
      <w:r>
        <w:rPr>
          <w:rFonts w:ascii="Times New Roman" w:hAnsi="Times New Roman" w:eastAsia="宋体" w:cs="Times New Roman"/>
          <w:b/>
          <w:bCs/>
          <w:color w:val="auto"/>
          <w:highlight w:val="none"/>
        </w:rPr>
        <w:t>表</w:t>
      </w:r>
      <w:r>
        <w:rPr>
          <w:rFonts w:hint="eastAsia" w:ascii="Times New Roman" w:hAnsi="Times New Roman" w:eastAsia="宋体" w:cs="Times New Roman"/>
          <w:b/>
          <w:bCs/>
          <w:color w:val="auto"/>
          <w:highlight w:val="none"/>
          <w:lang w:val="en-US" w:eastAsia="zh-CN"/>
        </w:rPr>
        <w:t>5</w:t>
      </w:r>
      <w:r>
        <w:rPr>
          <w:rFonts w:ascii="Times New Roman" w:hAnsi="Times New Roman" w:eastAsia="宋体" w:cs="Times New Roman"/>
          <w:b/>
          <w:bCs/>
          <w:color w:val="auto"/>
          <w:highlight w:val="none"/>
        </w:rPr>
        <w:t>-4：项目效益指标及分值</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874"/>
        <w:gridCol w:w="1744"/>
        <w:gridCol w:w="1763"/>
        <w:gridCol w:w="838"/>
        <w:gridCol w:w="1013"/>
        <w:gridCol w:w="700"/>
        <w:gridCol w:w="621"/>
        <w:gridCol w:w="855"/>
      </w:tblGrid>
      <w:tr w14:paraId="713F5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520" w:type="pct"/>
            <w:vAlign w:val="center"/>
          </w:tcPr>
          <w:p w14:paraId="4188BA72">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一级指标</w:t>
            </w:r>
          </w:p>
        </w:tc>
        <w:tc>
          <w:tcPr>
            <w:tcW w:w="1037" w:type="pct"/>
            <w:vAlign w:val="center"/>
          </w:tcPr>
          <w:p w14:paraId="1175663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二级指标</w:t>
            </w:r>
          </w:p>
        </w:tc>
        <w:tc>
          <w:tcPr>
            <w:tcW w:w="1047" w:type="pct"/>
            <w:vAlign w:val="center"/>
          </w:tcPr>
          <w:p w14:paraId="4FF5115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三级指标</w:t>
            </w:r>
          </w:p>
        </w:tc>
        <w:tc>
          <w:tcPr>
            <w:tcW w:w="498" w:type="pct"/>
            <w:vAlign w:val="center"/>
          </w:tcPr>
          <w:p w14:paraId="27FB67F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目标值</w:t>
            </w:r>
          </w:p>
        </w:tc>
        <w:tc>
          <w:tcPr>
            <w:tcW w:w="602" w:type="pct"/>
            <w:vAlign w:val="center"/>
          </w:tcPr>
          <w:p w14:paraId="43D4F6AB">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实际完成值</w:t>
            </w:r>
          </w:p>
        </w:tc>
        <w:tc>
          <w:tcPr>
            <w:tcW w:w="416" w:type="pct"/>
            <w:vAlign w:val="center"/>
          </w:tcPr>
          <w:p w14:paraId="0E443B05">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权重</w:t>
            </w:r>
          </w:p>
        </w:tc>
        <w:tc>
          <w:tcPr>
            <w:tcW w:w="369" w:type="pct"/>
            <w:vAlign w:val="center"/>
          </w:tcPr>
          <w:p w14:paraId="7BF15F6B">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得分</w:t>
            </w:r>
          </w:p>
        </w:tc>
        <w:tc>
          <w:tcPr>
            <w:tcW w:w="508" w:type="pct"/>
            <w:vAlign w:val="center"/>
          </w:tcPr>
          <w:p w14:paraId="1704695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得分率</w:t>
            </w:r>
          </w:p>
        </w:tc>
      </w:tr>
      <w:tr w14:paraId="0F22C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520" w:type="pct"/>
            <w:vMerge w:val="restart"/>
            <w:vAlign w:val="center"/>
          </w:tcPr>
          <w:p w14:paraId="769E818D">
            <w:pPr>
              <w:pageBreakBefore w:val="0"/>
              <w:widowControl/>
              <w:kinsoku/>
              <w:wordWrap/>
              <w:overflowPunct/>
              <w:topLinePunct w:val="0"/>
              <w:autoSpaceDE/>
              <w:autoSpaceDN/>
              <w:bidi w:val="0"/>
              <w:snapToGrid w:val="0"/>
              <w:spacing w:before="0" w:after="0" w:line="240" w:lineRule="auto"/>
              <w:ind w:firstLine="0" w:firstLineChars="0"/>
              <w:jc w:val="left"/>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D效益（3</w:t>
            </w:r>
            <w:r>
              <w:rPr>
                <w:rFonts w:hint="eastAsia" w:ascii="Times New Roman" w:hAnsi="Times New Roman" w:eastAsia="宋体" w:cs="Times New Roman"/>
                <w:color w:val="auto"/>
                <w:sz w:val="21"/>
                <w:szCs w:val="21"/>
                <w:highlight w:val="none"/>
                <w:lang w:val="en-US" w:eastAsia="zh-CN"/>
              </w:rPr>
              <w:t>5</w:t>
            </w:r>
            <w:r>
              <w:rPr>
                <w:rFonts w:hint="eastAsia" w:ascii="Times New Roman" w:hAnsi="Times New Roman" w:eastAsia="宋体" w:cs="Times New Roman"/>
                <w:color w:val="auto"/>
                <w:sz w:val="21"/>
                <w:szCs w:val="21"/>
                <w:highlight w:val="none"/>
              </w:rPr>
              <w:t>.00分）</w:t>
            </w:r>
          </w:p>
        </w:tc>
        <w:tc>
          <w:tcPr>
            <w:tcW w:w="1037" w:type="pct"/>
            <w:vMerge w:val="restart"/>
            <w:vAlign w:val="center"/>
          </w:tcPr>
          <w:p w14:paraId="51B0AD75">
            <w:pPr>
              <w:pageBreakBefore w:val="0"/>
              <w:widowControl/>
              <w:kinsoku/>
              <w:wordWrap/>
              <w:overflowPunct/>
              <w:topLinePunct w:val="0"/>
              <w:autoSpaceDE/>
              <w:autoSpaceDN/>
              <w:bidi w:val="0"/>
              <w:snapToGrid w:val="0"/>
              <w:spacing w:before="0" w:after="0" w:line="240" w:lineRule="auto"/>
              <w:ind w:firstLine="0" w:firstLineChars="0"/>
              <w:jc w:val="left"/>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D1社会效益指标（22.00分）</w:t>
            </w:r>
          </w:p>
        </w:tc>
        <w:tc>
          <w:tcPr>
            <w:tcW w:w="1047" w:type="pct"/>
            <w:vAlign w:val="center"/>
          </w:tcPr>
          <w:p w14:paraId="1B7018DA">
            <w:pPr>
              <w:pageBreakBefore w:val="0"/>
              <w:widowControl/>
              <w:kinsoku/>
              <w:wordWrap/>
              <w:overflowPunct/>
              <w:topLinePunct w:val="0"/>
              <w:autoSpaceDE/>
              <w:autoSpaceDN/>
              <w:bidi w:val="0"/>
              <w:snapToGrid w:val="0"/>
              <w:spacing w:before="0" w:after="0" w:line="240" w:lineRule="auto"/>
              <w:ind w:firstLine="0" w:firstLineChars="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D11保障出行安全，降低交通风险</w:t>
            </w:r>
          </w:p>
        </w:tc>
        <w:tc>
          <w:tcPr>
            <w:tcW w:w="498" w:type="pct"/>
            <w:vAlign w:val="center"/>
          </w:tcPr>
          <w:p w14:paraId="44F261D2">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有效保障</w:t>
            </w:r>
          </w:p>
        </w:tc>
        <w:tc>
          <w:tcPr>
            <w:tcW w:w="602" w:type="pct"/>
            <w:vAlign w:val="center"/>
          </w:tcPr>
          <w:p w14:paraId="25B8D6EC">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基本达成目标</w:t>
            </w:r>
          </w:p>
        </w:tc>
        <w:tc>
          <w:tcPr>
            <w:tcW w:w="416" w:type="pct"/>
            <w:vAlign w:val="center"/>
          </w:tcPr>
          <w:p w14:paraId="2CC97C10">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12.00</w:t>
            </w:r>
          </w:p>
        </w:tc>
        <w:tc>
          <w:tcPr>
            <w:tcW w:w="369" w:type="pct"/>
            <w:vAlign w:val="center"/>
          </w:tcPr>
          <w:p w14:paraId="36CF1DFD">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12.00</w:t>
            </w:r>
          </w:p>
        </w:tc>
        <w:tc>
          <w:tcPr>
            <w:tcW w:w="508" w:type="pct"/>
            <w:vAlign w:val="center"/>
          </w:tcPr>
          <w:p w14:paraId="01E00455">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10</w:t>
            </w:r>
            <w:r>
              <w:rPr>
                <w:rFonts w:hint="eastAsia" w:ascii="Times New Roman" w:hAnsi="Times New Roman" w:eastAsia="宋体" w:cs="Times New Roman"/>
                <w:color w:val="auto"/>
                <w:kern w:val="2"/>
                <w:sz w:val="21"/>
                <w:szCs w:val="21"/>
                <w:highlight w:val="none"/>
                <w:lang w:bidi="ar"/>
              </w:rPr>
              <w:t>0.00%</w:t>
            </w:r>
          </w:p>
        </w:tc>
      </w:tr>
      <w:tr w14:paraId="04291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520" w:type="pct"/>
            <w:vMerge w:val="continue"/>
            <w:vAlign w:val="center"/>
          </w:tcPr>
          <w:p w14:paraId="25ACB59D">
            <w:pPr>
              <w:pageBreakBefore w:val="0"/>
              <w:widowControl/>
              <w:kinsoku/>
              <w:wordWrap/>
              <w:overflowPunct/>
              <w:topLinePunct w:val="0"/>
              <w:autoSpaceDE/>
              <w:autoSpaceDN/>
              <w:bidi w:val="0"/>
              <w:snapToGrid w:val="0"/>
              <w:spacing w:before="0" w:after="0" w:line="240" w:lineRule="auto"/>
              <w:ind w:firstLine="420" w:firstLineChars="0"/>
              <w:jc w:val="left"/>
              <w:rPr>
                <w:rFonts w:hint="eastAsia" w:ascii="Times New Roman" w:hAnsi="Times New Roman" w:eastAsia="宋体" w:cs="Times New Roman"/>
                <w:color w:val="auto"/>
                <w:sz w:val="21"/>
                <w:szCs w:val="21"/>
                <w:highlight w:val="none"/>
              </w:rPr>
            </w:pPr>
          </w:p>
        </w:tc>
        <w:tc>
          <w:tcPr>
            <w:tcW w:w="1037" w:type="pct"/>
            <w:vMerge w:val="continue"/>
            <w:vAlign w:val="center"/>
          </w:tcPr>
          <w:p w14:paraId="1D644507">
            <w:pPr>
              <w:pageBreakBefore w:val="0"/>
              <w:widowControl/>
              <w:kinsoku/>
              <w:wordWrap/>
              <w:overflowPunct/>
              <w:topLinePunct w:val="0"/>
              <w:autoSpaceDE/>
              <w:autoSpaceDN/>
              <w:bidi w:val="0"/>
              <w:snapToGrid w:val="0"/>
              <w:spacing w:before="0" w:after="0" w:line="240" w:lineRule="auto"/>
              <w:ind w:firstLine="420" w:firstLineChars="0"/>
              <w:jc w:val="left"/>
              <w:rPr>
                <w:rFonts w:hint="eastAsia" w:ascii="Times New Roman" w:hAnsi="Times New Roman" w:eastAsia="宋体" w:cs="Times New Roman"/>
                <w:color w:val="auto"/>
                <w:sz w:val="21"/>
                <w:szCs w:val="21"/>
                <w:highlight w:val="none"/>
              </w:rPr>
            </w:pPr>
          </w:p>
        </w:tc>
        <w:tc>
          <w:tcPr>
            <w:tcW w:w="1047" w:type="pct"/>
            <w:vAlign w:val="center"/>
          </w:tcPr>
          <w:p w14:paraId="44DBA0C1">
            <w:pPr>
              <w:pageBreakBefore w:val="0"/>
              <w:widowControl/>
              <w:kinsoku/>
              <w:wordWrap/>
              <w:overflowPunct/>
              <w:topLinePunct w:val="0"/>
              <w:autoSpaceDE/>
              <w:autoSpaceDN/>
              <w:bidi w:val="0"/>
              <w:snapToGrid w:val="0"/>
              <w:spacing w:before="0" w:after="0" w:line="240" w:lineRule="auto"/>
              <w:ind w:firstLine="0" w:firstLineChars="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D12</w:t>
            </w:r>
            <w:r>
              <w:rPr>
                <w:rFonts w:hint="eastAsia" w:ascii="Times New Roman" w:hAnsi="Times New Roman" w:eastAsia="宋体" w:cs="Times New Roman"/>
                <w:color w:val="auto"/>
                <w:kern w:val="2"/>
                <w:sz w:val="21"/>
                <w:szCs w:val="21"/>
                <w:highlight w:val="none"/>
                <w:lang w:eastAsia="zh-CN" w:bidi="ar"/>
              </w:rPr>
              <w:t>改善乡村生活环境</w:t>
            </w:r>
          </w:p>
        </w:tc>
        <w:tc>
          <w:tcPr>
            <w:tcW w:w="498" w:type="pct"/>
            <w:vAlign w:val="center"/>
          </w:tcPr>
          <w:p w14:paraId="440F60A5">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kern w:val="2"/>
                <w:sz w:val="21"/>
                <w:szCs w:val="21"/>
                <w:highlight w:val="none"/>
                <w:lang w:bidi="ar"/>
              </w:rPr>
              <w:t>有效</w:t>
            </w:r>
            <w:r>
              <w:rPr>
                <w:rFonts w:hint="eastAsia" w:ascii="Times New Roman" w:hAnsi="Times New Roman" w:eastAsia="宋体" w:cs="Times New Roman"/>
                <w:color w:val="auto"/>
                <w:kern w:val="2"/>
                <w:sz w:val="21"/>
                <w:szCs w:val="21"/>
                <w:highlight w:val="none"/>
                <w:lang w:val="en-US" w:eastAsia="zh-CN" w:bidi="ar"/>
              </w:rPr>
              <w:t>改善</w:t>
            </w:r>
          </w:p>
        </w:tc>
        <w:tc>
          <w:tcPr>
            <w:tcW w:w="602" w:type="pct"/>
            <w:vAlign w:val="center"/>
          </w:tcPr>
          <w:p w14:paraId="2489BEC2">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基本达成目标</w:t>
            </w:r>
          </w:p>
        </w:tc>
        <w:tc>
          <w:tcPr>
            <w:tcW w:w="416" w:type="pct"/>
            <w:vAlign w:val="center"/>
          </w:tcPr>
          <w:p w14:paraId="7A25646E">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10.00</w:t>
            </w:r>
          </w:p>
        </w:tc>
        <w:tc>
          <w:tcPr>
            <w:tcW w:w="369" w:type="pct"/>
            <w:vAlign w:val="center"/>
          </w:tcPr>
          <w:p w14:paraId="70632BF5">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10.00</w:t>
            </w:r>
          </w:p>
        </w:tc>
        <w:tc>
          <w:tcPr>
            <w:tcW w:w="508" w:type="pct"/>
            <w:vAlign w:val="center"/>
          </w:tcPr>
          <w:p w14:paraId="1D159870">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10</w:t>
            </w:r>
            <w:r>
              <w:rPr>
                <w:rFonts w:hint="eastAsia" w:ascii="Times New Roman" w:hAnsi="Times New Roman" w:eastAsia="宋体" w:cs="Times New Roman"/>
                <w:color w:val="auto"/>
                <w:kern w:val="2"/>
                <w:sz w:val="21"/>
                <w:szCs w:val="21"/>
                <w:highlight w:val="none"/>
                <w:lang w:bidi="ar"/>
              </w:rPr>
              <w:t>0.00%</w:t>
            </w:r>
          </w:p>
        </w:tc>
      </w:tr>
      <w:tr w14:paraId="5EFBB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520" w:type="pct"/>
            <w:vMerge w:val="continue"/>
            <w:vAlign w:val="center"/>
          </w:tcPr>
          <w:p w14:paraId="2BF89AAF">
            <w:pPr>
              <w:pageBreakBefore w:val="0"/>
              <w:widowControl/>
              <w:kinsoku/>
              <w:wordWrap/>
              <w:overflowPunct/>
              <w:topLinePunct w:val="0"/>
              <w:autoSpaceDE/>
              <w:autoSpaceDN/>
              <w:bidi w:val="0"/>
              <w:snapToGrid w:val="0"/>
              <w:spacing w:before="0" w:after="0" w:line="240" w:lineRule="auto"/>
              <w:ind w:firstLine="420" w:firstLineChars="0"/>
              <w:jc w:val="left"/>
              <w:rPr>
                <w:rFonts w:hint="eastAsia" w:ascii="Times New Roman" w:hAnsi="Times New Roman" w:eastAsia="宋体" w:cs="Times New Roman"/>
                <w:color w:val="auto"/>
                <w:sz w:val="21"/>
                <w:szCs w:val="21"/>
                <w:highlight w:val="none"/>
              </w:rPr>
            </w:pPr>
          </w:p>
        </w:tc>
        <w:tc>
          <w:tcPr>
            <w:tcW w:w="1037" w:type="pct"/>
            <w:vAlign w:val="center"/>
          </w:tcPr>
          <w:p w14:paraId="492B5187">
            <w:pPr>
              <w:pageBreakBefore w:val="0"/>
              <w:widowControl/>
              <w:kinsoku/>
              <w:wordWrap/>
              <w:overflowPunct/>
              <w:topLinePunct w:val="0"/>
              <w:autoSpaceDE/>
              <w:autoSpaceDN/>
              <w:bidi w:val="0"/>
              <w:snapToGrid w:val="0"/>
              <w:spacing w:before="0" w:after="0" w:line="240" w:lineRule="auto"/>
              <w:ind w:firstLine="0" w:firstLineChars="0"/>
              <w:jc w:val="left"/>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D2服务对象满意度指标（</w:t>
            </w:r>
            <w:r>
              <w:rPr>
                <w:rFonts w:hint="eastAsia" w:ascii="Times New Roman" w:hAnsi="Times New Roman" w:eastAsia="宋体" w:cs="Times New Roman"/>
                <w:color w:val="auto"/>
                <w:kern w:val="2"/>
                <w:sz w:val="21"/>
                <w:szCs w:val="21"/>
                <w:highlight w:val="none"/>
                <w:lang w:val="en-US" w:eastAsia="zh-CN" w:bidi="ar"/>
              </w:rPr>
              <w:t>13</w:t>
            </w:r>
            <w:r>
              <w:rPr>
                <w:rFonts w:hint="eastAsia" w:ascii="Times New Roman" w:hAnsi="Times New Roman" w:eastAsia="宋体" w:cs="Times New Roman"/>
                <w:color w:val="auto"/>
                <w:kern w:val="2"/>
                <w:sz w:val="21"/>
                <w:szCs w:val="21"/>
                <w:highlight w:val="none"/>
                <w:lang w:bidi="ar"/>
              </w:rPr>
              <w:t>.00分）</w:t>
            </w:r>
          </w:p>
        </w:tc>
        <w:tc>
          <w:tcPr>
            <w:tcW w:w="1047" w:type="pct"/>
            <w:vAlign w:val="center"/>
          </w:tcPr>
          <w:p w14:paraId="7796F28A">
            <w:pPr>
              <w:pageBreakBefore w:val="0"/>
              <w:widowControl/>
              <w:kinsoku/>
              <w:wordWrap/>
              <w:overflowPunct/>
              <w:topLinePunct w:val="0"/>
              <w:autoSpaceDE/>
              <w:autoSpaceDN/>
              <w:bidi w:val="0"/>
              <w:snapToGrid w:val="0"/>
              <w:spacing w:before="0" w:after="0" w:line="240" w:lineRule="auto"/>
              <w:ind w:firstLine="0" w:firstLineChars="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D21受益社会公众满意度</w:t>
            </w:r>
          </w:p>
        </w:tc>
        <w:tc>
          <w:tcPr>
            <w:tcW w:w="498" w:type="pct"/>
            <w:vAlign w:val="center"/>
          </w:tcPr>
          <w:p w14:paraId="26C74944">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≥90</w:t>
            </w:r>
            <w:r>
              <w:rPr>
                <w:rFonts w:hint="eastAsia" w:ascii="Times New Roman" w:hAnsi="Times New Roman" w:eastAsia="宋体" w:cs="Times New Roman"/>
                <w:color w:val="auto"/>
                <w:kern w:val="2"/>
                <w:sz w:val="21"/>
                <w:szCs w:val="21"/>
                <w:highlight w:val="none"/>
                <w:lang w:val="en-US" w:eastAsia="zh-CN" w:bidi="ar"/>
              </w:rPr>
              <w:t>.00</w:t>
            </w:r>
            <w:r>
              <w:rPr>
                <w:rFonts w:hint="eastAsia" w:ascii="Times New Roman" w:hAnsi="Times New Roman" w:eastAsia="宋体" w:cs="Times New Roman"/>
                <w:color w:val="auto"/>
                <w:kern w:val="2"/>
                <w:sz w:val="21"/>
                <w:szCs w:val="21"/>
                <w:highlight w:val="none"/>
                <w:lang w:bidi="ar"/>
              </w:rPr>
              <w:t>%</w:t>
            </w:r>
          </w:p>
        </w:tc>
        <w:tc>
          <w:tcPr>
            <w:tcW w:w="602" w:type="pct"/>
            <w:vAlign w:val="center"/>
          </w:tcPr>
          <w:p w14:paraId="5C91863B">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91.85%</w:t>
            </w:r>
          </w:p>
        </w:tc>
        <w:tc>
          <w:tcPr>
            <w:tcW w:w="416" w:type="pct"/>
            <w:vAlign w:val="center"/>
          </w:tcPr>
          <w:p w14:paraId="72CEBC06">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13</w:t>
            </w:r>
            <w:r>
              <w:rPr>
                <w:rFonts w:hint="eastAsia" w:ascii="Times New Roman" w:hAnsi="Times New Roman" w:eastAsia="宋体" w:cs="Times New Roman"/>
                <w:color w:val="auto"/>
                <w:kern w:val="2"/>
                <w:sz w:val="21"/>
                <w:szCs w:val="21"/>
                <w:highlight w:val="none"/>
                <w:lang w:bidi="ar"/>
              </w:rPr>
              <w:t>.00</w:t>
            </w:r>
          </w:p>
        </w:tc>
        <w:tc>
          <w:tcPr>
            <w:tcW w:w="369" w:type="pct"/>
            <w:vAlign w:val="center"/>
          </w:tcPr>
          <w:p w14:paraId="28FC58B3">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13</w:t>
            </w:r>
            <w:r>
              <w:rPr>
                <w:rFonts w:hint="eastAsia" w:ascii="Times New Roman" w:hAnsi="Times New Roman" w:eastAsia="宋体" w:cs="Times New Roman"/>
                <w:color w:val="auto"/>
                <w:kern w:val="2"/>
                <w:sz w:val="21"/>
                <w:szCs w:val="21"/>
                <w:highlight w:val="none"/>
                <w:lang w:bidi="ar"/>
              </w:rPr>
              <w:t>.00</w:t>
            </w:r>
          </w:p>
        </w:tc>
        <w:tc>
          <w:tcPr>
            <w:tcW w:w="508" w:type="pct"/>
            <w:vAlign w:val="center"/>
          </w:tcPr>
          <w:p w14:paraId="012AC34A">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10</w:t>
            </w:r>
            <w:r>
              <w:rPr>
                <w:rFonts w:hint="eastAsia" w:ascii="Times New Roman" w:hAnsi="Times New Roman" w:eastAsia="宋体" w:cs="Times New Roman"/>
                <w:color w:val="auto"/>
                <w:kern w:val="2"/>
                <w:sz w:val="21"/>
                <w:szCs w:val="21"/>
                <w:highlight w:val="none"/>
                <w:lang w:bidi="ar"/>
              </w:rPr>
              <w:t>0.00%</w:t>
            </w:r>
          </w:p>
        </w:tc>
      </w:tr>
      <w:tr w14:paraId="0B4B7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605" w:type="pct"/>
            <w:gridSpan w:val="3"/>
            <w:vAlign w:val="center"/>
          </w:tcPr>
          <w:p w14:paraId="5B7F4987">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合计</w:t>
            </w:r>
          </w:p>
        </w:tc>
        <w:tc>
          <w:tcPr>
            <w:tcW w:w="498" w:type="pct"/>
            <w:vAlign w:val="center"/>
          </w:tcPr>
          <w:p w14:paraId="5AC9BCEE">
            <w:pPr>
              <w:pageBreakBefore w:val="0"/>
              <w:widowControl/>
              <w:kinsoku/>
              <w:wordWrap/>
              <w:overflowPunct/>
              <w:topLinePunct w:val="0"/>
              <w:autoSpaceDE/>
              <w:autoSpaceDN/>
              <w:bidi w:val="0"/>
              <w:snapToGrid w:val="0"/>
              <w:spacing w:before="0" w:after="0" w:line="240" w:lineRule="auto"/>
              <w:ind w:firstLine="420" w:firstLineChars="0"/>
              <w:jc w:val="left"/>
              <w:rPr>
                <w:rFonts w:hint="eastAsia" w:ascii="Times New Roman" w:hAnsi="Times New Roman" w:eastAsia="宋体" w:cs="Times New Roman"/>
                <w:color w:val="auto"/>
                <w:sz w:val="21"/>
                <w:szCs w:val="21"/>
                <w:highlight w:val="none"/>
              </w:rPr>
            </w:pPr>
          </w:p>
        </w:tc>
        <w:tc>
          <w:tcPr>
            <w:tcW w:w="602" w:type="pct"/>
            <w:vAlign w:val="center"/>
          </w:tcPr>
          <w:p w14:paraId="5E51082F">
            <w:pPr>
              <w:pageBreakBefore w:val="0"/>
              <w:widowControl/>
              <w:kinsoku/>
              <w:wordWrap/>
              <w:overflowPunct/>
              <w:topLinePunct w:val="0"/>
              <w:autoSpaceDE/>
              <w:autoSpaceDN/>
              <w:bidi w:val="0"/>
              <w:snapToGrid w:val="0"/>
              <w:spacing w:before="0" w:after="0" w:line="240" w:lineRule="auto"/>
              <w:ind w:firstLine="420" w:firstLineChars="0"/>
              <w:jc w:val="left"/>
              <w:rPr>
                <w:rFonts w:hint="eastAsia" w:ascii="Times New Roman" w:hAnsi="Times New Roman" w:eastAsia="宋体" w:cs="Times New Roman"/>
                <w:color w:val="auto"/>
                <w:sz w:val="21"/>
                <w:szCs w:val="21"/>
                <w:highlight w:val="none"/>
                <w:lang w:val="en-US" w:eastAsia="zh-CN"/>
              </w:rPr>
            </w:pPr>
          </w:p>
        </w:tc>
        <w:tc>
          <w:tcPr>
            <w:tcW w:w="416" w:type="pct"/>
            <w:vAlign w:val="center"/>
          </w:tcPr>
          <w:p w14:paraId="6CE0464C">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3</w:t>
            </w:r>
            <w:r>
              <w:rPr>
                <w:rFonts w:hint="eastAsia" w:ascii="Times New Roman" w:hAnsi="Times New Roman" w:eastAsia="宋体" w:cs="Times New Roman"/>
                <w:color w:val="auto"/>
                <w:kern w:val="2"/>
                <w:sz w:val="21"/>
                <w:szCs w:val="21"/>
                <w:highlight w:val="none"/>
                <w:lang w:val="en-US" w:eastAsia="zh-CN" w:bidi="ar"/>
              </w:rPr>
              <w:t>5</w:t>
            </w:r>
            <w:r>
              <w:rPr>
                <w:rFonts w:hint="eastAsia" w:ascii="Times New Roman" w:hAnsi="Times New Roman" w:eastAsia="宋体" w:cs="Times New Roman"/>
                <w:color w:val="auto"/>
                <w:kern w:val="2"/>
                <w:sz w:val="21"/>
                <w:szCs w:val="21"/>
                <w:highlight w:val="none"/>
                <w:lang w:bidi="ar"/>
              </w:rPr>
              <w:t>.00</w:t>
            </w:r>
          </w:p>
        </w:tc>
        <w:tc>
          <w:tcPr>
            <w:tcW w:w="369" w:type="pct"/>
            <w:vAlign w:val="center"/>
          </w:tcPr>
          <w:p w14:paraId="67E7A0BE">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bidi="ar"/>
              </w:rPr>
              <w:t>3</w:t>
            </w:r>
            <w:r>
              <w:rPr>
                <w:rFonts w:hint="eastAsia" w:ascii="Times New Roman" w:hAnsi="Times New Roman" w:eastAsia="宋体" w:cs="Times New Roman"/>
                <w:color w:val="auto"/>
                <w:kern w:val="2"/>
                <w:sz w:val="21"/>
                <w:szCs w:val="21"/>
                <w:highlight w:val="none"/>
                <w:lang w:val="en-US" w:eastAsia="zh-CN" w:bidi="ar"/>
              </w:rPr>
              <w:t>5</w:t>
            </w:r>
            <w:r>
              <w:rPr>
                <w:rFonts w:hint="eastAsia" w:ascii="Times New Roman" w:hAnsi="Times New Roman" w:eastAsia="宋体" w:cs="Times New Roman"/>
                <w:color w:val="auto"/>
                <w:kern w:val="2"/>
                <w:sz w:val="21"/>
                <w:szCs w:val="21"/>
                <w:highlight w:val="none"/>
                <w:lang w:bidi="ar"/>
              </w:rPr>
              <w:t>.00</w:t>
            </w:r>
          </w:p>
        </w:tc>
        <w:tc>
          <w:tcPr>
            <w:tcW w:w="508" w:type="pct"/>
            <w:vAlign w:val="center"/>
          </w:tcPr>
          <w:p w14:paraId="10D26C8C">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
              </w:rPr>
              <w:t>10</w:t>
            </w:r>
            <w:r>
              <w:rPr>
                <w:rFonts w:hint="eastAsia" w:ascii="Times New Roman" w:hAnsi="Times New Roman" w:eastAsia="宋体" w:cs="Times New Roman"/>
                <w:color w:val="auto"/>
                <w:kern w:val="2"/>
                <w:sz w:val="21"/>
                <w:szCs w:val="21"/>
                <w:highlight w:val="none"/>
                <w:lang w:bidi="ar"/>
              </w:rPr>
              <w:t>0.00%</w:t>
            </w:r>
          </w:p>
        </w:tc>
      </w:tr>
    </w:tbl>
    <w:p w14:paraId="5C952CBA">
      <w:pPr>
        <w:pageBreakBefore w:val="0"/>
        <w:kinsoku/>
        <w:wordWrap/>
        <w:overflowPunct/>
        <w:topLinePunct w:val="0"/>
        <w:autoSpaceDE/>
        <w:autoSpaceDN/>
        <w:bidi w:val="0"/>
        <w:snapToGrid w:val="0"/>
        <w:spacing w:line="360" w:lineRule="auto"/>
        <w:ind w:firstLine="422"/>
        <w:rPr>
          <w:rFonts w:ascii="Times New Roman" w:hAnsi="Times New Roman" w:eastAsia="宋体" w:cs="Times New Roman"/>
          <w:b/>
          <w:bCs/>
          <w:color w:val="auto"/>
          <w:highlight w:val="none"/>
        </w:rPr>
      </w:pPr>
    </w:p>
    <w:p w14:paraId="065E506F">
      <w:pPr>
        <w:pageBreakBefore w:val="0"/>
        <w:kinsoku/>
        <w:wordWrap/>
        <w:overflowPunct/>
        <w:topLinePunct w:val="0"/>
        <w:autoSpaceDE/>
        <w:autoSpaceDN/>
        <w:bidi w:val="0"/>
        <w:snapToGrid w:val="0"/>
        <w:spacing w:line="360" w:lineRule="auto"/>
        <w:ind w:firstLine="422"/>
        <w:rPr>
          <w:rFonts w:ascii="Times New Roman" w:hAnsi="Times New Roman" w:eastAsia="宋体" w:cs="Times New Roman"/>
          <w:color w:val="auto"/>
          <w:highlight w:val="none"/>
        </w:rPr>
      </w:pPr>
      <w:r>
        <w:rPr>
          <w:rFonts w:ascii="Times New Roman" w:hAnsi="Times New Roman" w:eastAsia="宋体" w:cs="Times New Roman"/>
          <w:b/>
          <w:bCs/>
          <w:color w:val="auto"/>
          <w:highlight w:val="none"/>
        </w:rPr>
        <w:t>指标得分分析：</w:t>
      </w:r>
    </w:p>
    <w:p w14:paraId="47DEEB86">
      <w:pPr>
        <w:pageBreakBefore w:val="0"/>
        <w:kinsoku/>
        <w:wordWrap/>
        <w:overflowPunct/>
        <w:topLinePunct w:val="0"/>
        <w:autoSpaceDE/>
        <w:autoSpaceDN/>
        <w:bidi w:val="0"/>
        <w:snapToGrid w:val="0"/>
        <w:spacing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（1）D11保障出行安全，降低交通风险指标：</w:t>
      </w:r>
    </w:p>
    <w:p w14:paraId="44AE6AF3">
      <w:pPr>
        <w:spacing w:line="360" w:lineRule="auto"/>
        <w:ind w:firstLine="420"/>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根据伊宁县交通运输局提供的《情况说明》：“该项目对伊宁县27条县乡道路合计214.2公里进行路基路面日常养护，于2024年6月25日开工，2024年7月24日完工，项目实施过程中未发生安全生产事故。”</w:t>
      </w:r>
    </w:p>
    <w:p w14:paraId="7740A2F0">
      <w:pPr>
        <w:spacing w:line="360" w:lineRule="auto"/>
        <w:ind w:firstLine="420"/>
        <w:rPr>
          <w:rFonts w:hint="eastAsia" w:ascii="Times New Roman" w:hAnsi="Times New Roman" w:eastAsia="宋体" w:cs="Times New Roman"/>
          <w:color w:val="auto"/>
          <w:szCs w:val="21"/>
          <w:highlight w:val="none"/>
          <w:lang w:val="en-US" w:eastAsia="zh-CN"/>
        </w:rPr>
      </w:pPr>
      <w:r>
        <w:rPr>
          <w:rFonts w:hint="eastAsia" w:eastAsia="宋体" w:cs="Times New Roman"/>
          <w:color w:val="auto"/>
          <w:szCs w:val="21"/>
          <w:highlight w:val="none"/>
          <w:lang w:val="en-US" w:eastAsia="zh-CN"/>
        </w:rPr>
        <w:t>同时，绩效评价小组</w:t>
      </w:r>
      <w:r>
        <w:rPr>
          <w:rFonts w:hint="eastAsia" w:ascii="Times New Roman" w:hAnsi="Times New Roman" w:eastAsia="宋体" w:cs="Times New Roman"/>
          <w:color w:val="auto"/>
          <w:szCs w:val="21"/>
          <w:highlight w:val="none"/>
          <w:lang w:val="en-US" w:eastAsia="zh-CN"/>
        </w:rPr>
        <w:t>通过问卷调查等方式</w:t>
      </w:r>
      <w:r>
        <w:rPr>
          <w:rFonts w:hint="eastAsia" w:eastAsia="宋体" w:cs="Times New Roman"/>
          <w:color w:val="auto"/>
          <w:szCs w:val="21"/>
          <w:highlight w:val="none"/>
          <w:lang w:val="en-US" w:eastAsia="zh-CN"/>
        </w:rPr>
        <w:t>调研公众对</w:t>
      </w:r>
      <w:r>
        <w:rPr>
          <w:rFonts w:hint="eastAsia" w:ascii="Times New Roman" w:hAnsi="Times New Roman" w:eastAsia="宋体" w:cs="Times New Roman"/>
          <w:color w:val="auto"/>
          <w:szCs w:val="21"/>
          <w:highlight w:val="none"/>
          <w:lang w:val="en-US" w:eastAsia="zh-CN"/>
        </w:rPr>
        <w:t>保障出行安全，降低交通风险</w:t>
      </w:r>
      <w:r>
        <w:rPr>
          <w:rFonts w:hint="eastAsia" w:eastAsia="宋体" w:cs="Times New Roman"/>
          <w:color w:val="auto"/>
          <w:szCs w:val="21"/>
          <w:highlight w:val="none"/>
          <w:lang w:val="en-US" w:eastAsia="zh-CN"/>
        </w:rPr>
        <w:t>的结果反馈</w:t>
      </w:r>
      <w:r>
        <w:rPr>
          <w:rFonts w:hint="eastAsia" w:ascii="Times New Roman" w:hAnsi="Times New Roman" w:eastAsia="宋体" w:cs="Times New Roman"/>
          <w:color w:val="auto"/>
          <w:szCs w:val="21"/>
          <w:highlight w:val="none"/>
          <w:lang w:val="en-US" w:eastAsia="zh-CN"/>
        </w:rPr>
        <w:t>，共计发放和收回219份问卷调查，针对本指标问卷问题为“您对目前农村公路的通行安全性是否满意？”，根据统计结果：选择选项“非常满意”155人，选择选项“满意”48人，选择选项“一般”13人，选择选项“不满意”3人，“非常不满意”0人，本指标实现程度=∑样本数（“非常满意”×1.00+“满意”×0.80+“一般”×0.60+“不满意”×0.30+“非常不满意”×0.00）/总样本数×100.00%=（155×1.00+48×0.80+13×0.60+3×0.30+0×0.00）/219×100.00%=92.28%，基本达成目标。</w:t>
      </w:r>
    </w:p>
    <w:p w14:paraId="7B290475">
      <w:pPr>
        <w:spacing w:line="360" w:lineRule="auto"/>
        <w:ind w:firstLine="420"/>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该指标满分为12.00分，根据评分标准得12.00分。</w:t>
      </w:r>
    </w:p>
    <w:p w14:paraId="36927F0B">
      <w:pPr>
        <w:pageBreakBefore w:val="0"/>
        <w:numPr>
          <w:ilvl w:val="0"/>
          <w:numId w:val="1"/>
        </w:numPr>
        <w:kinsoku/>
        <w:wordWrap/>
        <w:overflowPunct/>
        <w:topLinePunct w:val="0"/>
        <w:autoSpaceDE/>
        <w:autoSpaceDN/>
        <w:bidi w:val="0"/>
        <w:snapToGrid w:val="0"/>
        <w:spacing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D12</w:t>
      </w:r>
      <w:r>
        <w:rPr>
          <w:rFonts w:hint="eastAsia" w:ascii="Times New Roman" w:hAnsi="Times New Roman" w:eastAsia="宋体" w:cs="Times New Roman"/>
          <w:b/>
          <w:bCs/>
          <w:color w:val="auto"/>
          <w:highlight w:val="none"/>
          <w:lang w:eastAsia="zh-CN"/>
        </w:rPr>
        <w:t>改善乡村生活环境</w:t>
      </w:r>
      <w:r>
        <w:rPr>
          <w:rFonts w:hint="eastAsia" w:ascii="Times New Roman" w:hAnsi="Times New Roman" w:eastAsia="宋体" w:cs="Times New Roman"/>
          <w:b/>
          <w:bCs/>
          <w:color w:val="auto"/>
          <w:highlight w:val="none"/>
        </w:rPr>
        <w:t>指标：</w:t>
      </w:r>
    </w:p>
    <w:p w14:paraId="3C076573">
      <w:pPr>
        <w:spacing w:line="360" w:lineRule="auto"/>
        <w:ind w:firstLine="420"/>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该效益指标主要采用公众评判法，通过问卷调查等方式评价改善乡村生活环境，增强居民居住幸福感实现程度。绩效评价问卷调查对象为社会公众，共计发放和收回219份问卷调查，针对本指标问卷问题为“您对公路的清扫和整洁情况是否满意？”，根据统计结果：选择选项“非常满意”154人，选择选项“满意”49人，选择选项“一般”11人，选择选项“不满意”5人，“非常不满意”0人，本指标实现程度=∑样本数（“非常满意”×1.00+“满意”×0.80+“一般”×0.60+“不满意”×0.30+“非常不满意”×0.00）/总样本数×100.00%=（154×1.00+49×0.80+11×0.60+5×0.30+0×0.00）/219×100.00%=91.92%，指标完成率大于等于90.00%，基本达成目标。</w:t>
      </w:r>
    </w:p>
    <w:p w14:paraId="267EDA4A">
      <w:pPr>
        <w:spacing w:line="360" w:lineRule="auto"/>
        <w:ind w:firstLine="420"/>
        <w:rPr>
          <w:rFonts w:hint="eastAsia" w:ascii="Times New Roman" w:hAnsi="Times New Roman" w:eastAsia="宋体" w:cs="Times New Roman"/>
          <w:b/>
          <w:bCs/>
          <w:color w:val="auto"/>
          <w:highlight w:val="none"/>
        </w:rPr>
      </w:pPr>
      <w:r>
        <w:rPr>
          <w:rFonts w:hint="eastAsia" w:ascii="Times New Roman" w:hAnsi="Times New Roman" w:eastAsia="宋体" w:cs="Times New Roman"/>
          <w:color w:val="auto"/>
          <w:szCs w:val="21"/>
          <w:highlight w:val="none"/>
          <w:lang w:val="en-US" w:eastAsia="zh-CN"/>
        </w:rPr>
        <w:t>该指标满分为10.00分，根据评分标准得10.00分。</w:t>
      </w:r>
    </w:p>
    <w:p w14:paraId="48184A4D">
      <w:pPr>
        <w:pageBreakBefore w:val="0"/>
        <w:kinsoku/>
        <w:wordWrap/>
        <w:overflowPunct/>
        <w:topLinePunct w:val="0"/>
        <w:autoSpaceDE/>
        <w:autoSpaceDN/>
        <w:bidi w:val="0"/>
        <w:snapToGrid w:val="0"/>
        <w:spacing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（3）D21受益社会公众满意度指标：</w:t>
      </w:r>
    </w:p>
    <w:p w14:paraId="09EA540D">
      <w:pPr>
        <w:pageBreakBefore w:val="0"/>
        <w:kinsoku/>
        <w:wordWrap/>
        <w:overflowPunct/>
        <w:topLinePunct w:val="0"/>
        <w:autoSpaceDE/>
        <w:autoSpaceDN/>
        <w:bidi w:val="0"/>
        <w:snapToGrid w:val="0"/>
        <w:spacing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该效益指标主要采用公众评判法，通过问卷及抽样调查等方式评价</w:t>
      </w:r>
      <w:r>
        <w:rPr>
          <w:rFonts w:hint="eastAsia" w:ascii="Times New Roman" w:hAnsi="Times New Roman" w:eastAsia="宋体" w:cs="Times New Roman"/>
          <w:color w:val="auto"/>
          <w:highlight w:val="none"/>
          <w:lang w:val="en-US" w:eastAsia="zh-CN"/>
        </w:rPr>
        <w:t>社会公众</w:t>
      </w:r>
      <w:r>
        <w:rPr>
          <w:rFonts w:hint="eastAsia" w:ascii="Times New Roman" w:hAnsi="Times New Roman" w:eastAsia="宋体" w:cs="Times New Roman"/>
          <w:color w:val="auto"/>
          <w:highlight w:val="none"/>
        </w:rPr>
        <w:t>满意度。本次共发放并收回满意度问卷</w:t>
      </w:r>
      <w:r>
        <w:rPr>
          <w:rFonts w:hint="eastAsia" w:ascii="Times New Roman" w:hAnsi="Times New Roman" w:eastAsia="宋体" w:cs="Times New Roman"/>
          <w:color w:val="auto"/>
          <w:highlight w:val="none"/>
          <w:lang w:val="en-US" w:eastAsia="zh-CN"/>
        </w:rPr>
        <w:t>219</w:t>
      </w:r>
      <w:r>
        <w:rPr>
          <w:rFonts w:hint="eastAsia" w:ascii="Times New Roman" w:hAnsi="Times New Roman" w:eastAsia="宋体" w:cs="Times New Roman"/>
          <w:color w:val="auto"/>
          <w:highlight w:val="none"/>
        </w:rPr>
        <w:t>份，根据问卷调查分析报告中“您对目前农村公路的路面平整程度是否满意？</w:t>
      </w:r>
      <w:r>
        <w:rPr>
          <w:rFonts w:hint="eastAsia" w:ascii="Times New Roman" w:hAnsi="Times New Roman" w:eastAsia="宋体" w:cs="Times New Roman"/>
          <w:color w:val="auto"/>
          <w:highlight w:val="none"/>
          <w:lang w:eastAsia="zh-CN"/>
        </w:rPr>
        <w:t>”其中选择“非常满意”</w:t>
      </w:r>
      <w:r>
        <w:rPr>
          <w:rFonts w:hint="eastAsia" w:ascii="Times New Roman" w:hAnsi="Times New Roman" w:eastAsia="宋体" w:cs="Times New Roman"/>
          <w:color w:val="auto"/>
          <w:highlight w:val="none"/>
          <w:lang w:val="en-US" w:eastAsia="zh-CN"/>
        </w:rPr>
        <w:t>159</w:t>
      </w:r>
      <w:r>
        <w:rPr>
          <w:rFonts w:hint="eastAsia" w:ascii="Times New Roman" w:hAnsi="Times New Roman" w:eastAsia="宋体" w:cs="Times New Roman"/>
          <w:color w:val="auto"/>
          <w:highlight w:val="none"/>
          <w:lang w:eastAsia="zh-CN"/>
        </w:rPr>
        <w:t>人，“满意”</w:t>
      </w:r>
      <w:r>
        <w:rPr>
          <w:rFonts w:hint="eastAsia" w:ascii="Times New Roman" w:hAnsi="Times New Roman" w:eastAsia="宋体" w:cs="Times New Roman"/>
          <w:color w:val="auto"/>
          <w:highlight w:val="none"/>
          <w:lang w:val="en-US" w:eastAsia="zh-CN"/>
        </w:rPr>
        <w:t>45</w:t>
      </w:r>
      <w:r>
        <w:rPr>
          <w:rFonts w:hint="eastAsia" w:ascii="Times New Roman" w:hAnsi="Times New Roman" w:eastAsia="宋体" w:cs="Times New Roman"/>
          <w:color w:val="auto"/>
          <w:highlight w:val="none"/>
          <w:lang w:eastAsia="zh-CN"/>
        </w:rPr>
        <w:t>人，“一般”</w:t>
      </w:r>
      <w:r>
        <w:rPr>
          <w:rFonts w:hint="eastAsia" w:ascii="Times New Roman" w:hAnsi="Times New Roman" w:eastAsia="宋体" w:cs="Times New Roman"/>
          <w:color w:val="auto"/>
          <w:highlight w:val="none"/>
          <w:lang w:val="en-US" w:eastAsia="zh-CN"/>
        </w:rPr>
        <w:t>11</w:t>
      </w:r>
      <w:r>
        <w:rPr>
          <w:rFonts w:hint="eastAsia" w:ascii="Times New Roman" w:hAnsi="Times New Roman" w:eastAsia="宋体" w:cs="Times New Roman"/>
          <w:color w:val="auto"/>
          <w:highlight w:val="none"/>
          <w:lang w:eastAsia="zh-CN"/>
        </w:rPr>
        <w:t>人，“不满意”4人，“非常不满意”</w:t>
      </w:r>
      <w:r>
        <w:rPr>
          <w:rFonts w:hint="eastAsia" w:ascii="Times New Roman" w:hAnsi="Times New Roman" w:eastAsia="宋体" w:cs="Times New Roman"/>
          <w:color w:val="auto"/>
          <w:highlight w:val="none"/>
          <w:lang w:val="en-US" w:eastAsia="zh-CN"/>
        </w:rPr>
        <w:t>0</w:t>
      </w:r>
      <w:r>
        <w:rPr>
          <w:rFonts w:hint="eastAsia" w:ascii="Times New Roman" w:hAnsi="Times New Roman" w:eastAsia="宋体" w:cs="Times New Roman"/>
          <w:color w:val="auto"/>
          <w:highlight w:val="none"/>
          <w:lang w:eastAsia="zh-CN"/>
        </w:rPr>
        <w:t>人；“</w:t>
      </w:r>
      <w:r>
        <w:rPr>
          <w:rFonts w:hint="eastAsia" w:ascii="Times New Roman" w:hAnsi="Times New Roman" w:eastAsia="宋体" w:cs="Times New Roman"/>
          <w:color w:val="auto"/>
          <w:highlight w:val="none"/>
        </w:rPr>
        <w:t>您对公路的清扫和整洁情况是否满意？</w:t>
      </w:r>
      <w:r>
        <w:rPr>
          <w:rFonts w:hint="eastAsia" w:ascii="Times New Roman" w:hAnsi="Times New Roman" w:eastAsia="宋体" w:cs="Times New Roman"/>
          <w:color w:val="auto"/>
          <w:highlight w:val="none"/>
          <w:lang w:eastAsia="zh-CN"/>
        </w:rPr>
        <w:t>”其中选择“非常满意”</w:t>
      </w:r>
      <w:r>
        <w:rPr>
          <w:rFonts w:hint="eastAsia" w:ascii="Times New Roman" w:hAnsi="Times New Roman" w:eastAsia="宋体" w:cs="Times New Roman"/>
          <w:color w:val="auto"/>
          <w:highlight w:val="none"/>
          <w:lang w:val="en-US" w:eastAsia="zh-CN"/>
        </w:rPr>
        <w:t>154</w:t>
      </w:r>
      <w:r>
        <w:rPr>
          <w:rFonts w:hint="eastAsia" w:ascii="Times New Roman" w:hAnsi="Times New Roman" w:eastAsia="宋体" w:cs="Times New Roman"/>
          <w:color w:val="auto"/>
          <w:highlight w:val="none"/>
          <w:lang w:eastAsia="zh-CN"/>
        </w:rPr>
        <w:t>人，“满意”</w:t>
      </w:r>
      <w:r>
        <w:rPr>
          <w:rFonts w:hint="eastAsia" w:ascii="Times New Roman" w:hAnsi="Times New Roman" w:eastAsia="宋体" w:cs="Times New Roman"/>
          <w:color w:val="auto"/>
          <w:highlight w:val="none"/>
          <w:lang w:val="en-US" w:eastAsia="zh-CN"/>
        </w:rPr>
        <w:t>49</w:t>
      </w:r>
      <w:r>
        <w:rPr>
          <w:rFonts w:hint="eastAsia" w:ascii="Times New Roman" w:hAnsi="Times New Roman" w:eastAsia="宋体" w:cs="Times New Roman"/>
          <w:color w:val="auto"/>
          <w:highlight w:val="none"/>
          <w:lang w:eastAsia="zh-CN"/>
        </w:rPr>
        <w:t>人，“一般”</w:t>
      </w:r>
      <w:r>
        <w:rPr>
          <w:rFonts w:hint="eastAsia" w:ascii="Times New Roman" w:hAnsi="Times New Roman" w:eastAsia="宋体" w:cs="Times New Roman"/>
          <w:color w:val="auto"/>
          <w:highlight w:val="none"/>
          <w:lang w:val="en-US" w:eastAsia="zh-CN"/>
        </w:rPr>
        <w:t>11</w:t>
      </w:r>
      <w:r>
        <w:rPr>
          <w:rFonts w:hint="eastAsia" w:ascii="Times New Roman" w:hAnsi="Times New Roman" w:eastAsia="宋体" w:cs="Times New Roman"/>
          <w:color w:val="auto"/>
          <w:highlight w:val="none"/>
          <w:lang w:eastAsia="zh-CN"/>
        </w:rPr>
        <w:t>人，“不满意”4人，“非常不满意”</w:t>
      </w:r>
      <w:r>
        <w:rPr>
          <w:rFonts w:hint="eastAsia" w:ascii="Times New Roman" w:hAnsi="Times New Roman" w:eastAsia="宋体" w:cs="Times New Roman"/>
          <w:color w:val="auto"/>
          <w:highlight w:val="none"/>
          <w:lang w:val="en-US" w:eastAsia="zh-CN"/>
        </w:rPr>
        <w:t>0</w:t>
      </w:r>
      <w:r>
        <w:rPr>
          <w:rFonts w:hint="eastAsia" w:ascii="Times New Roman" w:hAnsi="Times New Roman" w:eastAsia="宋体" w:cs="Times New Roman"/>
          <w:color w:val="auto"/>
          <w:highlight w:val="none"/>
          <w:lang w:eastAsia="zh-CN"/>
        </w:rPr>
        <w:t>人；“</w:t>
      </w:r>
      <w:r>
        <w:rPr>
          <w:rFonts w:hint="eastAsia" w:ascii="Times New Roman" w:hAnsi="Times New Roman" w:eastAsia="宋体" w:cs="Times New Roman"/>
          <w:color w:val="auto"/>
          <w:highlight w:val="none"/>
        </w:rPr>
        <w:t>您认为公路养护的及时性如何？</w:t>
      </w:r>
      <w:r>
        <w:rPr>
          <w:rFonts w:hint="eastAsia" w:ascii="Times New Roman" w:hAnsi="Times New Roman" w:eastAsia="宋体" w:cs="Times New Roman"/>
          <w:color w:val="auto"/>
          <w:highlight w:val="none"/>
          <w:lang w:eastAsia="zh-CN"/>
        </w:rPr>
        <w:t>”其中选择“非常</w:t>
      </w:r>
      <w:r>
        <w:rPr>
          <w:rFonts w:hint="eastAsia" w:ascii="Times New Roman" w:hAnsi="Times New Roman" w:eastAsia="宋体" w:cs="Times New Roman"/>
          <w:color w:val="auto"/>
          <w:highlight w:val="none"/>
          <w:lang w:val="en-US" w:eastAsia="zh-CN"/>
        </w:rPr>
        <w:t>及时</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154</w:t>
      </w:r>
      <w:r>
        <w:rPr>
          <w:rFonts w:hint="eastAsia" w:ascii="Times New Roman" w:hAnsi="Times New Roman" w:eastAsia="宋体" w:cs="Times New Roman"/>
          <w:color w:val="auto"/>
          <w:highlight w:val="none"/>
          <w:lang w:eastAsia="zh-CN"/>
        </w:rPr>
        <w:t>人，“</w:t>
      </w:r>
      <w:r>
        <w:rPr>
          <w:rFonts w:hint="eastAsia" w:ascii="Times New Roman" w:hAnsi="Times New Roman" w:eastAsia="宋体" w:cs="Times New Roman"/>
          <w:color w:val="auto"/>
          <w:highlight w:val="none"/>
          <w:lang w:val="en-US" w:eastAsia="zh-CN"/>
        </w:rPr>
        <w:t>及时</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42</w:t>
      </w:r>
      <w:r>
        <w:rPr>
          <w:rFonts w:hint="eastAsia" w:ascii="Times New Roman" w:hAnsi="Times New Roman" w:eastAsia="宋体" w:cs="Times New Roman"/>
          <w:color w:val="auto"/>
          <w:highlight w:val="none"/>
          <w:lang w:eastAsia="zh-CN"/>
        </w:rPr>
        <w:t>人，“一般”</w:t>
      </w:r>
      <w:r>
        <w:rPr>
          <w:rFonts w:hint="eastAsia" w:ascii="Times New Roman" w:hAnsi="Times New Roman" w:eastAsia="宋体" w:cs="Times New Roman"/>
          <w:color w:val="auto"/>
          <w:highlight w:val="none"/>
          <w:lang w:val="en-US" w:eastAsia="zh-CN"/>
        </w:rPr>
        <w:t>15</w:t>
      </w:r>
      <w:r>
        <w:rPr>
          <w:rFonts w:hint="eastAsia" w:ascii="Times New Roman" w:hAnsi="Times New Roman" w:eastAsia="宋体" w:cs="Times New Roman"/>
          <w:color w:val="auto"/>
          <w:highlight w:val="none"/>
          <w:lang w:eastAsia="zh-CN"/>
        </w:rPr>
        <w:t>人，“</w:t>
      </w:r>
      <w:r>
        <w:rPr>
          <w:rFonts w:hint="eastAsia" w:ascii="Times New Roman" w:hAnsi="Times New Roman" w:eastAsia="宋体" w:cs="Times New Roman"/>
          <w:color w:val="auto"/>
          <w:highlight w:val="none"/>
          <w:lang w:val="en-US" w:eastAsia="zh-CN"/>
        </w:rPr>
        <w:t>不及时</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6</w:t>
      </w:r>
      <w:r>
        <w:rPr>
          <w:rFonts w:hint="eastAsia" w:ascii="Times New Roman" w:hAnsi="Times New Roman" w:eastAsia="宋体" w:cs="Times New Roman"/>
          <w:color w:val="auto"/>
          <w:highlight w:val="none"/>
          <w:lang w:eastAsia="zh-CN"/>
        </w:rPr>
        <w:t>人，“非常不</w:t>
      </w:r>
      <w:r>
        <w:rPr>
          <w:rFonts w:hint="eastAsia" w:ascii="Times New Roman" w:hAnsi="Times New Roman" w:eastAsia="宋体" w:cs="Times New Roman"/>
          <w:color w:val="auto"/>
          <w:highlight w:val="none"/>
          <w:lang w:val="en-US" w:eastAsia="zh-CN"/>
        </w:rPr>
        <w:t>及时</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2</w:t>
      </w:r>
      <w:r>
        <w:rPr>
          <w:rFonts w:hint="eastAsia" w:ascii="Times New Roman" w:hAnsi="Times New Roman" w:eastAsia="宋体" w:cs="Times New Roman"/>
          <w:color w:val="auto"/>
          <w:highlight w:val="none"/>
          <w:lang w:eastAsia="zh-CN"/>
        </w:rPr>
        <w:t>人；“</w:t>
      </w:r>
      <w:r>
        <w:rPr>
          <w:rFonts w:hint="eastAsia" w:ascii="Times New Roman" w:hAnsi="Times New Roman" w:eastAsia="宋体" w:cs="Times New Roman"/>
          <w:color w:val="auto"/>
          <w:highlight w:val="none"/>
        </w:rPr>
        <w:t>您对目前农村公路的通行安全性是否满意？</w:t>
      </w:r>
      <w:r>
        <w:rPr>
          <w:rFonts w:hint="eastAsia" w:ascii="Times New Roman" w:hAnsi="Times New Roman" w:eastAsia="宋体" w:cs="Times New Roman"/>
          <w:color w:val="auto"/>
          <w:highlight w:val="none"/>
          <w:lang w:eastAsia="zh-CN"/>
        </w:rPr>
        <w:t>”其中选择“非常满意”</w:t>
      </w:r>
      <w:r>
        <w:rPr>
          <w:rFonts w:hint="eastAsia" w:ascii="Times New Roman" w:hAnsi="Times New Roman" w:eastAsia="宋体" w:cs="Times New Roman"/>
          <w:color w:val="auto"/>
          <w:highlight w:val="none"/>
          <w:lang w:val="en-US" w:eastAsia="zh-CN"/>
        </w:rPr>
        <w:t>155</w:t>
      </w:r>
      <w:r>
        <w:rPr>
          <w:rFonts w:hint="eastAsia" w:ascii="Times New Roman" w:hAnsi="Times New Roman" w:eastAsia="宋体" w:cs="Times New Roman"/>
          <w:color w:val="auto"/>
          <w:highlight w:val="none"/>
          <w:lang w:eastAsia="zh-CN"/>
        </w:rPr>
        <w:t>人，“满意”</w:t>
      </w:r>
      <w:r>
        <w:rPr>
          <w:rFonts w:hint="eastAsia" w:ascii="Times New Roman" w:hAnsi="Times New Roman" w:eastAsia="宋体" w:cs="Times New Roman"/>
          <w:color w:val="auto"/>
          <w:highlight w:val="none"/>
          <w:lang w:val="en-US" w:eastAsia="zh-CN"/>
        </w:rPr>
        <w:t>48</w:t>
      </w:r>
      <w:r>
        <w:rPr>
          <w:rFonts w:hint="eastAsia" w:ascii="Times New Roman" w:hAnsi="Times New Roman" w:eastAsia="宋体" w:cs="Times New Roman"/>
          <w:color w:val="auto"/>
          <w:highlight w:val="none"/>
          <w:lang w:eastAsia="zh-CN"/>
        </w:rPr>
        <w:t>人，“一般”</w:t>
      </w:r>
      <w:r>
        <w:rPr>
          <w:rFonts w:hint="eastAsia" w:ascii="Times New Roman" w:hAnsi="Times New Roman" w:eastAsia="宋体" w:cs="Times New Roman"/>
          <w:color w:val="auto"/>
          <w:highlight w:val="none"/>
          <w:lang w:val="en-US" w:eastAsia="zh-CN"/>
        </w:rPr>
        <w:t>13</w:t>
      </w:r>
      <w:r>
        <w:rPr>
          <w:rFonts w:hint="eastAsia" w:ascii="Times New Roman" w:hAnsi="Times New Roman" w:eastAsia="宋体" w:cs="Times New Roman"/>
          <w:color w:val="auto"/>
          <w:highlight w:val="none"/>
          <w:lang w:eastAsia="zh-CN"/>
        </w:rPr>
        <w:t>人，“不满意”</w:t>
      </w:r>
      <w:r>
        <w:rPr>
          <w:rFonts w:hint="eastAsia" w:ascii="Times New Roman" w:hAnsi="Times New Roman" w:eastAsia="宋体" w:cs="Times New Roman"/>
          <w:color w:val="auto"/>
          <w:highlight w:val="none"/>
          <w:lang w:val="en-US" w:eastAsia="zh-CN"/>
        </w:rPr>
        <w:t>3</w:t>
      </w:r>
      <w:r>
        <w:rPr>
          <w:rFonts w:hint="eastAsia" w:ascii="Times New Roman" w:hAnsi="Times New Roman" w:eastAsia="宋体" w:cs="Times New Roman"/>
          <w:color w:val="auto"/>
          <w:highlight w:val="none"/>
          <w:lang w:eastAsia="zh-CN"/>
        </w:rPr>
        <w:t>人，“非常不满意”</w:t>
      </w:r>
      <w:r>
        <w:rPr>
          <w:rFonts w:hint="eastAsia" w:ascii="Times New Roman" w:hAnsi="Times New Roman" w:eastAsia="宋体" w:cs="Times New Roman"/>
          <w:color w:val="auto"/>
          <w:highlight w:val="none"/>
          <w:lang w:val="en-US" w:eastAsia="zh-CN"/>
        </w:rPr>
        <w:t>0</w:t>
      </w:r>
      <w:r>
        <w:rPr>
          <w:rFonts w:hint="eastAsia" w:ascii="Times New Roman" w:hAnsi="Times New Roman" w:eastAsia="宋体" w:cs="Times New Roman"/>
          <w:color w:val="auto"/>
          <w:highlight w:val="none"/>
          <w:lang w:eastAsia="zh-CN"/>
        </w:rPr>
        <w:t>人；“</w:t>
      </w:r>
      <w:r>
        <w:rPr>
          <w:rFonts w:hint="eastAsia" w:ascii="Times New Roman" w:hAnsi="Times New Roman" w:eastAsia="宋体" w:cs="Times New Roman"/>
          <w:color w:val="auto"/>
          <w:highlight w:val="none"/>
        </w:rPr>
        <w:t>您对成品油税费农村公路日常养护项目的整体满意度是？”其中选择“非常满意”</w:t>
      </w:r>
      <w:r>
        <w:rPr>
          <w:rFonts w:hint="eastAsia" w:ascii="Times New Roman" w:hAnsi="Times New Roman" w:eastAsia="宋体" w:cs="Times New Roman"/>
          <w:color w:val="auto"/>
          <w:highlight w:val="none"/>
          <w:lang w:val="en-US" w:eastAsia="zh-CN"/>
        </w:rPr>
        <w:t>150</w:t>
      </w:r>
      <w:r>
        <w:rPr>
          <w:rFonts w:hint="eastAsia" w:ascii="Times New Roman" w:hAnsi="Times New Roman" w:eastAsia="宋体" w:cs="Times New Roman"/>
          <w:color w:val="auto"/>
          <w:highlight w:val="none"/>
        </w:rPr>
        <w:t>人，“满意”</w:t>
      </w:r>
      <w:r>
        <w:rPr>
          <w:rFonts w:hint="eastAsia" w:ascii="Times New Roman" w:hAnsi="Times New Roman" w:eastAsia="宋体" w:cs="Times New Roman"/>
          <w:color w:val="auto"/>
          <w:highlight w:val="none"/>
          <w:lang w:val="en-US" w:eastAsia="zh-CN"/>
        </w:rPr>
        <w:t>55</w:t>
      </w:r>
      <w:r>
        <w:rPr>
          <w:rFonts w:hint="eastAsia" w:ascii="Times New Roman" w:hAnsi="Times New Roman" w:eastAsia="宋体" w:cs="Times New Roman"/>
          <w:color w:val="auto"/>
          <w:highlight w:val="none"/>
        </w:rPr>
        <w:t>人，“一般”</w:t>
      </w:r>
      <w:r>
        <w:rPr>
          <w:rFonts w:hint="eastAsia" w:ascii="Times New Roman" w:hAnsi="Times New Roman" w:eastAsia="宋体" w:cs="Times New Roman"/>
          <w:color w:val="auto"/>
          <w:highlight w:val="none"/>
          <w:lang w:val="en-US" w:eastAsia="zh-CN"/>
        </w:rPr>
        <w:t>11</w:t>
      </w:r>
      <w:r>
        <w:rPr>
          <w:rFonts w:hint="eastAsia" w:ascii="Times New Roman" w:hAnsi="Times New Roman" w:eastAsia="宋体" w:cs="Times New Roman"/>
          <w:color w:val="auto"/>
          <w:highlight w:val="none"/>
        </w:rPr>
        <w:t>人，“不满意”</w:t>
      </w:r>
      <w:r>
        <w:rPr>
          <w:rFonts w:hint="eastAsia" w:ascii="Times New Roman" w:hAnsi="Times New Roman" w:eastAsia="宋体" w:cs="Times New Roman"/>
          <w:color w:val="auto"/>
          <w:highlight w:val="none"/>
          <w:lang w:val="en-US" w:eastAsia="zh-CN"/>
        </w:rPr>
        <w:t>2</w:t>
      </w:r>
      <w:r>
        <w:rPr>
          <w:rFonts w:hint="eastAsia" w:ascii="Times New Roman" w:hAnsi="Times New Roman" w:eastAsia="宋体" w:cs="Times New Roman"/>
          <w:color w:val="auto"/>
          <w:highlight w:val="none"/>
        </w:rPr>
        <w:t>人，“非常不满意”</w:t>
      </w:r>
      <w:r>
        <w:rPr>
          <w:rFonts w:hint="eastAsia" w:ascii="Times New Roman" w:hAnsi="Times New Roman" w:eastAsia="宋体" w:cs="Times New Roman"/>
          <w:color w:val="auto"/>
          <w:highlight w:val="none"/>
          <w:lang w:val="en-US" w:eastAsia="zh-CN"/>
        </w:rPr>
        <w:t>1</w:t>
      </w:r>
      <w:r>
        <w:rPr>
          <w:rFonts w:hint="eastAsia" w:ascii="Times New Roman" w:hAnsi="Times New Roman" w:eastAsia="宋体" w:cs="Times New Roman"/>
          <w:color w:val="auto"/>
          <w:highlight w:val="none"/>
        </w:rPr>
        <w:t>人；各问题满意度分别为</w:t>
      </w:r>
      <w:r>
        <w:rPr>
          <w:rFonts w:hint="eastAsia" w:ascii="Times New Roman" w:hAnsi="Times New Roman" w:eastAsia="宋体" w:cs="Times New Roman"/>
          <w:color w:val="auto"/>
          <w:highlight w:val="none"/>
          <w:lang w:val="en-US" w:eastAsia="zh-CN"/>
        </w:rPr>
        <w:t>92.60</w:t>
      </w:r>
      <w:r>
        <w:rPr>
          <w:rFonts w:hint="eastAsia" w:ascii="Times New Roman" w:hAnsi="Times New Roman" w:eastAsia="宋体" w:cs="Times New Roman"/>
          <w:color w:val="auto"/>
          <w:highlight w:val="none"/>
        </w:rPr>
        <w:t>%、9</w:t>
      </w:r>
      <w:r>
        <w:rPr>
          <w:rFonts w:hint="eastAsia" w:ascii="Times New Roman" w:hAnsi="Times New Roman" w:eastAsia="宋体" w:cs="Times New Roman"/>
          <w:color w:val="auto"/>
          <w:highlight w:val="none"/>
          <w:lang w:val="en-US" w:eastAsia="zh-CN"/>
        </w:rPr>
        <w:t>1.92</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9</w:t>
      </w:r>
      <w:r>
        <w:rPr>
          <w:rFonts w:hint="eastAsia" w:ascii="Times New Roman" w:hAnsi="Times New Roman" w:eastAsia="宋体" w:cs="Times New Roman"/>
          <w:color w:val="auto"/>
          <w:highlight w:val="none"/>
          <w:lang w:val="en-US" w:eastAsia="zh-CN"/>
        </w:rPr>
        <w:t>0.59</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9</w:t>
      </w:r>
      <w:r>
        <w:rPr>
          <w:rFonts w:hint="eastAsia" w:ascii="Times New Roman" w:hAnsi="Times New Roman" w:eastAsia="宋体" w:cs="Times New Roman"/>
          <w:color w:val="auto"/>
          <w:highlight w:val="none"/>
          <w:lang w:val="en-US" w:eastAsia="zh-CN"/>
        </w:rPr>
        <w:t>2.28</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9</w:t>
      </w:r>
      <w:r>
        <w:rPr>
          <w:rFonts w:hint="eastAsia" w:ascii="Times New Roman" w:hAnsi="Times New Roman" w:eastAsia="宋体" w:cs="Times New Roman"/>
          <w:color w:val="auto"/>
          <w:highlight w:val="none"/>
          <w:lang w:val="en-US" w:eastAsia="zh-CN"/>
        </w:rPr>
        <w:t>1.87</w:t>
      </w:r>
      <w:r>
        <w:rPr>
          <w:rFonts w:hint="eastAsia" w:ascii="Times New Roman" w:hAnsi="Times New Roman" w:eastAsia="宋体" w:cs="Times New Roman"/>
          <w:color w:val="auto"/>
          <w:highlight w:val="none"/>
        </w:rPr>
        <w:t>%，综合满意度</w:t>
      </w:r>
      <w:r>
        <w:rPr>
          <w:rFonts w:hint="eastAsia"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92.60</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rPr>
        <w:t>9</w:t>
      </w:r>
      <w:r>
        <w:rPr>
          <w:rFonts w:hint="eastAsia" w:ascii="Times New Roman" w:hAnsi="Times New Roman" w:eastAsia="宋体" w:cs="Times New Roman"/>
          <w:color w:val="auto"/>
          <w:highlight w:val="none"/>
          <w:lang w:val="en-US" w:eastAsia="zh-CN"/>
        </w:rPr>
        <w:t>1.92</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rPr>
        <w:t>9</w:t>
      </w:r>
      <w:r>
        <w:rPr>
          <w:rFonts w:hint="eastAsia" w:ascii="Times New Roman" w:hAnsi="Times New Roman" w:eastAsia="宋体" w:cs="Times New Roman"/>
          <w:color w:val="auto"/>
          <w:highlight w:val="none"/>
          <w:lang w:val="en-US" w:eastAsia="zh-CN"/>
        </w:rPr>
        <w:t>0.59</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rPr>
        <w:t>9</w:t>
      </w:r>
      <w:r>
        <w:rPr>
          <w:rFonts w:hint="eastAsia" w:ascii="Times New Roman" w:hAnsi="Times New Roman" w:eastAsia="宋体" w:cs="Times New Roman"/>
          <w:color w:val="auto"/>
          <w:highlight w:val="none"/>
          <w:lang w:val="en-US" w:eastAsia="zh-CN"/>
        </w:rPr>
        <w:t>2.28</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rPr>
        <w:t>9</w:t>
      </w:r>
      <w:r>
        <w:rPr>
          <w:rFonts w:hint="eastAsia" w:ascii="Times New Roman" w:hAnsi="Times New Roman" w:eastAsia="宋体" w:cs="Times New Roman"/>
          <w:color w:val="auto"/>
          <w:highlight w:val="none"/>
          <w:lang w:val="en-US" w:eastAsia="zh-CN"/>
        </w:rPr>
        <w:t>1.87</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5</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91.85</w:t>
      </w:r>
      <w:r>
        <w:rPr>
          <w:rFonts w:hint="eastAsia" w:ascii="Times New Roman" w:hAnsi="Times New Roman" w:eastAsia="宋体" w:cs="Times New Roman"/>
          <w:color w:val="auto"/>
          <w:highlight w:val="none"/>
        </w:rPr>
        <w:t>%，指标完成率大于等于90.00%，达到预期目标。</w:t>
      </w:r>
    </w:p>
    <w:p w14:paraId="73C1B494">
      <w:pPr>
        <w:pageBreakBefore w:val="0"/>
        <w:kinsoku/>
        <w:wordWrap/>
        <w:overflowPunct/>
        <w:topLinePunct w:val="0"/>
        <w:autoSpaceDE/>
        <w:autoSpaceDN/>
        <w:bidi w:val="0"/>
        <w:snapToGrid w:val="0"/>
        <w:spacing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该指标满分为13.00分，根据评分标准</w:t>
      </w:r>
      <w:r>
        <w:rPr>
          <w:rFonts w:hint="eastAsia" w:ascii="Times New Roman" w:hAnsi="Times New Roman" w:eastAsia="宋体" w:cs="Times New Roman"/>
          <w:color w:val="auto"/>
          <w:szCs w:val="21"/>
          <w:highlight w:val="none"/>
          <w:lang w:val="en-US" w:eastAsia="zh-CN"/>
        </w:rPr>
        <w:t>得13.00分</w:t>
      </w:r>
      <w:r>
        <w:rPr>
          <w:rFonts w:hint="eastAsia" w:ascii="Times New Roman" w:hAnsi="Times New Roman" w:eastAsia="宋体" w:cs="Times New Roman"/>
          <w:color w:val="auto"/>
          <w:highlight w:val="none"/>
        </w:rPr>
        <w:t>。</w:t>
      </w:r>
    </w:p>
    <w:p w14:paraId="1018A7D5">
      <w:pPr>
        <w:pStyle w:val="4"/>
        <w:pageBreakBefore w:val="0"/>
        <w:kinsoku/>
        <w:wordWrap/>
        <w:overflowPunct/>
        <w:topLinePunct w:val="0"/>
        <w:autoSpaceDE/>
        <w:autoSpaceDN/>
        <w:bidi w:val="0"/>
        <w:snapToGrid w:val="0"/>
        <w:spacing w:line="360" w:lineRule="auto"/>
        <w:ind w:firstLine="482"/>
        <w:rPr>
          <w:rFonts w:ascii="Times New Roman" w:hAnsi="Times New Roman" w:eastAsia="宋体" w:cs="Times New Roman"/>
          <w:color w:val="auto"/>
          <w:highlight w:val="none"/>
        </w:rPr>
      </w:pPr>
      <w:bookmarkStart w:id="97" w:name="_Toc1448424962"/>
      <w:bookmarkStart w:id="98" w:name="_Toc2825"/>
      <w:bookmarkStart w:id="99" w:name="_Toc30458"/>
      <w:r>
        <w:rPr>
          <w:rFonts w:hint="eastAsia" w:ascii="Times New Roman" w:hAnsi="Times New Roman" w:eastAsia="宋体" w:cs="Times New Roman"/>
          <w:color w:val="auto"/>
          <w:highlight w:val="none"/>
        </w:rPr>
        <w:t>六</w:t>
      </w:r>
      <w:r>
        <w:rPr>
          <w:rFonts w:ascii="Times New Roman" w:hAnsi="Times New Roman" w:eastAsia="宋体" w:cs="Times New Roman"/>
          <w:color w:val="auto"/>
          <w:highlight w:val="none"/>
        </w:rPr>
        <w:t>、主要经验及做法、存在的问题及原因分析</w:t>
      </w:r>
      <w:bookmarkEnd w:id="97"/>
      <w:bookmarkEnd w:id="98"/>
      <w:bookmarkEnd w:id="99"/>
    </w:p>
    <w:p w14:paraId="1C35CF84">
      <w:pPr>
        <w:pStyle w:val="5"/>
        <w:pageBreakBefore w:val="0"/>
        <w:kinsoku/>
        <w:wordWrap/>
        <w:overflowPunct/>
        <w:topLinePunct w:val="0"/>
        <w:autoSpaceDE/>
        <w:autoSpaceDN/>
        <w:bidi w:val="0"/>
        <w:snapToGrid w:val="0"/>
        <w:spacing w:line="360" w:lineRule="auto"/>
        <w:ind w:firstLine="482"/>
        <w:rPr>
          <w:rFonts w:ascii="Times New Roman" w:hAnsi="Times New Roman" w:eastAsia="宋体" w:cs="Times New Roman"/>
          <w:color w:val="auto"/>
          <w:highlight w:val="none"/>
        </w:rPr>
      </w:pPr>
      <w:bookmarkStart w:id="100" w:name="_Toc15518"/>
      <w:bookmarkStart w:id="101" w:name="_Toc16974"/>
      <w:bookmarkStart w:id="102" w:name="_Toc8556"/>
      <w:bookmarkStart w:id="103" w:name="_Toc14662"/>
      <w:bookmarkStart w:id="104" w:name="_Toc1951197589"/>
      <w:r>
        <w:rPr>
          <w:rFonts w:ascii="Times New Roman" w:hAnsi="Times New Roman" w:eastAsia="宋体" w:cs="Times New Roman"/>
          <w:color w:val="auto"/>
          <w:highlight w:val="none"/>
        </w:rPr>
        <w:t>（一）主要经验及做法</w:t>
      </w:r>
      <w:bookmarkEnd w:id="100"/>
      <w:bookmarkEnd w:id="101"/>
      <w:bookmarkEnd w:id="102"/>
      <w:bookmarkEnd w:id="103"/>
      <w:bookmarkEnd w:id="104"/>
    </w:p>
    <w:p w14:paraId="46CD88FE">
      <w:pPr>
        <w:spacing w:line="360" w:lineRule="auto"/>
        <w:ind w:firstLine="420"/>
        <w:rPr>
          <w:rFonts w:ascii="Times New Roman" w:hAnsi="Times New Roman" w:eastAsia="宋体" w:cs="Times New Roman"/>
          <w:color w:val="auto"/>
          <w:highlight w:val="none"/>
        </w:rPr>
      </w:pPr>
      <w:bookmarkStart w:id="105" w:name="_Toc13318"/>
      <w:bookmarkStart w:id="106" w:name="_Toc1702588633"/>
      <w:bookmarkStart w:id="107" w:name="_Toc370"/>
      <w:bookmarkStart w:id="108" w:name="_Toc4015"/>
      <w:r>
        <w:rPr>
          <w:rFonts w:ascii="Times New Roman" w:hAnsi="Times New Roman" w:eastAsia="宋体" w:cs="Times New Roman"/>
          <w:color w:val="auto"/>
          <w:highlight w:val="none"/>
        </w:rPr>
        <w:t>伊宁县</w:t>
      </w:r>
      <w:r>
        <w:rPr>
          <w:rFonts w:hint="eastAsia" w:ascii="Times New Roman" w:hAnsi="Times New Roman" w:eastAsia="宋体" w:cs="Times New Roman"/>
          <w:color w:val="auto"/>
          <w:highlight w:val="none"/>
          <w:lang w:val="en-US" w:eastAsia="zh-CN"/>
        </w:rPr>
        <w:t>交通运输局根据农村公路管理要求，制定了《2024年伊宁县农村公路日常养护实施方案》《</w:t>
      </w:r>
      <w:r>
        <w:rPr>
          <w:rFonts w:hint="eastAsia" w:ascii="Times New Roman" w:hAnsi="Times New Roman" w:eastAsia="宋体" w:cs="Times New Roman"/>
          <w:color w:val="auto"/>
          <w:szCs w:val="21"/>
          <w:highlight w:val="none"/>
          <w:lang w:val="en-US" w:eastAsia="zh-CN"/>
        </w:rPr>
        <w:t>伊宁县2024年农村公路日常养护项目可行性研究报告</w:t>
      </w:r>
      <w:r>
        <w:rPr>
          <w:rFonts w:hint="eastAsia" w:ascii="Times New Roman" w:hAnsi="Times New Roman" w:eastAsia="宋体" w:cs="Times New Roman"/>
          <w:color w:val="auto"/>
          <w:highlight w:val="none"/>
          <w:lang w:val="en-US" w:eastAsia="zh-CN"/>
        </w:rPr>
        <w:t>》，具体明确各组织责任，与发改部门对接，及时办理前期手续，推进项目工作；加强与设计单位对接细化建设方案设计和施工图设计等施工准备工作，确保项目建设程序规范，保障公路养护任务落实到位，持续</w:t>
      </w:r>
      <w:r>
        <w:rPr>
          <w:rFonts w:hint="eastAsia" w:ascii="Times New Roman" w:hAnsi="Times New Roman" w:eastAsia="宋体" w:cs="Times New Roman"/>
          <w:color w:val="auto"/>
          <w:highlight w:val="none"/>
        </w:rPr>
        <w:t>加快构建农村公路养护管理长效机制</w:t>
      </w:r>
      <w:r>
        <w:rPr>
          <w:rFonts w:hint="eastAsia" w:ascii="Times New Roman" w:hAnsi="Times New Roman" w:eastAsia="宋体" w:cs="Times New Roman"/>
          <w:color w:val="auto"/>
          <w:highlight w:val="none"/>
          <w:lang w:val="en-US" w:eastAsia="zh-CN"/>
        </w:rPr>
        <w:t>。</w:t>
      </w:r>
    </w:p>
    <w:p w14:paraId="19290585">
      <w:pPr>
        <w:pStyle w:val="5"/>
        <w:pageBreakBefore w:val="0"/>
        <w:kinsoku/>
        <w:wordWrap/>
        <w:overflowPunct/>
        <w:topLinePunct w:val="0"/>
        <w:autoSpaceDE/>
        <w:autoSpaceDN/>
        <w:bidi w:val="0"/>
        <w:snapToGrid w:val="0"/>
        <w:spacing w:line="360" w:lineRule="auto"/>
        <w:ind w:firstLine="482"/>
        <w:rPr>
          <w:rFonts w:ascii="Times New Roman" w:hAnsi="Times New Roman" w:eastAsia="宋体" w:cs="Times New Roman"/>
          <w:color w:val="auto"/>
          <w:highlight w:val="none"/>
        </w:rPr>
      </w:pPr>
      <w:bookmarkStart w:id="109" w:name="_Toc28206"/>
      <w:r>
        <w:rPr>
          <w:rFonts w:ascii="Times New Roman" w:hAnsi="Times New Roman" w:eastAsia="宋体" w:cs="Times New Roman"/>
          <w:color w:val="auto"/>
          <w:highlight w:val="none"/>
        </w:rPr>
        <w:t>（二）存在的问题</w:t>
      </w:r>
      <w:bookmarkEnd w:id="105"/>
      <w:bookmarkEnd w:id="106"/>
      <w:bookmarkEnd w:id="107"/>
      <w:bookmarkEnd w:id="108"/>
      <w:bookmarkEnd w:id="109"/>
    </w:p>
    <w:p w14:paraId="707DCA6C">
      <w:pPr>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default" w:ascii="Times New Roman" w:hAnsi="Times New Roman" w:eastAsia="宋体" w:cs="Times New Roman"/>
          <w:color w:val="auto"/>
          <w:highlight w:val="none"/>
          <w:lang w:val="en-US" w:eastAsia="zh-CN"/>
        </w:rPr>
      </w:pPr>
      <w:bookmarkStart w:id="110" w:name="_Toc187558556"/>
      <w:bookmarkStart w:id="111" w:name="_Toc15177"/>
      <w:bookmarkStart w:id="112" w:name="_Toc13947"/>
      <w:bookmarkStart w:id="113" w:name="_Toc8112"/>
      <w:r>
        <w:rPr>
          <w:rFonts w:hint="default" w:ascii="Times New Roman" w:hAnsi="Times New Roman" w:eastAsia="宋体" w:cs="Times New Roman"/>
          <w:b/>
          <w:bCs/>
          <w:color w:val="auto"/>
          <w:highlight w:val="none"/>
          <w:lang w:val="en-US" w:eastAsia="zh-CN"/>
        </w:rPr>
        <w:t>1.</w:t>
      </w:r>
      <w:r>
        <w:rPr>
          <w:rFonts w:hint="default" w:ascii="Times New Roman" w:hAnsi="Times New Roman" w:eastAsia="宋体" w:cs="Times New Roman"/>
          <w:b/>
          <w:bCs/>
          <w:color w:val="auto"/>
          <w:highlight w:val="none"/>
        </w:rPr>
        <w:t>项目合同履约不到位</w:t>
      </w:r>
      <w:r>
        <w:rPr>
          <w:rFonts w:hint="eastAsia" w:ascii="Times New Roman" w:hAnsi="Times New Roman" w:eastAsia="宋体" w:cs="Times New Roman"/>
          <w:b/>
          <w:bCs/>
          <w:color w:val="auto"/>
          <w:highlight w:val="none"/>
          <w:lang w:eastAsia="zh-CN"/>
        </w:rPr>
        <w:t>，</w:t>
      </w:r>
      <w:r>
        <w:rPr>
          <w:rFonts w:hint="eastAsia" w:ascii="Times New Roman" w:hAnsi="Times New Roman" w:eastAsia="宋体" w:cs="Times New Roman"/>
          <w:b/>
          <w:bCs/>
          <w:color w:val="auto"/>
          <w:highlight w:val="none"/>
          <w:lang w:val="en-US" w:eastAsia="zh-CN"/>
        </w:rPr>
        <w:t>未按合同约定进度支付款项</w:t>
      </w:r>
    </w:p>
    <w:p w14:paraId="70D292AE">
      <w:pPr>
        <w:numPr>
          <w:ilvl w:val="0"/>
          <w:numId w:val="0"/>
        </w:numPr>
        <w:spacing w:line="360" w:lineRule="auto"/>
        <w:ind w:firstLine="420" w:firstLineChars="0"/>
        <w:rPr>
          <w:rFonts w:hint="eastAsia" w:eastAsia="宋体" w:cs="Times New Roman"/>
          <w:color w:val="auto"/>
          <w:highlight w:val="none"/>
          <w:lang w:eastAsia="zh-CN"/>
        </w:rPr>
      </w:pPr>
      <w:r>
        <w:rPr>
          <w:rFonts w:hint="eastAsia" w:eastAsia="宋体" w:cs="Times New Roman"/>
          <w:color w:val="auto"/>
          <w:highlight w:val="none"/>
          <w:lang w:val="en-US" w:eastAsia="zh-CN"/>
        </w:rPr>
        <w:t>（1）</w:t>
      </w:r>
      <w:r>
        <w:rPr>
          <w:rFonts w:hint="default" w:ascii="Times New Roman" w:hAnsi="Times New Roman" w:eastAsia="宋体" w:cs="Times New Roman"/>
          <w:color w:val="auto"/>
          <w:highlight w:val="none"/>
        </w:rPr>
        <w:t>该项目于202</w:t>
      </w:r>
      <w:r>
        <w:rPr>
          <w:rFonts w:hint="eastAsia" w:ascii="Times New Roman" w:hAnsi="Times New Roman" w:eastAsia="宋体" w:cs="Times New Roman"/>
          <w:color w:val="auto"/>
          <w:highlight w:val="none"/>
          <w:lang w:val="en-US" w:eastAsia="zh-CN"/>
        </w:rPr>
        <w:t>4</w:t>
      </w:r>
      <w:r>
        <w:rPr>
          <w:rFonts w:hint="default" w:ascii="Times New Roman" w:hAnsi="Times New Roman" w:eastAsia="宋体" w:cs="Times New Roman"/>
          <w:color w:val="auto"/>
          <w:highlight w:val="none"/>
        </w:rPr>
        <w:t>年9月</w:t>
      </w:r>
      <w:r>
        <w:rPr>
          <w:rFonts w:hint="eastAsia" w:ascii="Times New Roman" w:hAnsi="Times New Roman" w:eastAsia="宋体" w:cs="Times New Roman"/>
          <w:color w:val="auto"/>
          <w:highlight w:val="none"/>
          <w:lang w:val="en-US" w:eastAsia="zh-CN"/>
        </w:rPr>
        <w:t>9</w:t>
      </w:r>
      <w:r>
        <w:rPr>
          <w:rFonts w:hint="default" w:ascii="Times New Roman" w:hAnsi="Times New Roman" w:eastAsia="宋体" w:cs="Times New Roman"/>
          <w:color w:val="auto"/>
          <w:highlight w:val="none"/>
        </w:rPr>
        <w:t>日竣工验收通过，截至2024年1</w:t>
      </w:r>
      <w:r>
        <w:rPr>
          <w:rFonts w:hint="eastAsia" w:ascii="Times New Roman" w:hAnsi="Times New Roman" w:eastAsia="宋体" w:cs="Times New Roman"/>
          <w:color w:val="auto"/>
          <w:highlight w:val="none"/>
          <w:lang w:val="en-US" w:eastAsia="zh-CN"/>
        </w:rPr>
        <w:t>2</w:t>
      </w:r>
      <w:r>
        <w:rPr>
          <w:rFonts w:hint="default" w:ascii="Times New Roman" w:hAnsi="Times New Roman" w:eastAsia="宋体" w:cs="Times New Roman"/>
          <w:color w:val="auto"/>
          <w:highlight w:val="none"/>
        </w:rPr>
        <w:t>月30日，</w:t>
      </w:r>
      <w:r>
        <w:rPr>
          <w:rFonts w:hint="eastAsia" w:ascii="Times New Roman" w:hAnsi="Times New Roman" w:eastAsia="宋体" w:cs="Times New Roman"/>
          <w:color w:val="auto"/>
          <w:highlight w:val="none"/>
          <w:lang w:val="en-US" w:eastAsia="zh-CN"/>
        </w:rPr>
        <w:t>尚未</w:t>
      </w:r>
      <w:r>
        <w:rPr>
          <w:rFonts w:hint="default" w:ascii="Times New Roman" w:hAnsi="Times New Roman" w:eastAsia="宋体" w:cs="Times New Roman"/>
          <w:color w:val="auto"/>
          <w:highlight w:val="none"/>
          <w:lang w:val="en-US" w:eastAsia="zh-CN"/>
        </w:rPr>
        <w:t>根据项目</w:t>
      </w:r>
      <w:r>
        <w:rPr>
          <w:rFonts w:hint="eastAsia" w:ascii="Times New Roman" w:hAnsi="Times New Roman" w:eastAsia="宋体" w:cs="Times New Roman"/>
          <w:color w:val="auto"/>
          <w:highlight w:val="none"/>
          <w:lang w:val="en-US" w:eastAsia="zh-CN"/>
        </w:rPr>
        <w:t>《监理</w:t>
      </w:r>
      <w:r>
        <w:rPr>
          <w:rFonts w:hint="default" w:ascii="Times New Roman" w:hAnsi="Times New Roman" w:eastAsia="宋体" w:cs="Times New Roman"/>
          <w:color w:val="auto"/>
          <w:highlight w:val="none"/>
          <w:lang w:val="en-US" w:eastAsia="zh-CN"/>
        </w:rPr>
        <w:t>合同</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约定“监理人员进场后，支付合同总价的30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按工程进度支付至合同总价的90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工程经质量监督部门进行质量认证合格后，支付合同总价的10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支付</w:t>
      </w:r>
      <w:r>
        <w:rPr>
          <w:rFonts w:hint="default" w:ascii="Times New Roman" w:hAnsi="Times New Roman" w:eastAsia="宋体" w:cs="Times New Roman"/>
          <w:color w:val="auto"/>
          <w:highlight w:val="none"/>
        </w:rPr>
        <w:t>监理费用</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尚未按照《设计</w:t>
      </w:r>
      <w:r>
        <w:rPr>
          <w:rFonts w:hint="default" w:ascii="Times New Roman" w:hAnsi="Times New Roman" w:eastAsia="宋体" w:cs="Times New Roman"/>
          <w:color w:val="auto"/>
          <w:highlight w:val="none"/>
          <w:lang w:val="en-US" w:eastAsia="zh-CN"/>
        </w:rPr>
        <w:t>合同</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约定“设计人提交施工图设计文件后15天内，委托人支付设计人设计费总额的50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剩余设计费总额的50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待本项目投标完成后七天内一次性付清。”</w:t>
      </w:r>
      <w:r>
        <w:rPr>
          <w:rFonts w:hint="default" w:ascii="Times New Roman" w:hAnsi="Times New Roman" w:eastAsia="宋体" w:cs="Times New Roman"/>
          <w:color w:val="auto"/>
          <w:highlight w:val="none"/>
        </w:rPr>
        <w:t>支付</w:t>
      </w:r>
      <w:r>
        <w:rPr>
          <w:rFonts w:hint="eastAsia" w:ascii="Times New Roman" w:hAnsi="Times New Roman" w:eastAsia="宋体" w:cs="Times New Roman"/>
          <w:color w:val="auto"/>
          <w:highlight w:val="none"/>
          <w:lang w:val="en-US" w:eastAsia="zh-CN"/>
        </w:rPr>
        <w:t>设计</w:t>
      </w:r>
      <w:r>
        <w:rPr>
          <w:rFonts w:hint="default" w:ascii="Times New Roman" w:hAnsi="Times New Roman" w:eastAsia="宋体" w:cs="Times New Roman"/>
          <w:color w:val="auto"/>
          <w:highlight w:val="none"/>
        </w:rPr>
        <w:t>费用</w:t>
      </w:r>
      <w:r>
        <w:rPr>
          <w:rFonts w:hint="eastAsia" w:eastAsia="宋体" w:cs="Times New Roman"/>
          <w:color w:val="auto"/>
          <w:highlight w:val="none"/>
          <w:lang w:eastAsia="zh-CN"/>
        </w:rPr>
        <w:t>。</w:t>
      </w:r>
    </w:p>
    <w:p w14:paraId="743680A7">
      <w:pPr>
        <w:spacing w:line="360" w:lineRule="auto"/>
        <w:ind w:firstLine="422"/>
        <w:rPr>
          <w:rFonts w:hint="eastAsia" w:ascii="Times New Roman" w:hAnsi="Times New Roman" w:eastAsia="宋体" w:cs="Times New Roman"/>
          <w:b/>
          <w:bCs/>
          <w:color w:val="auto"/>
          <w:szCs w:val="21"/>
          <w:highlight w:val="none"/>
          <w:lang w:val="en-US" w:eastAsia="zh-CN"/>
        </w:rPr>
      </w:pPr>
      <w:r>
        <w:rPr>
          <w:rFonts w:hint="eastAsia" w:eastAsia="宋体" w:cs="Times New Roman"/>
          <w:color w:val="auto"/>
          <w:highlight w:val="none"/>
          <w:lang w:val="en-US" w:eastAsia="zh-CN"/>
        </w:rPr>
        <w:t>（2）</w:t>
      </w:r>
      <w:r>
        <w:rPr>
          <w:rFonts w:hint="default" w:ascii="Times New Roman" w:hAnsi="Times New Roman" w:eastAsia="宋体" w:cs="Times New Roman"/>
          <w:color w:val="auto"/>
          <w:highlight w:val="none"/>
        </w:rPr>
        <w:t>该项目于202</w:t>
      </w:r>
      <w:r>
        <w:rPr>
          <w:rFonts w:hint="eastAsia" w:ascii="Times New Roman" w:hAnsi="Times New Roman" w:eastAsia="宋体" w:cs="Times New Roman"/>
          <w:color w:val="auto"/>
          <w:highlight w:val="none"/>
          <w:lang w:val="en-US" w:eastAsia="zh-CN"/>
        </w:rPr>
        <w:t>4</w:t>
      </w:r>
      <w:r>
        <w:rPr>
          <w:rFonts w:hint="default" w:ascii="Times New Roman" w:hAnsi="Times New Roman" w:eastAsia="宋体" w:cs="Times New Roman"/>
          <w:color w:val="auto"/>
          <w:highlight w:val="none"/>
        </w:rPr>
        <w:t>年9月</w:t>
      </w:r>
      <w:r>
        <w:rPr>
          <w:rFonts w:hint="eastAsia" w:ascii="Times New Roman" w:hAnsi="Times New Roman" w:eastAsia="宋体" w:cs="Times New Roman"/>
          <w:color w:val="auto"/>
          <w:highlight w:val="none"/>
          <w:lang w:val="en-US" w:eastAsia="zh-CN"/>
        </w:rPr>
        <w:t>9</w:t>
      </w:r>
      <w:r>
        <w:rPr>
          <w:rFonts w:hint="default" w:ascii="Times New Roman" w:hAnsi="Times New Roman" w:eastAsia="宋体" w:cs="Times New Roman"/>
          <w:color w:val="auto"/>
          <w:highlight w:val="none"/>
        </w:rPr>
        <w:t>日竣工验收通过</w:t>
      </w:r>
      <w:r>
        <w:rPr>
          <w:rFonts w:hint="eastAsia" w:ascii="Times New Roman" w:hAnsi="Times New Roman" w:eastAsia="宋体" w:cs="Times New Roman"/>
          <w:color w:val="auto"/>
          <w:highlight w:val="none"/>
          <w:lang w:val="en-US" w:eastAsia="zh-CN"/>
        </w:rPr>
        <w:t>，工程结算审核金额为222.05万元，</w:t>
      </w:r>
      <w:r>
        <w:rPr>
          <w:rFonts w:hint="default" w:ascii="Times New Roman" w:hAnsi="Times New Roman" w:eastAsia="宋体" w:cs="Times New Roman"/>
          <w:color w:val="auto"/>
          <w:highlight w:val="none"/>
          <w:lang w:val="en-US" w:eastAsia="zh-CN"/>
        </w:rPr>
        <w:t>项目实施单位已完成支付施工费用</w:t>
      </w:r>
      <w:r>
        <w:rPr>
          <w:rFonts w:hint="eastAsia" w:ascii="Times New Roman" w:hAnsi="Times New Roman" w:eastAsia="宋体" w:cs="Times New Roman"/>
          <w:color w:val="auto"/>
          <w:highlight w:val="none"/>
          <w:lang w:val="en-US" w:eastAsia="zh-CN"/>
        </w:rPr>
        <w:t>222.00</w:t>
      </w:r>
      <w:r>
        <w:rPr>
          <w:rFonts w:hint="default" w:ascii="Times New Roman" w:hAnsi="Times New Roman" w:eastAsia="宋体" w:cs="Times New Roman"/>
          <w:color w:val="auto"/>
          <w:highlight w:val="none"/>
          <w:lang w:val="en-US" w:eastAsia="zh-CN"/>
        </w:rPr>
        <w:t>万元，合同支付比例为</w:t>
      </w:r>
      <w:r>
        <w:rPr>
          <w:rFonts w:hint="eastAsia" w:ascii="Times New Roman" w:hAnsi="Times New Roman" w:eastAsia="宋体" w:cs="Times New Roman"/>
          <w:color w:val="auto"/>
          <w:highlight w:val="none"/>
          <w:lang w:val="en-US" w:eastAsia="zh-CN"/>
        </w:rPr>
        <w:t>99.98</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与</w:t>
      </w:r>
      <w:r>
        <w:rPr>
          <w:rFonts w:hint="default" w:ascii="Times New Roman" w:hAnsi="Times New Roman" w:eastAsia="宋体" w:cs="Times New Roman"/>
          <w:color w:val="auto"/>
          <w:highlight w:val="none"/>
          <w:lang w:val="en-US" w:eastAsia="zh-CN"/>
        </w:rPr>
        <w:t>项目施工合同约定“本次签订合同完，工程机械进场后支付工程价款的30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按工程进度付款</w:t>
      </w:r>
      <w:r>
        <w:rPr>
          <w:rFonts w:hint="eastAsia" w:ascii="Times New Roman" w:hAnsi="Times New Roman" w:eastAsia="宋体" w:cs="Times New Roman"/>
          <w:color w:val="auto"/>
          <w:highlight w:val="none"/>
          <w:lang w:val="en-US" w:eastAsia="zh-CN"/>
        </w:rPr>
        <w:t>达到</w:t>
      </w:r>
      <w:r>
        <w:rPr>
          <w:rFonts w:hint="default" w:ascii="Times New Roman" w:hAnsi="Times New Roman" w:eastAsia="宋体" w:cs="Times New Roman"/>
          <w:color w:val="auto"/>
          <w:highlight w:val="none"/>
          <w:lang w:val="en-US" w:eastAsia="zh-CN"/>
        </w:rPr>
        <w:t>90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项目工程竣工结算审核后，支付至结算审核价的97</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缺陷责任期2年，预留3</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%作为工程质量保证金</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待缺陷责任期结束后，</w:t>
      </w:r>
      <w:r>
        <w:rPr>
          <w:rFonts w:hint="eastAsia" w:ascii="Times New Roman" w:hAnsi="Times New Roman" w:eastAsia="宋体" w:cs="Times New Roman"/>
          <w:color w:val="auto"/>
          <w:highlight w:val="none"/>
          <w:lang w:val="en-US" w:eastAsia="zh-CN"/>
        </w:rPr>
        <w:t>一次性全部支付给承包人</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等付款</w:t>
      </w:r>
      <w:r>
        <w:rPr>
          <w:rFonts w:hint="eastAsia" w:eastAsia="宋体" w:cs="Times New Roman"/>
          <w:color w:val="auto"/>
          <w:highlight w:val="none"/>
          <w:lang w:val="en-US" w:eastAsia="zh-CN"/>
        </w:rPr>
        <w:t>要求</w:t>
      </w:r>
      <w:r>
        <w:rPr>
          <w:rFonts w:hint="eastAsia" w:ascii="Times New Roman" w:hAnsi="Times New Roman" w:eastAsia="宋体" w:cs="Times New Roman"/>
          <w:color w:val="auto"/>
          <w:highlight w:val="none"/>
          <w:lang w:val="en-US" w:eastAsia="zh-CN"/>
        </w:rPr>
        <w:t>不相符</w:t>
      </w:r>
      <w:r>
        <w:rPr>
          <w:rFonts w:hint="default" w:ascii="Times New Roman" w:hAnsi="Times New Roman" w:eastAsia="宋体" w:cs="Times New Roman"/>
          <w:color w:val="auto"/>
          <w:highlight w:val="none"/>
          <w:lang w:val="en-US" w:eastAsia="zh-CN"/>
        </w:rPr>
        <w:t>。</w:t>
      </w:r>
    </w:p>
    <w:p w14:paraId="696BE849">
      <w:pPr>
        <w:pageBreakBefore w:val="0"/>
        <w:numPr>
          <w:ilvl w:val="0"/>
          <w:numId w:val="0"/>
        </w:numPr>
        <w:kinsoku/>
        <w:wordWrap/>
        <w:overflowPunct/>
        <w:topLinePunct w:val="0"/>
        <w:autoSpaceDE/>
        <w:autoSpaceDN/>
        <w:bidi w:val="0"/>
        <w:snapToGrid w:val="0"/>
        <w:spacing w:before="0" w:after="0" w:line="360" w:lineRule="auto"/>
        <w:ind w:firstLine="420" w:firstLineChars="0"/>
        <w:outlineLvl w:val="9"/>
        <w:rPr>
          <w:rFonts w:hint="eastAsia" w:ascii="Times New Roman" w:hAnsi="Times New Roman" w:eastAsia="宋体" w:cs="Times New Roman"/>
          <w:color w:val="auto"/>
          <w:highlight w:val="none"/>
          <w:lang w:val="en-US" w:eastAsia="zh-CN"/>
        </w:rPr>
      </w:pPr>
      <w:r>
        <w:rPr>
          <w:rFonts w:hint="eastAsia" w:eastAsia="宋体" w:cs="Times New Roman"/>
          <w:b/>
          <w:bCs/>
          <w:color w:val="auto"/>
          <w:kern w:val="2"/>
          <w:sz w:val="21"/>
          <w:szCs w:val="21"/>
          <w:highlight w:val="none"/>
          <w:lang w:val="en-US" w:eastAsia="zh-CN" w:bidi="ar-SA"/>
        </w:rPr>
        <w:t>2</w:t>
      </w:r>
      <w:r>
        <w:rPr>
          <w:rFonts w:hint="eastAsia" w:eastAsia="宋体" w:cs="Times New Roman"/>
          <w:b/>
          <w:bCs/>
          <w:color w:val="auto"/>
          <w:highlight w:val="none"/>
          <w:lang w:val="en-US" w:eastAsia="zh-CN"/>
        </w:rPr>
        <w:t>.项目采购管理及项目档案管理不规范</w:t>
      </w:r>
    </w:p>
    <w:p w14:paraId="284BD6D7">
      <w:pPr>
        <w:pageBreakBefore w:val="0"/>
        <w:kinsoku/>
        <w:wordWrap/>
        <w:overflowPunct/>
        <w:topLinePunct w:val="0"/>
        <w:autoSpaceDE/>
        <w:autoSpaceDN/>
        <w:bidi w:val="0"/>
        <w:snapToGrid w:val="0"/>
        <w:spacing w:before="0" w:after="0" w:line="360" w:lineRule="auto"/>
        <w:ind w:firstLine="560"/>
        <w:outlineLvl w:val="9"/>
        <w:rPr>
          <w:rFonts w:hint="eastAsia" w:ascii="Times New Roman" w:hAnsi="Times New Roman" w:eastAsia="宋体" w:cs="Times New Roman"/>
          <w:b w:val="0"/>
          <w:bCs w:val="0"/>
          <w:color w:val="auto"/>
          <w:kern w:val="2"/>
          <w:sz w:val="21"/>
          <w:szCs w:val="21"/>
          <w:highlight w:val="none"/>
          <w:lang w:val="en-US" w:eastAsia="zh-CN" w:bidi="ar-SA"/>
        </w:rPr>
      </w:pPr>
      <w:r>
        <w:rPr>
          <w:rFonts w:hint="eastAsia" w:eastAsia="宋体" w:cs="Times New Roman"/>
          <w:b w:val="0"/>
          <w:bCs w:val="0"/>
          <w:color w:val="auto"/>
          <w:sz w:val="21"/>
          <w:szCs w:val="21"/>
          <w:highlight w:val="none"/>
          <w:lang w:val="en-US" w:eastAsia="zh-CN"/>
        </w:rPr>
        <w:t>（1）</w:t>
      </w:r>
      <w:r>
        <w:rPr>
          <w:rFonts w:hint="eastAsia" w:ascii="Times New Roman" w:hAnsi="Times New Roman" w:eastAsia="宋体" w:cs="Times New Roman"/>
          <w:b w:val="0"/>
          <w:bCs w:val="0"/>
          <w:color w:val="auto"/>
          <w:sz w:val="21"/>
          <w:szCs w:val="21"/>
          <w:highlight w:val="none"/>
          <w:lang w:val="en-US" w:eastAsia="zh-CN"/>
        </w:rPr>
        <w:t>该项目</w:t>
      </w:r>
      <w:r>
        <w:rPr>
          <w:rFonts w:hint="eastAsia" w:ascii="Times New Roman" w:hAnsi="Times New Roman" w:eastAsia="宋体" w:cs="Times New Roman"/>
          <w:b w:val="0"/>
          <w:bCs w:val="0"/>
          <w:color w:val="auto"/>
          <w:kern w:val="2"/>
          <w:sz w:val="21"/>
          <w:szCs w:val="21"/>
          <w:highlight w:val="none"/>
          <w:lang w:val="en-US" w:eastAsia="zh-CN" w:bidi="ar-SA"/>
        </w:rPr>
        <w:t>实施单位通过直接采购的方式确定项目的监理单位、设计单位和审计结算单位等合作单位，但未按照</w:t>
      </w:r>
      <w:r>
        <w:rPr>
          <w:rFonts w:hint="eastAsia" w:ascii="Times New Roman" w:hAnsi="Times New Roman" w:eastAsia="宋体" w:cs="Times New Roman"/>
          <w:color w:val="auto"/>
          <w:szCs w:val="21"/>
          <w:highlight w:val="none"/>
          <w:lang w:val="en-US" w:eastAsia="zh-CN"/>
        </w:rPr>
        <w:t>《</w:t>
      </w:r>
      <w:r>
        <w:rPr>
          <w:rFonts w:hint="eastAsia" w:ascii="Times New Roman" w:hAnsi="Times New Roman" w:eastAsia="宋体" w:cs="Times New Roman"/>
          <w:color w:val="auto"/>
          <w:sz w:val="21"/>
          <w:szCs w:val="21"/>
          <w:highlight w:val="none"/>
          <w:lang w:val="en-US" w:eastAsia="zh-CN"/>
        </w:rPr>
        <w:t>伊宁县交通运输局采购管理制度》规定</w:t>
      </w:r>
      <w:r>
        <w:rPr>
          <w:rFonts w:hint="eastAsia" w:ascii="Times New Roman" w:hAnsi="Times New Roman" w:eastAsia="宋体" w:cs="Times New Roman"/>
          <w:color w:val="auto"/>
          <w:szCs w:val="21"/>
          <w:highlight w:val="none"/>
          <w:lang w:val="en-US" w:eastAsia="zh-CN"/>
        </w:rPr>
        <w:t>“单位</w:t>
      </w:r>
      <w:r>
        <w:rPr>
          <w:rFonts w:hint="eastAsia" w:ascii="Times New Roman" w:hAnsi="Times New Roman" w:eastAsia="宋体" w:cs="Times New Roman"/>
          <w:color w:val="auto"/>
          <w:sz w:val="21"/>
          <w:szCs w:val="21"/>
          <w:highlight w:val="none"/>
          <w:lang w:val="en-US" w:eastAsia="zh-CN"/>
        </w:rPr>
        <w:t>使用财政性资金采购货物、工程和服务的活动。可选择</w:t>
      </w:r>
      <w:r>
        <w:rPr>
          <w:rFonts w:hint="eastAsia" w:ascii="Times New Roman" w:hAnsi="Times New Roman" w:eastAsia="宋体" w:cs="Times New Roman"/>
          <w:b w:val="0"/>
          <w:bCs w:val="0"/>
          <w:color w:val="auto"/>
          <w:sz w:val="21"/>
          <w:szCs w:val="21"/>
          <w:highlight w:val="none"/>
          <w:lang w:val="en-US" w:eastAsia="zh-CN"/>
        </w:rPr>
        <w:t>公开招标、邀请招标、竞争性谈判、询价、单一来源采购方式</w:t>
      </w:r>
      <w:r>
        <w:rPr>
          <w:rFonts w:hint="eastAsia" w:ascii="Times New Roman" w:hAnsi="Times New Roman" w:eastAsia="宋体" w:cs="Times New Roman"/>
          <w:color w:val="auto"/>
          <w:szCs w:val="21"/>
          <w:highlight w:val="none"/>
          <w:lang w:val="en-US" w:eastAsia="zh-CN"/>
        </w:rPr>
        <w:t>”</w:t>
      </w:r>
      <w:r>
        <w:rPr>
          <w:rFonts w:hint="eastAsia" w:ascii="Times New Roman" w:hAnsi="Times New Roman" w:eastAsia="宋体" w:cs="Times New Roman"/>
          <w:b w:val="0"/>
          <w:bCs w:val="0"/>
          <w:color w:val="auto"/>
          <w:sz w:val="21"/>
          <w:szCs w:val="21"/>
          <w:highlight w:val="none"/>
          <w:lang w:val="en-US" w:eastAsia="zh-CN"/>
        </w:rPr>
        <w:t>等要求提供</w:t>
      </w:r>
      <w:r>
        <w:rPr>
          <w:rFonts w:hint="eastAsia" w:ascii="Times New Roman" w:hAnsi="Times New Roman" w:eastAsia="宋体" w:cs="Times New Roman"/>
          <w:b w:val="0"/>
          <w:bCs w:val="0"/>
          <w:color w:val="auto"/>
          <w:kern w:val="2"/>
          <w:sz w:val="21"/>
          <w:szCs w:val="21"/>
          <w:highlight w:val="none"/>
          <w:lang w:val="en-US" w:eastAsia="zh-CN" w:bidi="ar-SA"/>
        </w:rPr>
        <w:t>开展采购活动的相关资料。</w:t>
      </w:r>
    </w:p>
    <w:p w14:paraId="171B3CBA">
      <w:pPr>
        <w:spacing w:line="360" w:lineRule="auto"/>
        <w:ind w:firstLine="422"/>
        <w:rPr>
          <w:rFonts w:hint="eastAsia" w:ascii="Times New Roman" w:hAnsi="Times New Roman" w:eastAsia="宋体" w:cs="Times New Roman"/>
          <w:b w:val="0"/>
          <w:bCs w:val="0"/>
          <w:color w:val="auto"/>
          <w:kern w:val="2"/>
          <w:sz w:val="21"/>
          <w:szCs w:val="21"/>
          <w:highlight w:val="none"/>
          <w:lang w:val="en-US" w:eastAsia="zh-CN" w:bidi="ar-SA"/>
        </w:rPr>
      </w:pPr>
      <w:r>
        <w:rPr>
          <w:rFonts w:hint="eastAsia" w:eastAsia="宋体" w:cs="Times New Roman"/>
          <w:color w:val="auto"/>
          <w:highlight w:val="none"/>
          <w:lang w:val="en-US" w:eastAsia="zh-CN"/>
        </w:rPr>
        <w:t>（2）</w:t>
      </w:r>
      <w:r>
        <w:rPr>
          <w:rFonts w:hint="eastAsia" w:ascii="Times New Roman" w:hAnsi="Times New Roman" w:eastAsia="宋体" w:cs="Times New Roman"/>
          <w:color w:val="auto"/>
          <w:highlight w:val="none"/>
          <w:lang w:val="en-US" w:eastAsia="zh-CN"/>
        </w:rPr>
        <w:t>经查看伊犁州公共资源交易网，</w:t>
      </w:r>
      <w:r>
        <w:rPr>
          <w:rFonts w:hint="eastAsia" w:ascii="Times New Roman" w:hAnsi="Times New Roman" w:eastAsia="宋体" w:cs="Times New Roman"/>
          <w:b w:val="0"/>
          <w:bCs w:val="0"/>
          <w:color w:val="auto"/>
          <w:kern w:val="2"/>
          <w:sz w:val="21"/>
          <w:szCs w:val="21"/>
          <w:highlight w:val="none"/>
          <w:lang w:val="en-US" w:eastAsia="zh-CN" w:bidi="ar-SA"/>
        </w:rPr>
        <w:t>2024年5月29日通过伊犁州公共资源交易网发布公开招标公告，招标控制价</w:t>
      </w:r>
      <w:r>
        <w:rPr>
          <w:rFonts w:hint="eastAsia" w:eastAsia="宋体" w:cs="Times New Roman"/>
          <w:b w:val="0"/>
          <w:bCs w:val="0"/>
          <w:color w:val="auto"/>
          <w:kern w:val="2"/>
          <w:sz w:val="21"/>
          <w:szCs w:val="21"/>
          <w:highlight w:val="none"/>
          <w:lang w:val="en-US" w:eastAsia="zh-CN" w:bidi="ar-SA"/>
        </w:rPr>
        <w:t>为</w:t>
      </w:r>
      <w:r>
        <w:rPr>
          <w:rFonts w:hint="eastAsia" w:ascii="Times New Roman" w:hAnsi="Times New Roman" w:eastAsia="宋体" w:cs="Times New Roman"/>
          <w:b w:val="0"/>
          <w:bCs w:val="0"/>
          <w:color w:val="auto"/>
          <w:kern w:val="2"/>
          <w:sz w:val="21"/>
          <w:szCs w:val="21"/>
          <w:highlight w:val="none"/>
          <w:lang w:val="en-US" w:eastAsia="zh-CN" w:bidi="ar-SA"/>
        </w:rPr>
        <w:t>225.00万元</w:t>
      </w:r>
      <w:r>
        <w:rPr>
          <w:rFonts w:hint="eastAsia" w:eastAsia="宋体" w:cs="Times New Roman"/>
          <w:b w:val="0"/>
          <w:bCs w:val="0"/>
          <w:color w:val="auto"/>
          <w:kern w:val="2"/>
          <w:sz w:val="21"/>
          <w:szCs w:val="21"/>
          <w:highlight w:val="none"/>
          <w:lang w:val="en-US" w:eastAsia="zh-CN" w:bidi="ar-SA"/>
        </w:rPr>
        <w:t>，</w:t>
      </w:r>
      <w:r>
        <w:rPr>
          <w:rFonts w:hint="eastAsia" w:ascii="Times New Roman" w:hAnsi="Times New Roman" w:eastAsia="宋体" w:cs="Times New Roman"/>
          <w:b w:val="0"/>
          <w:bCs w:val="0"/>
          <w:color w:val="auto"/>
          <w:kern w:val="2"/>
          <w:sz w:val="21"/>
          <w:szCs w:val="21"/>
          <w:highlight w:val="none"/>
          <w:lang w:val="en-US" w:eastAsia="zh-CN" w:bidi="ar-SA"/>
        </w:rPr>
        <w:t>于2024年6月6日在原发布平台发布变更公告，招标控制价调整变更为226.29万元</w:t>
      </w:r>
      <w:r>
        <w:rPr>
          <w:rFonts w:hint="eastAsia" w:eastAsia="宋体" w:cs="Times New Roman"/>
          <w:b w:val="0"/>
          <w:bCs w:val="0"/>
          <w:color w:val="auto"/>
          <w:kern w:val="2"/>
          <w:sz w:val="21"/>
          <w:szCs w:val="21"/>
          <w:highlight w:val="none"/>
          <w:lang w:val="en-US" w:eastAsia="zh-CN" w:bidi="ar-SA"/>
        </w:rPr>
        <w:t>。经沟通反馈</w:t>
      </w:r>
      <w:r>
        <w:rPr>
          <w:rFonts w:hint="eastAsia" w:ascii="Times New Roman" w:hAnsi="Times New Roman" w:eastAsia="宋体" w:cs="Times New Roman"/>
          <w:b w:val="0"/>
          <w:bCs w:val="0"/>
          <w:color w:val="auto"/>
          <w:kern w:val="2"/>
          <w:sz w:val="21"/>
          <w:szCs w:val="21"/>
          <w:highlight w:val="none"/>
          <w:lang w:val="en-US" w:eastAsia="zh-CN" w:bidi="ar-SA"/>
        </w:rPr>
        <w:t>，因</w:t>
      </w:r>
      <w:r>
        <w:rPr>
          <w:rFonts w:hint="eastAsia" w:eastAsia="宋体" w:cs="Times New Roman"/>
          <w:b w:val="0"/>
          <w:bCs w:val="0"/>
          <w:color w:val="auto"/>
          <w:kern w:val="2"/>
          <w:sz w:val="21"/>
          <w:szCs w:val="21"/>
          <w:highlight w:val="none"/>
          <w:lang w:val="en-US" w:eastAsia="zh-CN" w:bidi="ar-SA"/>
        </w:rPr>
        <w:t>项目前期</w:t>
      </w:r>
      <w:r>
        <w:rPr>
          <w:rFonts w:hint="eastAsia" w:ascii="Times New Roman" w:hAnsi="Times New Roman" w:eastAsia="宋体" w:cs="Times New Roman"/>
          <w:b w:val="0"/>
          <w:bCs w:val="0"/>
          <w:color w:val="auto"/>
          <w:kern w:val="2"/>
          <w:sz w:val="21"/>
          <w:szCs w:val="21"/>
          <w:highlight w:val="none"/>
          <w:lang w:val="en-US" w:eastAsia="zh-CN" w:bidi="ar-SA"/>
        </w:rPr>
        <w:t>设计复查报告提交滞后导致的招标控制价未及时调整</w:t>
      </w:r>
      <w:r>
        <w:rPr>
          <w:rFonts w:hint="eastAsia" w:eastAsia="宋体" w:cs="Times New Roman"/>
          <w:b w:val="0"/>
          <w:bCs w:val="0"/>
          <w:color w:val="auto"/>
          <w:kern w:val="2"/>
          <w:sz w:val="21"/>
          <w:szCs w:val="21"/>
          <w:highlight w:val="none"/>
          <w:lang w:val="en-US" w:eastAsia="zh-CN" w:bidi="ar-SA"/>
        </w:rPr>
        <w:t>，故按照</w:t>
      </w:r>
      <w:r>
        <w:rPr>
          <w:rFonts w:hint="eastAsia" w:ascii="Times New Roman" w:hAnsi="Times New Roman" w:eastAsia="宋体" w:cs="Times New Roman"/>
          <w:b w:val="0"/>
          <w:bCs w:val="0"/>
          <w:color w:val="auto"/>
          <w:kern w:val="2"/>
          <w:sz w:val="21"/>
          <w:szCs w:val="21"/>
          <w:highlight w:val="none"/>
          <w:lang w:val="en-US" w:eastAsia="zh-CN" w:bidi="ar-SA"/>
        </w:rPr>
        <w:t>《关于伊宁县2024年农村公路日常养护项目施工图设计文件的批复》（伊县交发〔2024〕7号）</w:t>
      </w:r>
      <w:r>
        <w:rPr>
          <w:rFonts w:hint="eastAsia" w:eastAsia="宋体" w:cs="Times New Roman"/>
          <w:b w:val="0"/>
          <w:bCs w:val="0"/>
          <w:color w:val="auto"/>
          <w:kern w:val="2"/>
          <w:sz w:val="21"/>
          <w:szCs w:val="21"/>
          <w:highlight w:val="none"/>
          <w:lang w:val="en-US" w:eastAsia="zh-CN" w:bidi="ar-SA"/>
        </w:rPr>
        <w:t>的批复施工预算价予以调整</w:t>
      </w:r>
      <w:r>
        <w:rPr>
          <w:rFonts w:hint="eastAsia" w:ascii="Times New Roman" w:hAnsi="Times New Roman" w:eastAsia="宋体" w:cs="Times New Roman"/>
          <w:color w:val="auto"/>
          <w:highlight w:val="none"/>
          <w:lang w:val="en-US" w:eastAsia="zh-CN"/>
        </w:rPr>
        <w:t>，</w:t>
      </w:r>
      <w:r>
        <w:rPr>
          <w:rFonts w:hint="eastAsia" w:eastAsia="宋体" w:cs="Times New Roman"/>
          <w:color w:val="auto"/>
          <w:highlight w:val="none"/>
          <w:lang w:val="en-US" w:eastAsia="zh-CN"/>
        </w:rPr>
        <w:t>但项目实施单位未提供采购前期招标控制价的审核备案手续以及招标控制价的变更审核手续</w:t>
      </w:r>
      <w:r>
        <w:rPr>
          <w:rFonts w:hint="eastAsia" w:ascii="Times New Roman" w:hAnsi="Times New Roman" w:eastAsia="宋体" w:cs="Times New Roman"/>
          <w:color w:val="auto"/>
          <w:highlight w:val="none"/>
          <w:lang w:val="en-US" w:eastAsia="zh-CN"/>
        </w:rPr>
        <w:t>。</w:t>
      </w:r>
    </w:p>
    <w:p w14:paraId="4F0F0313">
      <w:pPr>
        <w:spacing w:line="360" w:lineRule="auto"/>
        <w:ind w:firstLine="422"/>
        <w:rPr>
          <w:rFonts w:hint="default" w:ascii="Times New Roman" w:hAnsi="Times New Roman" w:eastAsia="宋体" w:cs="Times New Roman"/>
          <w:b/>
          <w:bCs/>
          <w:color w:val="auto"/>
          <w:highlight w:val="none"/>
        </w:rPr>
      </w:pPr>
      <w:r>
        <w:rPr>
          <w:rFonts w:hint="eastAsia" w:eastAsia="宋体" w:cs="Times New Roman"/>
          <w:b/>
          <w:bCs/>
          <w:color w:val="auto"/>
          <w:szCs w:val="21"/>
          <w:highlight w:val="none"/>
          <w:lang w:val="en-US" w:eastAsia="zh-CN"/>
        </w:rPr>
        <w:t>3</w:t>
      </w:r>
      <w:r>
        <w:rPr>
          <w:rFonts w:hint="default" w:ascii="Times New Roman" w:hAnsi="Times New Roman" w:eastAsia="宋体" w:cs="Times New Roman"/>
          <w:b/>
          <w:bCs/>
          <w:color w:val="auto"/>
          <w:szCs w:val="21"/>
          <w:highlight w:val="none"/>
          <w:lang w:val="en-US" w:eastAsia="zh-CN"/>
        </w:rPr>
        <w:t>.</w:t>
      </w:r>
      <w:r>
        <w:rPr>
          <w:rFonts w:hint="default" w:ascii="Times New Roman" w:hAnsi="Times New Roman" w:eastAsia="宋体" w:cs="Times New Roman"/>
          <w:b/>
          <w:bCs/>
          <w:color w:val="auto"/>
          <w:highlight w:val="none"/>
        </w:rPr>
        <w:t>未及时开展竣工财务决算审计</w:t>
      </w:r>
    </w:p>
    <w:p w14:paraId="2649AE37">
      <w:pPr>
        <w:numPr>
          <w:ilvl w:val="0"/>
          <w:numId w:val="0"/>
        </w:numPr>
        <w:spacing w:line="360" w:lineRule="auto"/>
        <w:ind w:firstLine="420" w:firstLineChars="0"/>
        <w:rPr>
          <w:rFonts w:hint="default"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highlight w:val="none"/>
          <w:lang w:val="en-US" w:eastAsia="zh-CN"/>
        </w:rPr>
        <w:t>该</w:t>
      </w:r>
      <w:r>
        <w:rPr>
          <w:rFonts w:hint="default" w:ascii="Times New Roman" w:hAnsi="Times New Roman" w:eastAsia="宋体" w:cs="Times New Roman"/>
          <w:color w:val="auto"/>
          <w:highlight w:val="none"/>
        </w:rPr>
        <w:t>项目已于2024年</w:t>
      </w:r>
      <w:r>
        <w:rPr>
          <w:rFonts w:hint="default" w:ascii="Times New Roman" w:hAnsi="Times New Roman" w:eastAsia="宋体" w:cs="Times New Roman"/>
          <w:color w:val="auto"/>
          <w:highlight w:val="none"/>
          <w:lang w:val="en-US" w:eastAsia="zh-CN"/>
        </w:rPr>
        <w:t>9</w:t>
      </w:r>
      <w:r>
        <w:rPr>
          <w:rFonts w:hint="default" w:ascii="Times New Roman" w:hAnsi="Times New Roman" w:eastAsia="宋体" w:cs="Times New Roman"/>
          <w:color w:val="auto"/>
          <w:highlight w:val="none"/>
        </w:rPr>
        <w:t>月</w:t>
      </w:r>
      <w:r>
        <w:rPr>
          <w:rFonts w:hint="default" w:ascii="Times New Roman" w:hAnsi="Times New Roman" w:eastAsia="宋体" w:cs="Times New Roman"/>
          <w:color w:val="auto"/>
          <w:highlight w:val="none"/>
          <w:lang w:val="en-US" w:eastAsia="zh-CN"/>
        </w:rPr>
        <w:t>9</w:t>
      </w:r>
      <w:r>
        <w:rPr>
          <w:rFonts w:hint="default" w:ascii="Times New Roman" w:hAnsi="Times New Roman" w:eastAsia="宋体" w:cs="Times New Roman"/>
          <w:color w:val="auto"/>
          <w:highlight w:val="none"/>
        </w:rPr>
        <w:t>日完成</w:t>
      </w:r>
      <w:r>
        <w:rPr>
          <w:rFonts w:hint="default" w:ascii="Times New Roman" w:hAnsi="Times New Roman" w:eastAsia="宋体" w:cs="Times New Roman"/>
          <w:color w:val="auto"/>
          <w:highlight w:val="none"/>
          <w:lang w:val="en-US" w:eastAsia="zh-CN"/>
        </w:rPr>
        <w:t>交</w:t>
      </w:r>
      <w:r>
        <w:rPr>
          <w:rFonts w:hint="default" w:ascii="Times New Roman" w:hAnsi="Times New Roman" w:eastAsia="宋体" w:cs="Times New Roman"/>
          <w:color w:val="auto"/>
          <w:highlight w:val="none"/>
        </w:rPr>
        <w:t>工验收，</w:t>
      </w:r>
      <w:r>
        <w:rPr>
          <w:rFonts w:hint="default" w:ascii="Times New Roman" w:hAnsi="Times New Roman" w:eastAsia="宋体" w:cs="Times New Roman"/>
          <w:color w:val="auto"/>
          <w:highlight w:val="none"/>
          <w:lang w:val="en-US" w:eastAsia="zh-CN"/>
        </w:rPr>
        <w:t>2024年10月21日完成</w:t>
      </w:r>
      <w:r>
        <w:rPr>
          <w:rFonts w:hint="default" w:ascii="Times New Roman" w:hAnsi="Times New Roman" w:eastAsia="宋体" w:cs="Times New Roman"/>
          <w:color w:val="auto"/>
          <w:highlight w:val="none"/>
        </w:rPr>
        <w:t>竣工</w:t>
      </w:r>
      <w:r>
        <w:rPr>
          <w:rFonts w:hint="default" w:ascii="Times New Roman" w:hAnsi="Times New Roman" w:eastAsia="宋体" w:cs="Times New Roman"/>
          <w:color w:val="auto"/>
          <w:highlight w:val="none"/>
          <w:lang w:val="en-US" w:eastAsia="zh-CN"/>
        </w:rPr>
        <w:t>结算审核工作</w:t>
      </w:r>
      <w:r>
        <w:rPr>
          <w:rFonts w:hint="eastAsia" w:ascii="Times New Roman" w:hAnsi="Times New Roman" w:eastAsia="宋体" w:cs="Times New Roman"/>
          <w:color w:val="auto"/>
          <w:highlight w:val="none"/>
          <w:lang w:val="en-US" w:eastAsia="zh-CN"/>
        </w:rPr>
        <w:t>，但尚未开展竣工财务决算审计编制工作，与</w:t>
      </w:r>
      <w:r>
        <w:rPr>
          <w:rFonts w:hint="default" w:ascii="Times New Roman" w:hAnsi="Times New Roman" w:eastAsia="宋体" w:cs="Times New Roman"/>
          <w:color w:val="auto"/>
          <w:highlight w:val="none"/>
        </w:rPr>
        <w:t>《关于印发〈基本建设项目竣工财务决算管理暂行办法〉的通知》（财建〔2016〕503号）规定“第二条基本建设项目，完工可投入使用或者试运行合格后，应当在3个月内编报竣工财务决算，特殊情况确需延长的，不得超过2个月，大型项目不得超过6个月”</w:t>
      </w:r>
      <w:r>
        <w:rPr>
          <w:rFonts w:hint="eastAsia" w:ascii="Times New Roman" w:hAnsi="Times New Roman" w:eastAsia="宋体" w:cs="Times New Roman"/>
          <w:color w:val="auto"/>
          <w:highlight w:val="none"/>
          <w:lang w:val="en-US" w:eastAsia="zh-CN"/>
        </w:rPr>
        <w:t>等相关规定不相符。</w:t>
      </w:r>
    </w:p>
    <w:p w14:paraId="5FCDBCA1">
      <w:pPr>
        <w:rPr>
          <w:rFonts w:hint="eastAsia" w:ascii="Times New Roman" w:hAnsi="Times New Roman" w:eastAsia="宋体" w:cs="Times New Roman"/>
          <w:color w:val="auto"/>
          <w:highlight w:val="none"/>
        </w:rPr>
      </w:pPr>
      <w:bookmarkStart w:id="114" w:name="_Toc22106"/>
      <w:r>
        <w:rPr>
          <w:rFonts w:hint="eastAsia" w:ascii="Times New Roman" w:hAnsi="Times New Roman" w:eastAsia="宋体" w:cs="Times New Roman"/>
          <w:color w:val="auto"/>
          <w:highlight w:val="none"/>
        </w:rPr>
        <w:br w:type="page"/>
      </w:r>
    </w:p>
    <w:p w14:paraId="15C46C96">
      <w:pPr>
        <w:pStyle w:val="4"/>
        <w:spacing w:line="360" w:lineRule="auto"/>
        <w:ind w:firstLine="482"/>
        <w:rPr>
          <w:rFonts w:hint="eastAsia" w:ascii="Times New Roman" w:hAnsi="Times New Roman" w:eastAsia="宋体" w:cs="Times New Roman"/>
          <w:color w:val="auto"/>
          <w:sz w:val="24"/>
          <w:szCs w:val="44"/>
          <w:highlight w:val="none"/>
        </w:rPr>
      </w:pPr>
      <w:r>
        <w:rPr>
          <w:rFonts w:hint="eastAsia" w:ascii="Times New Roman" w:hAnsi="Times New Roman" w:eastAsia="宋体" w:cs="Times New Roman"/>
          <w:color w:val="auto"/>
          <w:highlight w:val="none"/>
        </w:rPr>
        <w:t>七</w:t>
      </w:r>
      <w:r>
        <w:rPr>
          <w:rFonts w:ascii="Times New Roman" w:hAnsi="Times New Roman" w:eastAsia="宋体" w:cs="Times New Roman"/>
          <w:color w:val="auto"/>
          <w:highlight w:val="none"/>
        </w:rPr>
        <w:t>、有关建议</w:t>
      </w:r>
      <w:bookmarkEnd w:id="110"/>
      <w:bookmarkEnd w:id="111"/>
      <w:bookmarkEnd w:id="112"/>
      <w:bookmarkEnd w:id="113"/>
      <w:bookmarkEnd w:id="114"/>
    </w:p>
    <w:p w14:paraId="76A7592F">
      <w:pPr>
        <w:numPr>
          <w:ilvl w:val="-1"/>
          <w:numId w:val="0"/>
        </w:numPr>
        <w:adjustRightInd/>
        <w:snapToGrid/>
        <w:spacing w:line="360" w:lineRule="auto"/>
        <w:ind w:firstLine="422" w:firstLineChars="0"/>
        <w:rPr>
          <w:rFonts w:hint="default" w:ascii="Times New Roman" w:hAnsi="Times New Roman" w:eastAsia="宋体" w:cs="Times New Roman"/>
          <w:b/>
          <w:bCs/>
          <w:color w:val="auto"/>
          <w:highlight w:val="none"/>
        </w:rPr>
      </w:pPr>
      <w:r>
        <w:rPr>
          <w:rFonts w:hint="eastAsia" w:ascii="Times New Roman" w:hAnsi="Times New Roman" w:eastAsia="宋体" w:cs="Times New Roman"/>
          <w:b/>
          <w:bCs/>
          <w:color w:val="auto"/>
          <w:kern w:val="2"/>
          <w:sz w:val="21"/>
          <w:szCs w:val="21"/>
          <w:highlight w:val="none"/>
          <w:lang w:val="en-US" w:eastAsia="zh-CN" w:bidi="ar-SA"/>
        </w:rPr>
        <w:t>1</w:t>
      </w:r>
      <w:r>
        <w:rPr>
          <w:rFonts w:hint="default" w:ascii="Times New Roman" w:hAnsi="Times New Roman" w:eastAsia="宋体" w:cs="Times New Roman"/>
          <w:b/>
          <w:bCs/>
          <w:color w:val="auto"/>
          <w:kern w:val="2"/>
          <w:sz w:val="21"/>
          <w:szCs w:val="21"/>
          <w:highlight w:val="none"/>
          <w:lang w:val="en-US" w:eastAsia="zh-CN" w:bidi="ar-SA"/>
        </w:rPr>
        <w:t>.</w:t>
      </w:r>
      <w:r>
        <w:rPr>
          <w:rFonts w:hint="default" w:ascii="Times New Roman" w:hAnsi="Times New Roman" w:eastAsia="宋体" w:cs="Times New Roman"/>
          <w:b/>
          <w:bCs/>
          <w:color w:val="auto"/>
          <w:highlight w:val="none"/>
        </w:rPr>
        <w:t>加强项目</w:t>
      </w:r>
      <w:r>
        <w:rPr>
          <w:rFonts w:hint="eastAsia" w:eastAsia="宋体" w:cs="Times New Roman"/>
          <w:b/>
          <w:bCs/>
          <w:color w:val="auto"/>
          <w:highlight w:val="none"/>
          <w:lang w:val="en-US" w:eastAsia="zh-CN"/>
        </w:rPr>
        <w:t>投资管理，强化财务支出审批责任</w:t>
      </w:r>
      <w:r>
        <w:rPr>
          <w:rFonts w:hint="default" w:ascii="Times New Roman" w:hAnsi="Times New Roman" w:eastAsia="宋体" w:cs="Times New Roman"/>
          <w:b/>
          <w:bCs/>
          <w:color w:val="auto"/>
          <w:highlight w:val="none"/>
        </w:rPr>
        <w:t>，提高合同履约能力</w:t>
      </w:r>
    </w:p>
    <w:p w14:paraId="01DD35BA">
      <w:pPr>
        <w:spacing w:line="360" w:lineRule="auto"/>
        <w:ind w:left="0" w:leftChars="0" w:firstLine="420" w:firstLineChars="200"/>
        <w:rPr>
          <w:rFonts w:hint="default" w:ascii="Times New Roman" w:hAnsi="Times New Roman" w:eastAsia="宋体" w:cs="Times New Roman"/>
          <w:color w:val="auto"/>
          <w:highlight w:val="none"/>
        </w:rPr>
      </w:pPr>
      <w:r>
        <w:rPr>
          <w:rFonts w:hint="eastAsia" w:ascii="Times New Roman" w:hAnsi="Times New Roman" w:cs="Times New Roman"/>
          <w:color w:val="auto"/>
          <w:highlight w:val="none"/>
          <w:lang w:val="en-US" w:eastAsia="zh-CN"/>
        </w:rPr>
        <w:t>建议项目实施单位会同主管部门根据《政府投资条例》（国务院令第712号）等政策法规要求，统筹项目资金筹措方案，</w:t>
      </w:r>
      <w:r>
        <w:rPr>
          <w:rFonts w:hint="eastAsia" w:ascii="Times New Roman" w:hAnsi="Times New Roman" w:cs="Times New Roman"/>
          <w:b w:val="0"/>
          <w:bCs w:val="0"/>
          <w:color w:val="auto"/>
          <w:kern w:val="2"/>
          <w:sz w:val="21"/>
          <w:szCs w:val="21"/>
          <w:highlight w:val="none"/>
          <w:lang w:val="en-US" w:eastAsia="zh-CN" w:bidi="ar-SA"/>
        </w:rPr>
        <w:t>结合</w:t>
      </w:r>
      <w:r>
        <w:rPr>
          <w:rFonts w:hint="default" w:ascii="Times New Roman" w:hAnsi="Times New Roman" w:cs="Times New Roman" w:eastAsiaTheme="minorEastAsia"/>
          <w:b w:val="0"/>
          <w:bCs w:val="0"/>
          <w:color w:val="auto"/>
          <w:kern w:val="2"/>
          <w:sz w:val="21"/>
          <w:szCs w:val="21"/>
          <w:highlight w:val="none"/>
          <w:lang w:val="en-US" w:eastAsia="zh-CN" w:bidi="ar-SA"/>
        </w:rPr>
        <w:t>项目建设需求合理安排项目建设资金</w:t>
      </w:r>
      <w:r>
        <w:rPr>
          <w:rFonts w:hint="eastAsia" w:ascii="Times New Roman" w:hAnsi="Times New Roman" w:cs="Times New Roman"/>
          <w:b w:val="0"/>
          <w:bCs w:val="0"/>
          <w:color w:val="auto"/>
          <w:kern w:val="2"/>
          <w:sz w:val="21"/>
          <w:szCs w:val="21"/>
          <w:highlight w:val="none"/>
          <w:lang w:val="en-US" w:eastAsia="zh-CN" w:bidi="ar-SA"/>
        </w:rPr>
        <w:t>，加强项目资金投入保障。落实项目实施单位财务支出审批责任</w:t>
      </w:r>
      <w:r>
        <w:rPr>
          <w:rFonts w:hint="eastAsia" w:ascii="Times New Roman" w:hAnsi="Times New Roman" w:cs="Times New Roman"/>
          <w:color w:val="auto"/>
          <w:highlight w:val="none"/>
          <w:lang w:val="en-US" w:eastAsia="zh-CN"/>
        </w:rPr>
        <w:t>，</w:t>
      </w:r>
      <w:r>
        <w:rPr>
          <w:rFonts w:hint="eastAsia" w:ascii="Times New Roman" w:hAnsi="Times New Roman" w:cs="Times New Roman"/>
          <w:color w:val="auto"/>
          <w:highlight w:val="none"/>
        </w:rPr>
        <w:t>严格按照项目实施进度和合同约定及时支付资金，</w:t>
      </w:r>
      <w:r>
        <w:rPr>
          <w:rFonts w:hint="eastAsia" w:ascii="Times New Roman" w:hAnsi="Times New Roman" w:cs="Times New Roman"/>
          <w:color w:val="auto"/>
          <w:highlight w:val="none"/>
          <w:lang w:val="en-US" w:eastAsia="zh-CN"/>
        </w:rPr>
        <w:t>确保资金管理使用规范；并</w:t>
      </w:r>
      <w:r>
        <w:rPr>
          <w:rFonts w:hint="eastAsia" w:ascii="Times New Roman" w:hAnsi="Times New Roman" w:cs="Times New Roman"/>
          <w:color w:val="auto"/>
          <w:highlight w:val="none"/>
        </w:rPr>
        <w:t>定期对合同履约情况进行</w:t>
      </w:r>
      <w:r>
        <w:rPr>
          <w:rFonts w:hint="eastAsia" w:ascii="Times New Roman" w:hAnsi="Times New Roman" w:cs="Times New Roman"/>
          <w:color w:val="auto"/>
          <w:highlight w:val="none"/>
          <w:lang w:val="en-US" w:eastAsia="zh-CN"/>
        </w:rPr>
        <w:t>检查</w:t>
      </w:r>
      <w:r>
        <w:rPr>
          <w:rFonts w:hint="eastAsia" w:ascii="Times New Roman" w:hAnsi="Times New Roman" w:cs="Times New Roman"/>
          <w:color w:val="auto"/>
          <w:highlight w:val="none"/>
        </w:rPr>
        <w:t>，</w:t>
      </w:r>
      <w:r>
        <w:rPr>
          <w:rFonts w:hint="default" w:ascii="Times New Roman" w:hAnsi="Times New Roman" w:cs="Times New Roman" w:eastAsiaTheme="minorEastAsia"/>
          <w:color w:val="auto"/>
          <w:sz w:val="21"/>
          <w:szCs w:val="21"/>
          <w:highlight w:val="none"/>
        </w:rPr>
        <w:t>全面、适当地履行合同责任，</w:t>
      </w:r>
      <w:r>
        <w:rPr>
          <w:rFonts w:hint="eastAsia" w:ascii="Times New Roman" w:hAnsi="Times New Roman" w:cs="Times New Roman"/>
          <w:color w:val="auto"/>
          <w:highlight w:val="none"/>
        </w:rPr>
        <w:t>保证</w:t>
      </w:r>
      <w:r>
        <w:rPr>
          <w:rFonts w:hint="eastAsia" w:cs="Times New Roman"/>
          <w:color w:val="auto"/>
          <w:highlight w:val="none"/>
          <w:lang w:val="en-US" w:eastAsia="zh-CN"/>
        </w:rPr>
        <w:t>合同</w:t>
      </w:r>
      <w:r>
        <w:rPr>
          <w:rFonts w:hint="eastAsia" w:ascii="Times New Roman" w:hAnsi="Times New Roman" w:cs="Times New Roman"/>
          <w:color w:val="auto"/>
          <w:highlight w:val="none"/>
        </w:rPr>
        <w:t>履约质量</w:t>
      </w:r>
      <w:r>
        <w:rPr>
          <w:rFonts w:hint="default" w:ascii="Times New Roman" w:hAnsi="Times New Roman" w:eastAsia="宋体" w:cs="Times New Roman"/>
          <w:color w:val="auto"/>
          <w:highlight w:val="none"/>
        </w:rPr>
        <w:t>。</w:t>
      </w:r>
    </w:p>
    <w:p w14:paraId="685E9717">
      <w:pPr>
        <w:keepNext w:val="0"/>
        <w:keepLines w:val="0"/>
        <w:pageBreakBefore w:val="0"/>
        <w:widowControl w:val="0"/>
        <w:kinsoku/>
        <w:wordWrap/>
        <w:overflowPunct/>
        <w:topLinePunct w:val="0"/>
        <w:autoSpaceDE/>
        <w:autoSpaceDN/>
        <w:bidi w:val="0"/>
        <w:adjustRightInd w:val="0"/>
        <w:snapToGrid w:val="0"/>
        <w:spacing w:before="0" w:after="0" w:line="360" w:lineRule="auto"/>
        <w:ind w:firstLine="420"/>
        <w:textAlignment w:val="auto"/>
        <w:rPr>
          <w:rFonts w:hint="eastAsia" w:eastAsia="宋体" w:cs="Times New Roman"/>
          <w:color w:val="auto"/>
          <w:sz w:val="21"/>
          <w:szCs w:val="21"/>
          <w:highlight w:val="none"/>
          <w:lang w:val="en-US" w:eastAsia="zh-CN"/>
        </w:rPr>
      </w:pPr>
      <w:r>
        <w:rPr>
          <w:rFonts w:hint="eastAsia" w:eastAsia="宋体" w:cs="Times New Roman"/>
          <w:b/>
          <w:bCs/>
          <w:color w:val="auto"/>
          <w:sz w:val="21"/>
          <w:szCs w:val="21"/>
          <w:highlight w:val="none"/>
          <w:lang w:val="en-US" w:eastAsia="zh-CN"/>
        </w:rPr>
        <w:t>2</w:t>
      </w:r>
      <w:r>
        <w:rPr>
          <w:rFonts w:hint="eastAsia" w:ascii="Times New Roman" w:hAnsi="Times New Roman" w:eastAsia="宋体" w:cs="Times New Roman"/>
          <w:b/>
          <w:bCs/>
          <w:color w:val="auto"/>
          <w:sz w:val="21"/>
          <w:szCs w:val="21"/>
          <w:highlight w:val="none"/>
          <w:lang w:val="en-US" w:eastAsia="zh-CN"/>
        </w:rPr>
        <w:t>.加强项目</w:t>
      </w:r>
      <w:r>
        <w:rPr>
          <w:rFonts w:hint="eastAsia" w:eastAsia="宋体" w:cs="Times New Roman"/>
          <w:b/>
          <w:bCs/>
          <w:color w:val="auto"/>
          <w:sz w:val="21"/>
          <w:szCs w:val="21"/>
          <w:highlight w:val="none"/>
          <w:lang w:val="en-US" w:eastAsia="zh-CN"/>
        </w:rPr>
        <w:t>采购管理</w:t>
      </w:r>
      <w:r>
        <w:rPr>
          <w:rFonts w:hint="default" w:ascii="Times New Roman" w:hAnsi="Times New Roman" w:eastAsia="宋体" w:cs="Times New Roman"/>
          <w:b/>
          <w:bCs/>
          <w:color w:val="auto"/>
          <w:sz w:val="21"/>
          <w:szCs w:val="21"/>
          <w:highlight w:val="none"/>
          <w:lang w:val="en-US" w:eastAsia="zh-CN"/>
        </w:rPr>
        <w:t>规范性</w:t>
      </w:r>
    </w:p>
    <w:p w14:paraId="6154F921">
      <w:pPr>
        <w:pStyle w:val="2"/>
        <w:spacing w:line="360" w:lineRule="auto"/>
        <w:rPr>
          <w:color w:val="auto"/>
          <w:highlight w:val="none"/>
        </w:rPr>
      </w:pPr>
      <w:r>
        <w:rPr>
          <w:rFonts w:hint="eastAsia" w:ascii="Times New Roman" w:hAnsi="Times New Roman" w:cs="Times New Roman" w:eastAsiaTheme="minorEastAsia"/>
          <w:color w:val="auto"/>
          <w:sz w:val="21"/>
          <w:szCs w:val="21"/>
          <w:highlight w:val="none"/>
        </w:rPr>
        <w:t>建议项目实施单位</w:t>
      </w:r>
      <w:r>
        <w:rPr>
          <w:rFonts w:hint="eastAsia" w:cs="Times New Roman"/>
          <w:color w:val="auto"/>
          <w:sz w:val="21"/>
          <w:szCs w:val="21"/>
          <w:highlight w:val="none"/>
          <w:lang w:eastAsia="zh-CN"/>
        </w:rPr>
        <w:t>：</w:t>
      </w:r>
      <w:r>
        <w:rPr>
          <w:rFonts w:hint="eastAsia" w:cs="Times New Roman"/>
          <w:color w:val="auto"/>
          <w:sz w:val="21"/>
          <w:szCs w:val="21"/>
          <w:highlight w:val="none"/>
          <w:lang w:val="en-US" w:eastAsia="zh-CN"/>
        </w:rPr>
        <w:t>一是</w:t>
      </w:r>
      <w:r>
        <w:rPr>
          <w:rFonts w:hint="eastAsia" w:ascii="Times New Roman" w:hAnsi="Times New Roman" w:cs="Times New Roman" w:eastAsiaTheme="minorEastAsia"/>
          <w:color w:val="auto"/>
          <w:sz w:val="21"/>
          <w:szCs w:val="21"/>
          <w:highlight w:val="none"/>
        </w:rPr>
        <w:t>加强采购管理，按照单位采购管理办法与政府采购法的相关规定选定合适的采购方式，按规定</w:t>
      </w:r>
      <w:r>
        <w:rPr>
          <w:rFonts w:hint="eastAsia" w:ascii="Times New Roman" w:hAnsi="Times New Roman" w:cs="Times New Roman"/>
          <w:color w:val="auto"/>
          <w:sz w:val="21"/>
          <w:szCs w:val="21"/>
          <w:highlight w:val="none"/>
          <w:lang w:val="en-US" w:eastAsia="zh-CN"/>
        </w:rPr>
        <w:t>开展采购招标控制价编制、采购申报审批以及选择供应商等采购实施过程</w:t>
      </w:r>
      <w:r>
        <w:rPr>
          <w:rFonts w:hint="eastAsia" w:ascii="Times New Roman" w:hAnsi="Times New Roman" w:cs="Times New Roman" w:eastAsiaTheme="minorEastAsia"/>
          <w:color w:val="auto"/>
          <w:sz w:val="21"/>
          <w:szCs w:val="21"/>
          <w:highlight w:val="none"/>
        </w:rPr>
        <w:t>，确保政府采购活动完整规范。</w:t>
      </w:r>
      <w:r>
        <w:rPr>
          <w:rFonts w:hint="eastAsia" w:cs="Times New Roman"/>
          <w:color w:val="auto"/>
          <w:sz w:val="21"/>
          <w:szCs w:val="21"/>
          <w:highlight w:val="none"/>
          <w:lang w:val="en-US" w:eastAsia="zh-CN"/>
        </w:rPr>
        <w:t>二是加强项目采购档案管理，</w:t>
      </w:r>
      <w:r>
        <w:rPr>
          <w:rFonts w:hint="eastAsia"/>
          <w:color w:val="auto"/>
          <w:highlight w:val="none"/>
        </w:rPr>
        <w:t>设置</w:t>
      </w:r>
      <w:r>
        <w:rPr>
          <w:rFonts w:hint="eastAsia"/>
          <w:color w:val="auto"/>
          <w:highlight w:val="none"/>
          <w:lang w:val="en-US" w:eastAsia="zh-CN"/>
        </w:rPr>
        <w:t>专人负责</w:t>
      </w:r>
      <w:r>
        <w:rPr>
          <w:rFonts w:hint="eastAsia"/>
          <w:color w:val="auto"/>
          <w:highlight w:val="none"/>
        </w:rPr>
        <w:t>档案</w:t>
      </w:r>
      <w:r>
        <w:rPr>
          <w:rFonts w:hint="eastAsia"/>
          <w:color w:val="auto"/>
          <w:highlight w:val="none"/>
          <w:lang w:eastAsia="zh-CN"/>
        </w:rPr>
        <w:t>的</w:t>
      </w:r>
      <w:r>
        <w:rPr>
          <w:rFonts w:hint="eastAsia"/>
          <w:color w:val="auto"/>
          <w:highlight w:val="none"/>
          <w:lang w:val="en-US" w:eastAsia="zh-CN"/>
        </w:rPr>
        <w:t>归档</w:t>
      </w:r>
      <w:r>
        <w:rPr>
          <w:rFonts w:hint="eastAsia"/>
          <w:color w:val="auto"/>
          <w:highlight w:val="none"/>
        </w:rPr>
        <w:t>，</w:t>
      </w:r>
      <w:r>
        <w:rPr>
          <w:rFonts w:hint="eastAsia"/>
          <w:color w:val="auto"/>
          <w:highlight w:val="none"/>
          <w:lang w:val="en-US" w:eastAsia="zh-CN"/>
        </w:rPr>
        <w:t>并</w:t>
      </w:r>
      <w:r>
        <w:rPr>
          <w:rFonts w:hint="eastAsia"/>
          <w:color w:val="auto"/>
          <w:highlight w:val="none"/>
        </w:rPr>
        <w:t>定期对档案完整性、存放规范性进行检查，确保项目档案的完整性和可追溯性</w:t>
      </w:r>
      <w:r>
        <w:rPr>
          <w:rFonts w:hint="eastAsia" w:ascii="Times New Roman" w:hAnsi="Times New Roman" w:eastAsia="宋体" w:cs="Times New Roman"/>
          <w:b w:val="0"/>
          <w:bCs w:val="0"/>
          <w:color w:val="auto"/>
          <w:highlight w:val="none"/>
          <w:lang w:val="en-US" w:eastAsia="zh-CN"/>
        </w:rPr>
        <w:t>。</w:t>
      </w:r>
    </w:p>
    <w:p w14:paraId="5BB323B7">
      <w:pPr>
        <w:keepNext w:val="0"/>
        <w:keepLines w:val="0"/>
        <w:pageBreakBefore w:val="0"/>
        <w:widowControl w:val="0"/>
        <w:kinsoku/>
        <w:wordWrap/>
        <w:overflowPunct/>
        <w:topLinePunct w:val="0"/>
        <w:autoSpaceDE/>
        <w:autoSpaceDN/>
        <w:bidi w:val="0"/>
        <w:adjustRightInd w:val="0"/>
        <w:snapToGrid w:val="0"/>
        <w:spacing w:before="0" w:after="0" w:line="360" w:lineRule="auto"/>
        <w:ind w:firstLine="420"/>
        <w:textAlignment w:val="auto"/>
        <w:rPr>
          <w:rFonts w:hint="eastAsia" w:ascii="Times New Roman" w:hAnsi="Times New Roman" w:eastAsia="宋体" w:cs="Times New Roman"/>
          <w:b/>
          <w:bCs/>
          <w:color w:val="auto"/>
          <w:sz w:val="21"/>
          <w:szCs w:val="21"/>
          <w:highlight w:val="none"/>
          <w:lang w:val="en-US" w:eastAsia="zh-CN"/>
        </w:rPr>
      </w:pPr>
      <w:r>
        <w:rPr>
          <w:rFonts w:hint="eastAsia" w:eastAsia="宋体" w:cs="Times New Roman"/>
          <w:b/>
          <w:bCs/>
          <w:color w:val="auto"/>
          <w:sz w:val="21"/>
          <w:szCs w:val="21"/>
          <w:highlight w:val="none"/>
          <w:lang w:val="en-US" w:eastAsia="zh-CN"/>
        </w:rPr>
        <w:t>3</w:t>
      </w:r>
      <w:r>
        <w:rPr>
          <w:rFonts w:hint="eastAsia" w:ascii="Times New Roman" w:hAnsi="Times New Roman" w:eastAsia="宋体" w:cs="Times New Roman"/>
          <w:b/>
          <w:bCs/>
          <w:color w:val="auto"/>
          <w:sz w:val="21"/>
          <w:szCs w:val="21"/>
          <w:highlight w:val="none"/>
          <w:lang w:val="en-US" w:eastAsia="zh-CN"/>
        </w:rPr>
        <w:t>.</w:t>
      </w:r>
      <w:r>
        <w:rPr>
          <w:rFonts w:hint="default" w:ascii="Times New Roman" w:hAnsi="Times New Roman" w:cs="Times New Roman"/>
          <w:b/>
          <w:bCs/>
          <w:color w:val="auto"/>
          <w:highlight w:val="none"/>
        </w:rPr>
        <w:t>加快开展竣工财务决算审计工作</w:t>
      </w:r>
    </w:p>
    <w:p w14:paraId="206F3464">
      <w:pPr>
        <w:widowControl/>
        <w:numPr>
          <w:ilvl w:val="0"/>
          <w:numId w:val="0"/>
        </w:numPr>
        <w:spacing w:line="360" w:lineRule="auto"/>
        <w:ind w:firstLine="420"/>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t>建议项目实施单位按照《关于印发〈基本建设项目竣工财务决算管理暂行办法〉的通知》（财建〔2016〕503号）等政策规定，</w:t>
      </w:r>
      <w:r>
        <w:rPr>
          <w:rFonts w:hint="eastAsia" w:ascii="Times New Roman" w:hAnsi="Times New Roman" w:eastAsia="宋体" w:cs="Times New Roman"/>
          <w:color w:val="auto"/>
          <w:kern w:val="2"/>
          <w:highlight w:val="none"/>
          <w:lang w:val="en-US" w:eastAsia="zh-CN"/>
        </w:rPr>
        <w:t>及时</w:t>
      </w:r>
      <w:r>
        <w:rPr>
          <w:rFonts w:hint="default" w:ascii="Times New Roman" w:hAnsi="Times New Roman" w:eastAsia="宋体" w:cs="Times New Roman"/>
          <w:color w:val="auto"/>
          <w:kern w:val="2"/>
          <w:highlight w:val="none"/>
        </w:rPr>
        <w:t>开展项目竣工财务决算，总结分析建设过程的经验教训，提高工程造价管理水平及积累技术经济资料，有效控制项目成本，提高经济效益。</w:t>
      </w:r>
      <w:r>
        <w:rPr>
          <w:rFonts w:hint="eastAsia" w:ascii="Times New Roman" w:hAnsi="Times New Roman" w:cs="Times New Roman"/>
          <w:color w:val="auto"/>
          <w:highlight w:val="none"/>
          <w:lang w:val="en-US" w:eastAsia="zh-CN"/>
        </w:rPr>
        <w:t>在完成</w:t>
      </w:r>
      <w:r>
        <w:rPr>
          <w:rFonts w:hint="eastAsia"/>
          <w:color w:val="auto"/>
          <w:highlight w:val="none"/>
          <w:lang w:val="en-US" w:eastAsia="zh-CN"/>
        </w:rPr>
        <w:t>项目竣工财务决算报告后及时做好有关资产入账工作，确保</w:t>
      </w:r>
      <w:r>
        <w:rPr>
          <w:rFonts w:hint="default" w:ascii="Times New Roman" w:hAnsi="Times New Roman" w:cs="Times New Roman" w:eastAsiaTheme="minorEastAsia"/>
          <w:color w:val="auto"/>
          <w:kern w:val="2"/>
          <w:sz w:val="21"/>
          <w:szCs w:val="21"/>
          <w:highlight w:val="none"/>
          <w:lang w:val="en-US" w:eastAsia="zh-CN" w:bidi="ar-SA"/>
        </w:rPr>
        <w:t>资产管理</w:t>
      </w:r>
      <w:r>
        <w:rPr>
          <w:rFonts w:hint="eastAsia" w:ascii="Times New Roman" w:hAnsi="Times New Roman" w:cs="Times New Roman"/>
          <w:color w:val="auto"/>
          <w:kern w:val="2"/>
          <w:sz w:val="21"/>
          <w:szCs w:val="21"/>
          <w:highlight w:val="none"/>
          <w:lang w:val="en-US" w:eastAsia="zh-CN" w:bidi="ar-SA"/>
        </w:rPr>
        <w:t>及</w:t>
      </w:r>
      <w:r>
        <w:rPr>
          <w:rFonts w:hint="eastAsia" w:asciiTheme="minorEastAsia" w:hAnsiTheme="minorEastAsia" w:eastAsiaTheme="minorEastAsia" w:cstheme="minorEastAsia"/>
          <w:color w:val="auto"/>
          <w:kern w:val="2"/>
          <w:sz w:val="21"/>
          <w:szCs w:val="21"/>
          <w:highlight w:val="none"/>
          <w:lang w:val="en-US" w:eastAsia="zh-CN" w:bidi="ar-SA"/>
        </w:rPr>
        <w:t>运营</w:t>
      </w:r>
      <w:r>
        <w:rPr>
          <w:rFonts w:hint="eastAsia" w:asciiTheme="minorEastAsia" w:hAnsiTheme="minorEastAsia" w:cstheme="minorEastAsia"/>
          <w:color w:val="auto"/>
          <w:kern w:val="2"/>
          <w:sz w:val="21"/>
          <w:szCs w:val="21"/>
          <w:highlight w:val="none"/>
          <w:lang w:val="en-US" w:eastAsia="zh-CN" w:bidi="ar-SA"/>
        </w:rPr>
        <w:t>维护的完整性和规范性</w:t>
      </w:r>
      <w:r>
        <w:rPr>
          <w:rFonts w:hint="eastAsia"/>
          <w:color w:val="auto"/>
          <w:highlight w:val="none"/>
          <w:lang w:val="en-US" w:eastAsia="zh-CN"/>
        </w:rPr>
        <w:t>。</w:t>
      </w:r>
    </w:p>
    <w:p w14:paraId="2A3EE1E2">
      <w:pPr>
        <w:pStyle w:val="4"/>
        <w:spacing w:line="360" w:lineRule="auto"/>
        <w:ind w:firstLine="482"/>
        <w:rPr>
          <w:rFonts w:hint="default" w:ascii="Times New Roman" w:hAnsi="Times New Roman" w:eastAsia="宋体" w:cs="Times New Roman"/>
          <w:color w:val="auto"/>
          <w:highlight w:val="none"/>
          <w:lang w:val="en-US" w:eastAsia="zh-CN"/>
        </w:rPr>
      </w:pPr>
      <w:bookmarkStart w:id="115" w:name="_Toc30703"/>
      <w:r>
        <w:rPr>
          <w:rFonts w:hint="default" w:ascii="Times New Roman" w:hAnsi="Times New Roman" w:eastAsia="宋体" w:cs="Times New Roman"/>
          <w:color w:val="auto"/>
          <w:highlight w:val="none"/>
          <w:lang w:val="en-US" w:eastAsia="zh-CN"/>
        </w:rPr>
        <w:t>八、绩效评价结果应用建议</w:t>
      </w:r>
      <w:bookmarkEnd w:id="115"/>
    </w:p>
    <w:p w14:paraId="022DF08A">
      <w:pPr>
        <w:pStyle w:val="2"/>
        <w:spacing w:line="360" w:lineRule="auto"/>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（一）绩效结果挂钩次年预算资金安排</w:t>
      </w:r>
    </w:p>
    <w:p w14:paraId="6E9B42FF">
      <w:pPr>
        <w:pStyle w:val="2"/>
        <w:spacing w:line="360" w:lineRule="auto"/>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为有效提高财政预算资金的经济性、效率性、效益性和公平性，建议将本次绩效评价结果作为预算单位次年预算编制的重要依据，并优化支出结构、完善相关办法、改进预算管理。</w:t>
      </w:r>
    </w:p>
    <w:p w14:paraId="78A5F8A6">
      <w:pPr>
        <w:pStyle w:val="2"/>
        <w:spacing w:line="360" w:lineRule="auto"/>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（二）绩效结果挂钩整改措施</w:t>
      </w:r>
    </w:p>
    <w:p w14:paraId="02732851">
      <w:pPr>
        <w:pStyle w:val="2"/>
        <w:spacing w:line="360" w:lineRule="auto"/>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根据本次绩效评价报告中所反馈的问题和建议，由项目实施单位及时研究制定整改措施，积极落实整改要求，切实改进资金管理和项目管理，并在规定的时间内，将整改情况向</w:t>
      </w:r>
      <w:r>
        <w:rPr>
          <w:rFonts w:hint="eastAsia" w:ascii="Times New Roman" w:hAnsi="Times New Roman" w:eastAsia="宋体" w:cs="Times New Roman"/>
          <w:color w:val="auto"/>
          <w:highlight w:val="none"/>
          <w:lang w:val="en-US" w:eastAsia="zh-CN"/>
        </w:rPr>
        <w:t>伊宁县</w:t>
      </w:r>
      <w:r>
        <w:rPr>
          <w:rFonts w:hint="default" w:ascii="Times New Roman" w:hAnsi="Times New Roman" w:eastAsia="宋体" w:cs="Times New Roman"/>
          <w:color w:val="auto"/>
          <w:highlight w:val="none"/>
          <w:lang w:val="en-US" w:eastAsia="zh-CN"/>
        </w:rPr>
        <w:t>财政局行文报告，并附《绩效评价结果整改报告》。</w:t>
      </w:r>
    </w:p>
    <w:p w14:paraId="570F9154">
      <w:pPr>
        <w:pStyle w:val="2"/>
        <w:spacing w:line="360" w:lineRule="auto"/>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（三）绩效结果挂钩报告公开</w:t>
      </w:r>
    </w:p>
    <w:p w14:paraId="6339331C">
      <w:pPr>
        <w:pStyle w:val="2"/>
        <w:spacing w:line="360" w:lineRule="auto"/>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积极推进评价结果和评价报告等绩效信息的公开。按照政府信息公开有关规定，由</w:t>
      </w:r>
      <w:r>
        <w:rPr>
          <w:rFonts w:hint="eastAsia" w:ascii="Times New Roman" w:hAnsi="Times New Roman" w:eastAsia="宋体" w:cs="Times New Roman"/>
          <w:color w:val="auto"/>
          <w:highlight w:val="none"/>
          <w:lang w:val="en-US" w:eastAsia="zh-CN"/>
        </w:rPr>
        <w:t>伊宁县</w:t>
      </w:r>
      <w:r>
        <w:rPr>
          <w:rFonts w:hint="default" w:ascii="Times New Roman" w:hAnsi="Times New Roman" w:eastAsia="宋体" w:cs="Times New Roman"/>
          <w:color w:val="auto"/>
          <w:highlight w:val="none"/>
          <w:lang w:val="en-US" w:eastAsia="zh-CN"/>
        </w:rPr>
        <w:t>财政局将本次绩效评价的结果信息进行公开，加强社会和舆论监督，提高财政资金使用透明度。</w:t>
      </w:r>
    </w:p>
    <w:p w14:paraId="5103BBA4">
      <w:pPr>
        <w:pStyle w:val="4"/>
        <w:pageBreakBefore w:val="0"/>
        <w:kinsoku/>
        <w:wordWrap/>
        <w:overflowPunct/>
        <w:topLinePunct w:val="0"/>
        <w:autoSpaceDE/>
        <w:autoSpaceDN/>
        <w:bidi w:val="0"/>
        <w:snapToGrid w:val="0"/>
        <w:spacing w:line="360" w:lineRule="auto"/>
        <w:ind w:firstLine="482"/>
        <w:rPr>
          <w:rFonts w:ascii="Times New Roman" w:hAnsi="Times New Roman" w:eastAsia="宋体" w:cs="Times New Roman"/>
          <w:color w:val="auto"/>
          <w:highlight w:val="none"/>
        </w:rPr>
      </w:pPr>
      <w:bookmarkStart w:id="116" w:name="_Toc32445"/>
      <w:bookmarkStart w:id="117" w:name="_Toc1938140543"/>
      <w:bookmarkStart w:id="118" w:name="_Toc29845"/>
      <w:r>
        <w:rPr>
          <w:rFonts w:hint="eastAsia" w:ascii="Times New Roman" w:hAnsi="Times New Roman" w:eastAsia="宋体" w:cs="Times New Roman"/>
          <w:color w:val="auto"/>
          <w:highlight w:val="none"/>
          <w:lang w:val="en-US" w:eastAsia="zh-CN"/>
        </w:rPr>
        <w:t>九</w:t>
      </w:r>
      <w:r>
        <w:rPr>
          <w:rFonts w:ascii="Times New Roman" w:hAnsi="Times New Roman" w:eastAsia="宋体" w:cs="Times New Roman"/>
          <w:color w:val="auto"/>
          <w:highlight w:val="none"/>
        </w:rPr>
        <w:t>、其他需要说明的问题</w:t>
      </w:r>
      <w:bookmarkEnd w:id="116"/>
      <w:bookmarkEnd w:id="117"/>
      <w:bookmarkEnd w:id="118"/>
    </w:p>
    <w:p w14:paraId="15CE7F71">
      <w:pPr>
        <w:pageBreakBefore w:val="0"/>
        <w:kinsoku/>
        <w:wordWrap/>
        <w:overflowPunct/>
        <w:topLinePunct w:val="0"/>
        <w:autoSpaceDE/>
        <w:autoSpaceDN/>
        <w:bidi w:val="0"/>
        <w:snapToGrid w:val="0"/>
        <w:spacing w:line="360" w:lineRule="auto"/>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项目的绩效评价结论可靠性基于相关部门和项目单位提供的项目资料的全面性、真实性和准确性，绩效评价组尽可能地收集更为全面、有效、准确的文件和数据，但由于受客观因素的限制，只能在相关部门和单位提供的现有资料的基础上核实、分析，作出绩效评价结论。绩效评价人员在评价过程中遵循独立、客观、公正原则，恪守职业道德规范，尽可能地确保数据与结论的真实性与可靠性。</w:t>
      </w:r>
    </w:p>
    <w:p w14:paraId="56F66297">
      <w:pPr>
        <w:pageBreakBefore w:val="0"/>
        <w:kinsoku/>
        <w:wordWrap/>
        <w:overflowPunct/>
        <w:topLinePunct w:val="0"/>
        <w:autoSpaceDE/>
        <w:autoSpaceDN/>
        <w:bidi w:val="0"/>
        <w:snapToGrid w:val="0"/>
        <w:spacing w:before="0" w:after="0" w:line="240" w:lineRule="auto"/>
        <w:ind w:firstLine="420"/>
        <w:rPr>
          <w:rFonts w:ascii="Times New Roman" w:hAnsi="Times New Roman" w:eastAsia="宋体" w:cs="Times New Roman"/>
          <w:color w:val="auto"/>
          <w:highlight w:val="none"/>
        </w:r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4"/>
        <w:gridCol w:w="4798"/>
      </w:tblGrid>
      <w:tr w14:paraId="1A675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14:paraId="3137C337">
            <w:pPr>
              <w:pageBreakBefore w:val="0"/>
              <w:kinsoku/>
              <w:wordWrap/>
              <w:overflowPunct/>
              <w:topLinePunct w:val="0"/>
              <w:autoSpaceDE/>
              <w:autoSpaceDN/>
              <w:bidi w:val="0"/>
              <w:snapToGrid w:val="0"/>
              <w:spacing w:before="0" w:after="0" w:line="240" w:lineRule="auto"/>
              <w:ind w:firstLine="420"/>
              <w:rPr>
                <w:rFonts w:ascii="Times New Roman" w:hAnsi="Times New Roman" w:eastAsia="宋体" w:cs="Times New Roman"/>
                <w:color w:val="auto"/>
                <w:highlight w:val="none"/>
              </w:rPr>
            </w:pPr>
          </w:p>
        </w:tc>
        <w:tc>
          <w:tcPr>
            <w:tcW w:w="4798" w:type="dxa"/>
            <w:tcBorders>
              <w:top w:val="nil"/>
              <w:left w:val="nil"/>
              <w:bottom w:val="nil"/>
              <w:right w:val="nil"/>
            </w:tcBorders>
            <w:vAlign w:val="center"/>
          </w:tcPr>
          <w:p w14:paraId="3B214D1E">
            <w:pPr>
              <w:pageBreakBefore w:val="0"/>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评价机构：新疆驰远天合有限责任会计师事务所</w:t>
            </w:r>
          </w:p>
        </w:tc>
      </w:tr>
      <w:tr w14:paraId="63638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14:paraId="07FFA5AA">
            <w:pPr>
              <w:pageBreakBefore w:val="0"/>
              <w:kinsoku/>
              <w:wordWrap/>
              <w:overflowPunct/>
              <w:topLinePunct w:val="0"/>
              <w:autoSpaceDE/>
              <w:autoSpaceDN/>
              <w:bidi w:val="0"/>
              <w:snapToGrid w:val="0"/>
              <w:spacing w:before="0" w:after="0" w:line="240" w:lineRule="auto"/>
              <w:ind w:firstLine="420"/>
              <w:rPr>
                <w:rFonts w:ascii="Times New Roman" w:hAnsi="Times New Roman" w:eastAsia="宋体" w:cs="Times New Roman"/>
                <w:color w:val="auto"/>
                <w:highlight w:val="none"/>
              </w:rPr>
            </w:pPr>
          </w:p>
        </w:tc>
        <w:tc>
          <w:tcPr>
            <w:tcW w:w="4798" w:type="dxa"/>
            <w:tcBorders>
              <w:top w:val="nil"/>
              <w:left w:val="nil"/>
              <w:bottom w:val="nil"/>
              <w:right w:val="nil"/>
            </w:tcBorders>
            <w:vAlign w:val="center"/>
          </w:tcPr>
          <w:p w14:paraId="42DD4208">
            <w:pPr>
              <w:pageBreakBefore w:val="0"/>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评价时间：202</w:t>
            </w:r>
            <w:r>
              <w:rPr>
                <w:rFonts w:hint="eastAsia" w:ascii="Times New Roman" w:hAnsi="Times New Roman" w:eastAsia="宋体" w:cs="Times New Roman"/>
                <w:color w:val="auto"/>
                <w:highlight w:val="none"/>
                <w:lang w:val="en-US" w:eastAsia="zh-CN"/>
              </w:rPr>
              <w:t>5</w:t>
            </w:r>
            <w:r>
              <w:rPr>
                <w:rFonts w:ascii="Times New Roman" w:hAnsi="Times New Roman" w:eastAsia="宋体" w:cs="Times New Roman"/>
                <w:color w:val="auto"/>
                <w:highlight w:val="none"/>
              </w:rPr>
              <w:t>年</w:t>
            </w:r>
            <w:r>
              <w:rPr>
                <w:rFonts w:hint="eastAsia" w:ascii="Times New Roman" w:hAnsi="Times New Roman" w:eastAsia="宋体" w:cs="Times New Roman"/>
                <w:color w:val="auto"/>
                <w:highlight w:val="none"/>
                <w:lang w:val="en-US" w:eastAsia="zh-CN"/>
              </w:rPr>
              <w:t>8</w:t>
            </w:r>
            <w:r>
              <w:rPr>
                <w:rFonts w:hint="eastAsia" w:ascii="Times New Roman" w:hAnsi="Times New Roman" w:eastAsia="宋体" w:cs="Times New Roman"/>
                <w:color w:val="auto"/>
                <w:highlight w:val="none"/>
              </w:rPr>
              <w:t>月</w:t>
            </w:r>
          </w:p>
        </w:tc>
      </w:tr>
    </w:tbl>
    <w:p w14:paraId="06D6F033">
      <w:pPr>
        <w:pageBreakBefore w:val="0"/>
        <w:kinsoku/>
        <w:wordWrap/>
        <w:overflowPunct/>
        <w:topLinePunct w:val="0"/>
        <w:autoSpaceDE/>
        <w:autoSpaceDN/>
        <w:bidi w:val="0"/>
        <w:snapToGrid w:val="0"/>
        <w:spacing w:line="360" w:lineRule="auto"/>
        <w:ind w:firstLine="3150" w:firstLineChars="1500"/>
        <w:rPr>
          <w:rFonts w:ascii="Times New Roman" w:hAnsi="Times New Roman" w:eastAsia="宋体" w:cs="Times New Roman"/>
          <w:color w:val="auto"/>
          <w:highlight w:val="none"/>
        </w:rPr>
        <w:sectPr>
          <w:footerReference r:id="rId14" w:type="default"/>
          <w:pgSz w:w="11906" w:h="16838"/>
          <w:pgMar w:top="1440" w:right="1800" w:bottom="1440" w:left="1800" w:header="850" w:footer="907" w:gutter="0"/>
          <w:pgNumType w:start="1"/>
          <w:cols w:space="425" w:num="1"/>
          <w:docGrid w:type="lines" w:linePitch="312" w:charSpace="0"/>
        </w:sectPr>
      </w:pPr>
    </w:p>
    <w:p w14:paraId="6FE162B1">
      <w:pPr>
        <w:pStyle w:val="4"/>
        <w:pageBreakBefore w:val="0"/>
        <w:kinsoku/>
        <w:wordWrap/>
        <w:overflowPunct/>
        <w:topLinePunct w:val="0"/>
        <w:autoSpaceDE/>
        <w:autoSpaceDN/>
        <w:bidi w:val="0"/>
        <w:snapToGrid w:val="0"/>
        <w:spacing w:line="360" w:lineRule="auto"/>
        <w:ind w:firstLine="0" w:firstLineChars="0"/>
        <w:rPr>
          <w:rFonts w:hint="eastAsia" w:ascii="Times New Roman" w:hAnsi="Times New Roman" w:eastAsia="宋体" w:cs="Times New Roman"/>
          <w:color w:val="auto"/>
          <w:szCs w:val="24"/>
          <w:highlight w:val="none"/>
        </w:rPr>
      </w:pPr>
      <w:bookmarkStart w:id="119" w:name="_Toc19293"/>
      <w:bookmarkStart w:id="120" w:name="_Toc1296148505"/>
      <w:r>
        <w:rPr>
          <w:rFonts w:hint="eastAsia" w:ascii="Times New Roman" w:hAnsi="Times New Roman" w:eastAsia="宋体" w:cs="Times New Roman"/>
          <w:color w:val="auto"/>
          <w:szCs w:val="24"/>
          <w:highlight w:val="none"/>
        </w:rPr>
        <w:t>附件1：绩效评价指标体系及综合评价表</w:t>
      </w:r>
      <w:bookmarkEnd w:id="119"/>
      <w:bookmarkEnd w:id="120"/>
    </w:p>
    <w:p w14:paraId="23AA572F">
      <w:pPr>
        <w:pageBreakBefore w:val="0"/>
        <w:kinsoku/>
        <w:wordWrap/>
        <w:overflowPunct/>
        <w:topLinePunct w:val="0"/>
        <w:autoSpaceDE/>
        <w:autoSpaceDN/>
        <w:bidi w:val="0"/>
        <w:snapToGrid w:val="0"/>
        <w:spacing w:line="360" w:lineRule="auto"/>
        <w:ind w:firstLine="422"/>
        <w:jc w:val="center"/>
        <w:rPr>
          <w:rFonts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lang w:val="en-US"/>
        </w:rPr>
        <w:t>伊宁县成品油税费农村公路日常养护</w:t>
      </w:r>
      <w:r>
        <w:rPr>
          <w:rFonts w:ascii="Times New Roman" w:hAnsi="Times New Roman" w:eastAsia="宋体" w:cs="Times New Roman"/>
          <w:b/>
          <w:bCs/>
          <w:color w:val="auto"/>
          <w:highlight w:val="none"/>
          <w:lang w:val="en-US"/>
        </w:rPr>
        <w:t>项目</w:t>
      </w:r>
      <w:r>
        <w:rPr>
          <w:rFonts w:ascii="Times New Roman" w:hAnsi="Times New Roman" w:eastAsia="宋体" w:cs="Times New Roman"/>
          <w:b/>
          <w:bCs/>
          <w:color w:val="auto"/>
          <w:highlight w:val="none"/>
        </w:rPr>
        <w:t>绩效评价指标体系及综合评分表</w:t>
      </w:r>
    </w:p>
    <w:tbl>
      <w:tblPr>
        <w:tblStyle w:val="18"/>
        <w:tblW w:w="4997" w:type="pct"/>
        <w:tblInd w:w="0" w:type="dxa"/>
        <w:tblLayout w:type="fixed"/>
        <w:tblCellMar>
          <w:top w:w="0" w:type="dxa"/>
          <w:left w:w="23" w:type="dxa"/>
          <w:bottom w:w="0" w:type="dxa"/>
          <w:right w:w="23" w:type="dxa"/>
        </w:tblCellMar>
      </w:tblPr>
      <w:tblGrid>
        <w:gridCol w:w="869"/>
        <w:gridCol w:w="869"/>
        <w:gridCol w:w="849"/>
        <w:gridCol w:w="2248"/>
        <w:gridCol w:w="5188"/>
        <w:gridCol w:w="797"/>
        <w:gridCol w:w="772"/>
        <w:gridCol w:w="784"/>
        <w:gridCol w:w="736"/>
        <w:gridCol w:w="885"/>
      </w:tblGrid>
      <w:tr w14:paraId="0B16067F">
        <w:tblPrEx>
          <w:tblCellMar>
            <w:top w:w="0" w:type="dxa"/>
            <w:left w:w="23" w:type="dxa"/>
            <w:bottom w:w="0" w:type="dxa"/>
            <w:right w:w="23" w:type="dxa"/>
          </w:tblCellMar>
        </w:tblPrEx>
        <w:trPr>
          <w:trHeight w:val="261" w:hRule="atLeast"/>
          <w:tblHeader/>
        </w:trPr>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FC419">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b/>
                <w:bCs/>
                <w:color w:val="auto"/>
                <w:kern w:val="0"/>
                <w:sz w:val="20"/>
                <w:szCs w:val="20"/>
                <w:highlight w:val="none"/>
                <w:lang w:bidi="ar"/>
              </w:rPr>
            </w:pPr>
            <w:r>
              <w:rPr>
                <w:rFonts w:hint="eastAsia" w:ascii="Times New Roman" w:hAnsi="Times New Roman" w:eastAsia="宋体" w:cs="Times New Roman"/>
                <w:b/>
                <w:bCs/>
                <w:i w:val="0"/>
                <w:iCs w:val="0"/>
                <w:color w:val="auto"/>
                <w:kern w:val="0"/>
                <w:sz w:val="20"/>
                <w:szCs w:val="20"/>
                <w:highlight w:val="none"/>
                <w:u w:val="none"/>
                <w:lang w:val="en-US" w:eastAsia="zh-CN" w:bidi="ar"/>
              </w:rPr>
              <w:t>一级指标</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42C32">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i w:val="0"/>
                <w:iCs w:val="0"/>
                <w:color w:val="auto"/>
                <w:kern w:val="0"/>
                <w:sz w:val="20"/>
                <w:szCs w:val="20"/>
                <w:highlight w:val="none"/>
                <w:u w:val="none"/>
                <w:lang w:val="en-US" w:eastAsia="zh-CN" w:bidi="ar"/>
              </w:rPr>
              <w:t>二级指标</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59396">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i w:val="0"/>
                <w:iCs w:val="0"/>
                <w:color w:val="auto"/>
                <w:kern w:val="0"/>
                <w:sz w:val="20"/>
                <w:szCs w:val="20"/>
                <w:highlight w:val="none"/>
                <w:u w:val="none"/>
                <w:lang w:val="en-US" w:eastAsia="zh-CN" w:bidi="ar"/>
              </w:rPr>
              <w:t>三级指标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B0F24">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i w:val="0"/>
                <w:iCs w:val="0"/>
                <w:color w:val="auto"/>
                <w:kern w:val="0"/>
                <w:sz w:val="20"/>
                <w:szCs w:val="20"/>
                <w:highlight w:val="none"/>
                <w:u w:val="none"/>
                <w:lang w:val="en-US" w:eastAsia="zh-CN" w:bidi="ar"/>
              </w:rPr>
              <w:t>指标解释</w:t>
            </w:r>
          </w:p>
        </w:tc>
        <w:tc>
          <w:tcPr>
            <w:tcW w:w="1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07752">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i w:val="0"/>
                <w:iCs w:val="0"/>
                <w:color w:val="auto"/>
                <w:kern w:val="0"/>
                <w:sz w:val="20"/>
                <w:szCs w:val="20"/>
                <w:highlight w:val="none"/>
                <w:u w:val="none"/>
                <w:lang w:val="en-US" w:eastAsia="zh-CN" w:bidi="ar"/>
              </w:rPr>
              <w:t>评价标准</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27C85A">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i w:val="0"/>
                <w:iCs w:val="0"/>
                <w:color w:val="auto"/>
                <w:kern w:val="0"/>
                <w:sz w:val="20"/>
                <w:szCs w:val="20"/>
                <w:highlight w:val="none"/>
                <w:u w:val="none"/>
                <w:lang w:val="en-US" w:eastAsia="zh-CN" w:bidi="ar"/>
              </w:rPr>
              <w:t>目标值</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9CCE0">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i w:val="0"/>
                <w:iCs w:val="0"/>
                <w:color w:val="auto"/>
                <w:kern w:val="0"/>
                <w:sz w:val="20"/>
                <w:szCs w:val="20"/>
                <w:highlight w:val="none"/>
                <w:u w:val="none"/>
                <w:lang w:val="en-US" w:eastAsia="zh-CN" w:bidi="ar"/>
              </w:rPr>
              <w:t>实际完成值</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77CC3">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i w:val="0"/>
                <w:iCs w:val="0"/>
                <w:color w:val="auto"/>
                <w:kern w:val="0"/>
                <w:sz w:val="20"/>
                <w:szCs w:val="20"/>
                <w:highlight w:val="none"/>
                <w:u w:val="none"/>
                <w:lang w:val="en-US" w:eastAsia="zh-CN" w:bidi="ar"/>
              </w:rPr>
              <w:t>标杆分值</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0BAA1">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i w:val="0"/>
                <w:iCs w:val="0"/>
                <w:color w:val="auto"/>
                <w:kern w:val="0"/>
                <w:sz w:val="20"/>
                <w:szCs w:val="20"/>
                <w:highlight w:val="none"/>
                <w:u w:val="none"/>
                <w:lang w:val="en-US" w:eastAsia="zh-CN" w:bidi="ar"/>
              </w:rPr>
              <w:t>指标得分</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1FD96">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i w:val="0"/>
                <w:iCs w:val="0"/>
                <w:color w:val="auto"/>
                <w:kern w:val="0"/>
                <w:sz w:val="20"/>
                <w:szCs w:val="20"/>
                <w:highlight w:val="none"/>
                <w:u w:val="none"/>
                <w:lang w:val="en-US" w:eastAsia="zh-CN" w:bidi="ar"/>
              </w:rPr>
              <w:t>得分率</w:t>
            </w:r>
          </w:p>
        </w:tc>
      </w:tr>
      <w:tr w14:paraId="2BC93F15">
        <w:tblPrEx>
          <w:tblCellMar>
            <w:top w:w="0" w:type="dxa"/>
            <w:left w:w="23" w:type="dxa"/>
            <w:bottom w:w="0" w:type="dxa"/>
            <w:right w:w="23" w:type="dxa"/>
          </w:tblCellMar>
        </w:tblPrEx>
        <w:trPr>
          <w:trHeight w:val="261" w:hRule="atLeast"/>
        </w:trPr>
        <w:tc>
          <w:tcPr>
            <w:tcW w:w="3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EC72B2">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A决策</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（10.00分）　</w:t>
            </w:r>
          </w:p>
        </w:tc>
        <w:tc>
          <w:tcPr>
            <w:tcW w:w="3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E095C4">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A1项目立项（3.00分）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6173D6">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A11立项依据充分性</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122D7">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项目立项是否符合法律法规、相关政策、发展规划以及部门职责，用以反映和考核项目立项依据情况。</w:t>
            </w:r>
          </w:p>
        </w:tc>
        <w:tc>
          <w:tcPr>
            <w:tcW w:w="1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EDE1D">
            <w:pPr>
              <w:keepNext w:val="0"/>
              <w:keepLines w:val="0"/>
              <w:widowControl/>
              <w:suppressLineNumbers w:val="0"/>
              <w:spacing w:line="240" w:lineRule="auto"/>
              <w:ind w:left="0" w:leftChars="0"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评价要点：</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①项目立项是否符合国家法律法规、国民经济发展规划和相关政策；</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②项目立项是否符合行业发展规划和政策要求；</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③项目立项是否与部门职责范围相符，属于部门履职所需；</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④项目是否属于公共财政支持范围，是否符合中央、地方事权支出责任划分原则；</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⑤项目是否与相关部门同类项目或部门内部相关项目重复。</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以上五项中，若存在任意不符合情况，每发现一处不符扣0.5分，扣完为止。</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4FEB6">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充分</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B7F5C">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充分</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79764">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1.50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B22B1">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1.50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3DA8C">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100.00%</w:t>
            </w:r>
          </w:p>
        </w:tc>
      </w:tr>
      <w:tr w14:paraId="2B763A03">
        <w:tblPrEx>
          <w:tblCellMar>
            <w:top w:w="0" w:type="dxa"/>
            <w:left w:w="23" w:type="dxa"/>
            <w:bottom w:w="0" w:type="dxa"/>
            <w:right w:w="23" w:type="dxa"/>
          </w:tblCellMar>
        </w:tblPrEx>
        <w:trPr>
          <w:trHeight w:val="261" w:hRule="atLeast"/>
        </w:trPr>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18F767">
            <w:pPr>
              <w:spacing w:line="240" w:lineRule="auto"/>
              <w:jc w:val="center"/>
              <w:rPr>
                <w:rFonts w:ascii="Times New Roman" w:hAnsi="Times New Roman" w:eastAsia="宋体" w:cs="Times New Roman"/>
                <w:color w:val="auto"/>
                <w:kern w:val="0"/>
                <w:sz w:val="20"/>
                <w:szCs w:val="20"/>
                <w:highlight w:val="none"/>
                <w:lang w:bidi="ar"/>
              </w:rPr>
            </w:pPr>
          </w:p>
        </w:tc>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9E89C7">
            <w:pPr>
              <w:spacing w:line="240" w:lineRule="auto"/>
              <w:jc w:val="left"/>
              <w:rPr>
                <w:rFonts w:ascii="Times New Roman" w:hAnsi="Times New Roman" w:eastAsia="宋体" w:cs="Times New Roman"/>
                <w:color w:val="auto"/>
                <w:kern w:val="0"/>
                <w:sz w:val="20"/>
                <w:szCs w:val="20"/>
                <w:highlight w:val="none"/>
                <w:lang w:bidi="ar"/>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46CE8">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A12立项程序规范性</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9235D">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项目申请、设立过程是否符合相关要求，用以反映和考核项目立项的规范情况。</w:t>
            </w:r>
          </w:p>
        </w:tc>
        <w:tc>
          <w:tcPr>
            <w:tcW w:w="1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FB077">
            <w:pPr>
              <w:keepNext w:val="0"/>
              <w:keepLines w:val="0"/>
              <w:widowControl/>
              <w:suppressLineNumbers w:val="0"/>
              <w:spacing w:line="240" w:lineRule="auto"/>
              <w:ind w:left="0" w:leftChars="0"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评价要点：</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①项目是否按照规定的程序申请设立；</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②审批文件、材料是否符合相关要求；</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③事前是否已经过必要的可行性研究、专家论证、风险评估、绩效评估、集体决策。</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以上三项中，每发现一处不符扣0.5分，扣完为止。</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8F9BC">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合规</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7B8439">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合规</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3DA577">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1.50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302A99">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1.50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B5046">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100.00%</w:t>
            </w:r>
          </w:p>
        </w:tc>
      </w:tr>
      <w:tr w14:paraId="2385096C">
        <w:tblPrEx>
          <w:tblCellMar>
            <w:top w:w="0" w:type="dxa"/>
            <w:left w:w="23" w:type="dxa"/>
            <w:bottom w:w="0" w:type="dxa"/>
            <w:right w:w="23" w:type="dxa"/>
          </w:tblCellMar>
        </w:tblPrEx>
        <w:trPr>
          <w:trHeight w:val="261" w:hRule="atLeast"/>
        </w:trPr>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C3675C">
            <w:pPr>
              <w:spacing w:line="240" w:lineRule="auto"/>
              <w:jc w:val="center"/>
              <w:rPr>
                <w:rFonts w:ascii="Times New Roman" w:hAnsi="Times New Roman" w:eastAsia="宋体" w:cs="Times New Roman"/>
                <w:color w:val="auto"/>
                <w:kern w:val="0"/>
                <w:sz w:val="20"/>
                <w:szCs w:val="20"/>
                <w:highlight w:val="none"/>
                <w:lang w:bidi="ar"/>
              </w:rPr>
            </w:pPr>
          </w:p>
        </w:tc>
        <w:tc>
          <w:tcPr>
            <w:tcW w:w="3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1FBA92">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A2绩效目标（4.00分）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022A5">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A21绩效目标合理性</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F92F1">
            <w:pPr>
              <w:keepNext w:val="0"/>
              <w:keepLines w:val="0"/>
              <w:widowControl/>
              <w:suppressLineNumbers w:val="0"/>
              <w:spacing w:line="240" w:lineRule="auto"/>
              <w:ind w:firstLine="400" w:firstLineChars="20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项目所设定的绩效目标是否依据充分，是否符合客观实际，用以反映和考核项目绩效目标与项目实施的相符情况。</w:t>
            </w:r>
          </w:p>
        </w:tc>
        <w:tc>
          <w:tcPr>
            <w:tcW w:w="1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CA01E">
            <w:pPr>
              <w:keepNext w:val="0"/>
              <w:keepLines w:val="0"/>
              <w:widowControl/>
              <w:suppressLineNumbers w:val="0"/>
              <w:spacing w:line="240" w:lineRule="auto"/>
              <w:ind w:left="0" w:leftChars="0"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评价要点：</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①项目是否有绩效目标；</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②项目绩效目标与实际工作内容是否具有相关性；</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③项目预期产出效益和效果是否符合正常的业绩水平；</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④是否与预算确定的项目投资额或资金量相匹配。</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若①不符合，则此指标不得分；若①符合，则每发现一处不符扣0.5分，扣完为止。</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B8FE7">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合理</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93FCC1">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合理</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036C4B">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2.00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8FB3A">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2.00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7721E">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100.00%</w:t>
            </w:r>
          </w:p>
        </w:tc>
      </w:tr>
      <w:tr w14:paraId="036DDBB0">
        <w:tblPrEx>
          <w:tblCellMar>
            <w:top w:w="0" w:type="dxa"/>
            <w:left w:w="23" w:type="dxa"/>
            <w:bottom w:w="0" w:type="dxa"/>
            <w:right w:w="23" w:type="dxa"/>
          </w:tblCellMar>
        </w:tblPrEx>
        <w:trPr>
          <w:trHeight w:val="261" w:hRule="atLeast"/>
        </w:trPr>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45AFB9">
            <w:pPr>
              <w:spacing w:line="240" w:lineRule="auto"/>
              <w:jc w:val="center"/>
              <w:rPr>
                <w:rFonts w:ascii="Times New Roman" w:hAnsi="Times New Roman" w:eastAsia="宋体" w:cs="Times New Roman"/>
                <w:color w:val="auto"/>
                <w:kern w:val="0"/>
                <w:sz w:val="20"/>
                <w:szCs w:val="20"/>
                <w:highlight w:val="none"/>
                <w:lang w:bidi="ar"/>
              </w:rPr>
            </w:pPr>
          </w:p>
        </w:tc>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336B6C">
            <w:pPr>
              <w:spacing w:line="240" w:lineRule="auto"/>
              <w:jc w:val="left"/>
              <w:rPr>
                <w:rFonts w:ascii="Times New Roman" w:hAnsi="Times New Roman" w:eastAsia="宋体" w:cs="Times New Roman"/>
                <w:color w:val="auto"/>
                <w:kern w:val="0"/>
                <w:sz w:val="20"/>
                <w:szCs w:val="20"/>
                <w:highlight w:val="none"/>
                <w:lang w:bidi="ar"/>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D6837">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A22绩效指标明确性</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5BF81">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依据绩效目标设定的绩效指标是否清晰、细化、可衡量等，用以反映和考核项目绩效目标的明细化情况。</w:t>
            </w:r>
          </w:p>
        </w:tc>
        <w:tc>
          <w:tcPr>
            <w:tcW w:w="1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0732EA">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评价要点：</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是否将项目绩效目标细化分解为具体的绩效指标，且绩效指标与项目目标任务数或计划数相对应；绩效指标指向明确，可通过清晰、可衡量的指标予以体现，指标设置清晰准确，且量化易评。每发现一处不符扣0.2分，扣完为止。</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1DE39">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明确</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3DF1D">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明确</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DE101">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2.00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8980F9">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2.00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C40212">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100.00%</w:t>
            </w:r>
          </w:p>
        </w:tc>
      </w:tr>
      <w:tr w14:paraId="64BDD441">
        <w:tblPrEx>
          <w:tblCellMar>
            <w:top w:w="0" w:type="dxa"/>
            <w:left w:w="23" w:type="dxa"/>
            <w:bottom w:w="0" w:type="dxa"/>
            <w:right w:w="23" w:type="dxa"/>
          </w:tblCellMar>
        </w:tblPrEx>
        <w:trPr>
          <w:trHeight w:val="261" w:hRule="atLeast"/>
        </w:trPr>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C85554">
            <w:pPr>
              <w:spacing w:line="240" w:lineRule="auto"/>
              <w:jc w:val="center"/>
              <w:rPr>
                <w:rFonts w:ascii="Times New Roman" w:hAnsi="Times New Roman" w:eastAsia="宋体" w:cs="Times New Roman"/>
                <w:color w:val="auto"/>
                <w:kern w:val="0"/>
                <w:sz w:val="20"/>
                <w:szCs w:val="20"/>
                <w:highlight w:val="none"/>
                <w:lang w:bidi="ar"/>
              </w:rPr>
            </w:pPr>
          </w:p>
        </w:tc>
        <w:tc>
          <w:tcPr>
            <w:tcW w:w="3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AC44A6">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A3资金投入（3.00分）</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280C20">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A31预算编制科学性</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179D5">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项目预算编制是否经过科学论证、有明确标准，资金额度与年度目标是否相适应，用以反映和考核项目预算编制的科学性、合理性情况。</w:t>
            </w:r>
          </w:p>
        </w:tc>
        <w:tc>
          <w:tcPr>
            <w:tcW w:w="1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0C1EF">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评价要点：</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①预算编制是否经过科学论证；</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②预算内容与项目内容是否匹配；</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③预算额度测算依据是否充分，是否按照标准编制；</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④预算确定的项目投资额或资金量是否与工作任务相匹配。</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每发现一处不符扣0.5分，扣完为止。</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94EBA">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科学</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9728F">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科学</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79BB9">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1.50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C5653D">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1.50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2D8F1F">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100.00</w:t>
            </w:r>
            <w:r>
              <w:rPr>
                <w:rFonts w:hint="default" w:ascii="Times New Roman" w:hAnsi="Times New Roman" w:eastAsia="宋体" w:cs="Times New Roman"/>
                <w:i w:val="0"/>
                <w:iCs w:val="0"/>
                <w:color w:val="auto"/>
                <w:kern w:val="0"/>
                <w:sz w:val="20"/>
                <w:szCs w:val="20"/>
                <w:highlight w:val="none"/>
                <w:u w:val="none"/>
                <w:lang w:val="en-US" w:eastAsia="zh-CN" w:bidi="ar"/>
              </w:rPr>
              <w:t>%</w:t>
            </w:r>
          </w:p>
        </w:tc>
      </w:tr>
      <w:tr w14:paraId="523759DC">
        <w:tblPrEx>
          <w:tblCellMar>
            <w:top w:w="0" w:type="dxa"/>
            <w:left w:w="23" w:type="dxa"/>
            <w:bottom w:w="0" w:type="dxa"/>
            <w:right w:w="23" w:type="dxa"/>
          </w:tblCellMar>
        </w:tblPrEx>
        <w:trPr>
          <w:trHeight w:val="261" w:hRule="atLeast"/>
        </w:trPr>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3D3006">
            <w:pPr>
              <w:spacing w:line="240" w:lineRule="auto"/>
              <w:jc w:val="center"/>
              <w:rPr>
                <w:rFonts w:ascii="Times New Roman" w:hAnsi="Times New Roman" w:eastAsia="宋体" w:cs="Times New Roman"/>
                <w:color w:val="auto"/>
                <w:kern w:val="0"/>
                <w:sz w:val="20"/>
                <w:szCs w:val="20"/>
                <w:highlight w:val="none"/>
                <w:lang w:bidi="ar"/>
              </w:rPr>
            </w:pPr>
          </w:p>
        </w:tc>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43C2A5">
            <w:pPr>
              <w:spacing w:line="240" w:lineRule="auto"/>
              <w:jc w:val="left"/>
              <w:rPr>
                <w:rFonts w:ascii="Times New Roman" w:hAnsi="Times New Roman" w:eastAsia="宋体" w:cs="Times New Roman"/>
                <w:color w:val="auto"/>
                <w:kern w:val="0"/>
                <w:sz w:val="20"/>
                <w:szCs w:val="20"/>
                <w:highlight w:val="none"/>
                <w:lang w:bidi="ar"/>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5039F">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A32资金分配合理性</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15A3CA">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项目预算资金分配是否有测算依据，与补助单位或地方实际是否相适应，用以反映和考核项目预算资金分配的科学性、合理性情况。</w:t>
            </w:r>
          </w:p>
        </w:tc>
        <w:tc>
          <w:tcPr>
            <w:tcW w:w="1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9CCCA">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评价要点：</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①预算资金分配依据是否充分；</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②资金分配额度是否合理，与项目单位或地方实际是否相适应。</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以上每发现一处不符扣0.5分，扣完为止。</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CD457B">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合理</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5D496">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较合理</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272F6">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1.50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82AC48">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w:t>
            </w:r>
            <w:r>
              <w:rPr>
                <w:rFonts w:hint="eastAsia" w:ascii="Times New Roman" w:hAnsi="Times New Roman" w:eastAsia="宋体" w:cs="Times New Roman"/>
                <w:i w:val="0"/>
                <w:iCs w:val="0"/>
                <w:color w:val="auto"/>
                <w:kern w:val="0"/>
                <w:sz w:val="20"/>
                <w:szCs w:val="20"/>
                <w:highlight w:val="none"/>
                <w:u w:val="none"/>
                <w:lang w:val="en-US" w:eastAsia="zh-CN" w:bidi="ar"/>
              </w:rPr>
              <w:t>0</w:t>
            </w:r>
            <w:r>
              <w:rPr>
                <w:rFonts w:hint="default" w:ascii="Times New Roman" w:hAnsi="Times New Roman" w:eastAsia="宋体" w:cs="Times New Roman"/>
                <w:i w:val="0"/>
                <w:iCs w:val="0"/>
                <w:color w:val="auto"/>
                <w:kern w:val="0"/>
                <w:sz w:val="20"/>
                <w:szCs w:val="20"/>
                <w:highlight w:val="none"/>
                <w:u w:val="none"/>
                <w:lang w:val="en-US" w:eastAsia="zh-CN" w:bidi="ar"/>
              </w:rPr>
              <w:t>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69219">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100.00%</w:t>
            </w:r>
          </w:p>
        </w:tc>
      </w:tr>
      <w:tr w14:paraId="285DB24F">
        <w:tblPrEx>
          <w:tblCellMar>
            <w:top w:w="0" w:type="dxa"/>
            <w:left w:w="23" w:type="dxa"/>
            <w:bottom w:w="0" w:type="dxa"/>
            <w:right w:w="23" w:type="dxa"/>
          </w:tblCellMar>
        </w:tblPrEx>
        <w:trPr>
          <w:trHeight w:val="261" w:hRule="atLeast"/>
        </w:trPr>
        <w:tc>
          <w:tcPr>
            <w:tcW w:w="358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6BE8440">
            <w:pPr>
              <w:keepNext w:val="0"/>
              <w:keepLines w:val="0"/>
              <w:widowControl/>
              <w:suppressLineNumbers w:val="0"/>
              <w:spacing w:line="240" w:lineRule="auto"/>
              <w:ind w:firstLine="402" w:firstLineChars="20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b/>
                <w:bCs/>
                <w:i w:val="0"/>
                <w:iCs w:val="0"/>
                <w:color w:val="auto"/>
                <w:kern w:val="0"/>
                <w:sz w:val="20"/>
                <w:szCs w:val="20"/>
                <w:highlight w:val="none"/>
                <w:u w:val="none"/>
                <w:lang w:val="en-US" w:eastAsia="zh-CN" w:bidi="ar"/>
              </w:rPr>
              <w:t>小计</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45379D">
            <w:pPr>
              <w:spacing w:line="240" w:lineRule="auto"/>
              <w:jc w:val="center"/>
              <w:rPr>
                <w:rFonts w:ascii="Times New Roman" w:hAnsi="Times New Roman" w:eastAsia="宋体" w:cs="Times New Roman"/>
                <w:color w:val="auto"/>
                <w:kern w:val="0"/>
                <w:sz w:val="20"/>
                <w:szCs w:val="20"/>
                <w:highlight w:val="none"/>
                <w:lang w:bidi="ar"/>
              </w:rPr>
            </w:pP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A86B58">
            <w:pPr>
              <w:spacing w:line="240" w:lineRule="auto"/>
              <w:jc w:val="center"/>
              <w:rPr>
                <w:rFonts w:ascii="Times New Roman" w:hAnsi="Times New Roman" w:eastAsia="宋体" w:cs="Times New Roman"/>
                <w:color w:val="auto"/>
                <w:kern w:val="0"/>
                <w:sz w:val="20"/>
                <w:szCs w:val="20"/>
                <w:highlight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9CE180">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b/>
                <w:bCs/>
                <w:i w:val="0"/>
                <w:iCs w:val="0"/>
                <w:color w:val="auto"/>
                <w:kern w:val="0"/>
                <w:sz w:val="20"/>
                <w:szCs w:val="20"/>
                <w:highlight w:val="none"/>
                <w:u w:val="none"/>
                <w:lang w:val="en-US" w:eastAsia="zh-CN" w:bidi="ar"/>
              </w:rPr>
              <w:t>10.00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D18BE">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b/>
                <w:bCs/>
                <w:i w:val="0"/>
                <w:iCs w:val="0"/>
                <w:color w:val="auto"/>
                <w:kern w:val="0"/>
                <w:sz w:val="20"/>
                <w:szCs w:val="20"/>
                <w:highlight w:val="none"/>
                <w:u w:val="none"/>
                <w:lang w:val="en-US" w:eastAsia="zh-CN" w:bidi="ar"/>
              </w:rPr>
              <w:t>9.5</w:t>
            </w:r>
            <w:r>
              <w:rPr>
                <w:rFonts w:hint="default" w:ascii="Times New Roman" w:hAnsi="Times New Roman" w:eastAsia="宋体" w:cs="Times New Roman"/>
                <w:b/>
                <w:bCs/>
                <w:i w:val="0"/>
                <w:iCs w:val="0"/>
                <w:color w:val="auto"/>
                <w:kern w:val="0"/>
                <w:sz w:val="20"/>
                <w:szCs w:val="20"/>
                <w:highlight w:val="none"/>
                <w:u w:val="none"/>
                <w:lang w:val="en-US" w:eastAsia="zh-CN" w:bidi="ar"/>
              </w:rPr>
              <w:t>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1FCADF">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9</w:t>
            </w:r>
            <w:r>
              <w:rPr>
                <w:rFonts w:hint="eastAsia" w:ascii="Times New Roman" w:hAnsi="Times New Roman" w:eastAsia="宋体" w:cs="Times New Roman"/>
                <w:i w:val="0"/>
                <w:iCs w:val="0"/>
                <w:color w:val="auto"/>
                <w:kern w:val="0"/>
                <w:sz w:val="20"/>
                <w:szCs w:val="20"/>
                <w:highlight w:val="none"/>
                <w:u w:val="none"/>
                <w:lang w:val="en-US" w:eastAsia="zh-CN" w:bidi="ar"/>
              </w:rPr>
              <w:t>5</w:t>
            </w:r>
            <w:r>
              <w:rPr>
                <w:rFonts w:hint="default" w:ascii="Times New Roman" w:hAnsi="Times New Roman" w:eastAsia="宋体" w:cs="Times New Roman"/>
                <w:i w:val="0"/>
                <w:iCs w:val="0"/>
                <w:color w:val="auto"/>
                <w:kern w:val="0"/>
                <w:sz w:val="20"/>
                <w:szCs w:val="20"/>
                <w:highlight w:val="none"/>
                <w:u w:val="none"/>
                <w:lang w:val="en-US" w:eastAsia="zh-CN" w:bidi="ar"/>
              </w:rPr>
              <w:t>.00%</w:t>
            </w:r>
          </w:p>
        </w:tc>
      </w:tr>
      <w:tr w14:paraId="15D21D7D">
        <w:tblPrEx>
          <w:tblCellMar>
            <w:top w:w="0" w:type="dxa"/>
            <w:left w:w="23" w:type="dxa"/>
            <w:bottom w:w="0" w:type="dxa"/>
            <w:right w:w="23" w:type="dxa"/>
          </w:tblCellMar>
        </w:tblPrEx>
        <w:trPr>
          <w:trHeight w:val="261" w:hRule="atLeast"/>
        </w:trPr>
        <w:tc>
          <w:tcPr>
            <w:tcW w:w="3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844277">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B过程</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（25.00分）</w:t>
            </w:r>
          </w:p>
        </w:tc>
        <w:tc>
          <w:tcPr>
            <w:tcW w:w="3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D09184">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B1资金管理（13.00分）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CA6C64">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B11资金到位率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95CB5">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实际到位资金与预算资金的比率，用以反映和考核资金落实情况对项目实施的总体保障程度。</w:t>
            </w:r>
          </w:p>
        </w:tc>
        <w:tc>
          <w:tcPr>
            <w:tcW w:w="1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FCA1D">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资金到位率=（实际到位资金/预算资金）×100.00%。</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项目完成且资金到位数满足年度预算规模需求，得3.00分；项目尚未完成，资金到位率小于100.00%且大于等于80.00%的得2.00分，资金到位率小于80.00%且大于等于60.00%的得4.00分，资金到位率小于60.00%的不得分。</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6E08DF">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100.00%</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4FB8B4">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81.46%</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C9B7C">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3.00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DB705">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2</w:t>
            </w:r>
            <w:r>
              <w:rPr>
                <w:rFonts w:hint="default" w:ascii="Times New Roman" w:hAnsi="Times New Roman" w:eastAsia="宋体" w:cs="Times New Roman"/>
                <w:i w:val="0"/>
                <w:iCs w:val="0"/>
                <w:color w:val="auto"/>
                <w:kern w:val="0"/>
                <w:sz w:val="20"/>
                <w:szCs w:val="20"/>
                <w:highlight w:val="none"/>
                <w:u w:val="none"/>
                <w:lang w:val="en-US" w:eastAsia="zh-CN" w:bidi="ar"/>
              </w:rPr>
              <w:t>.00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6BCE29">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66.67</w:t>
            </w:r>
            <w:r>
              <w:rPr>
                <w:rFonts w:hint="default" w:ascii="Times New Roman" w:hAnsi="Times New Roman" w:eastAsia="宋体" w:cs="Times New Roman"/>
                <w:i w:val="0"/>
                <w:iCs w:val="0"/>
                <w:color w:val="auto"/>
                <w:kern w:val="0"/>
                <w:sz w:val="20"/>
                <w:szCs w:val="20"/>
                <w:highlight w:val="none"/>
                <w:u w:val="none"/>
                <w:lang w:val="en-US" w:eastAsia="zh-CN" w:bidi="ar"/>
              </w:rPr>
              <w:t>%</w:t>
            </w:r>
          </w:p>
        </w:tc>
      </w:tr>
      <w:tr w14:paraId="31C40619">
        <w:tblPrEx>
          <w:tblCellMar>
            <w:top w:w="0" w:type="dxa"/>
            <w:left w:w="23" w:type="dxa"/>
            <w:bottom w:w="0" w:type="dxa"/>
            <w:right w:w="23" w:type="dxa"/>
          </w:tblCellMar>
        </w:tblPrEx>
        <w:trPr>
          <w:trHeight w:val="261" w:hRule="atLeast"/>
        </w:trPr>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3D4E3D">
            <w:pPr>
              <w:spacing w:line="240" w:lineRule="auto"/>
              <w:jc w:val="center"/>
              <w:rPr>
                <w:rFonts w:ascii="Times New Roman" w:hAnsi="Times New Roman" w:eastAsia="宋体" w:cs="Times New Roman"/>
                <w:color w:val="auto"/>
                <w:kern w:val="0"/>
                <w:sz w:val="20"/>
                <w:szCs w:val="20"/>
                <w:highlight w:val="none"/>
                <w:lang w:bidi="ar"/>
              </w:rPr>
            </w:pPr>
          </w:p>
        </w:tc>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40891B">
            <w:pPr>
              <w:spacing w:line="240" w:lineRule="auto"/>
              <w:jc w:val="center"/>
              <w:rPr>
                <w:rFonts w:ascii="Times New Roman" w:hAnsi="Times New Roman" w:eastAsia="宋体" w:cs="Times New Roman"/>
                <w:color w:val="auto"/>
                <w:kern w:val="0"/>
                <w:sz w:val="20"/>
                <w:szCs w:val="20"/>
                <w:highlight w:val="none"/>
                <w:lang w:bidi="ar"/>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99E14">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B12预算执行率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14018">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项目预算资金是否按照计划执行，用以反映或考核项目预算执行情况。</w:t>
            </w:r>
          </w:p>
        </w:tc>
        <w:tc>
          <w:tcPr>
            <w:tcW w:w="1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527DBF">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预算执行率=（实际支出资金/实际到位资金）×100.00%。</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项目完成且执行数控制在年度预算规模之内的，得5.00分；项目尚未完成，预算执行率小于100.00%且大于等于80.00%的得4.00分，预算执行率小于80.00%且大于等于60.00%的得3.00分，预算执行率小于60.00%的不得分。</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637A0">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100.00%</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2E9B0">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100.00%</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2631B7">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5.00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C9E37">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5.00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0DA218">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100.00%</w:t>
            </w:r>
          </w:p>
        </w:tc>
      </w:tr>
      <w:tr w14:paraId="7F4631DE">
        <w:tblPrEx>
          <w:tblCellMar>
            <w:top w:w="0" w:type="dxa"/>
            <w:left w:w="23" w:type="dxa"/>
            <w:bottom w:w="0" w:type="dxa"/>
            <w:right w:w="23" w:type="dxa"/>
          </w:tblCellMar>
        </w:tblPrEx>
        <w:trPr>
          <w:trHeight w:val="261" w:hRule="atLeast"/>
        </w:trPr>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54315A">
            <w:pPr>
              <w:spacing w:line="240" w:lineRule="auto"/>
              <w:jc w:val="center"/>
              <w:rPr>
                <w:rFonts w:ascii="Times New Roman" w:hAnsi="Times New Roman" w:eastAsia="宋体" w:cs="Times New Roman"/>
                <w:color w:val="auto"/>
                <w:kern w:val="0"/>
                <w:sz w:val="20"/>
                <w:szCs w:val="20"/>
                <w:highlight w:val="none"/>
                <w:lang w:bidi="ar"/>
              </w:rPr>
            </w:pPr>
          </w:p>
        </w:tc>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176537">
            <w:pPr>
              <w:spacing w:line="240" w:lineRule="auto"/>
              <w:jc w:val="center"/>
              <w:rPr>
                <w:rFonts w:ascii="Times New Roman" w:hAnsi="Times New Roman" w:eastAsia="宋体" w:cs="Times New Roman"/>
                <w:color w:val="auto"/>
                <w:kern w:val="0"/>
                <w:sz w:val="20"/>
                <w:szCs w:val="20"/>
                <w:highlight w:val="none"/>
                <w:lang w:bidi="ar"/>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E8254F">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B13资金使用合规性</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C7B0B">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考察项目单位资金的使用规范程度。项目资金使用是否符合相关法律法规、制度和规定，用以反映和考核项目资金使用的规范性和安全性。</w:t>
            </w:r>
          </w:p>
        </w:tc>
        <w:tc>
          <w:tcPr>
            <w:tcW w:w="1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CF186C">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评价要点：</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①是否符合国家财经法规和财务管理制度以及有关专项资金管理办法的规定；</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②是否符合项目预算批复或合同规定的用途；</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③是否存在截留、挤占、挪用、虚列支出等情况；</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④资金的拨付是否有完整的审批程序和手续。</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以上四项不满足①或②或③时属于严重违规事项，本项指标不得分，在符合①、②和③的条件下，其他各项符合则得分，否则，每发现一处不符扣1.00分，扣完为止。</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E99B89">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合规</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27D24">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较合规</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40EFB">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5.00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F4553B">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3</w:t>
            </w:r>
            <w:r>
              <w:rPr>
                <w:rFonts w:hint="default" w:ascii="Times New Roman" w:hAnsi="Times New Roman" w:eastAsia="宋体" w:cs="Times New Roman"/>
                <w:i w:val="0"/>
                <w:iCs w:val="0"/>
                <w:color w:val="auto"/>
                <w:kern w:val="0"/>
                <w:sz w:val="20"/>
                <w:szCs w:val="20"/>
                <w:highlight w:val="none"/>
                <w:u w:val="none"/>
                <w:lang w:val="en-US" w:eastAsia="zh-CN" w:bidi="ar"/>
              </w:rPr>
              <w:t>.00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47BE0">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6</w:t>
            </w:r>
            <w:r>
              <w:rPr>
                <w:rFonts w:hint="default" w:ascii="Times New Roman" w:hAnsi="Times New Roman" w:eastAsia="宋体" w:cs="Times New Roman"/>
                <w:i w:val="0"/>
                <w:iCs w:val="0"/>
                <w:color w:val="auto"/>
                <w:kern w:val="0"/>
                <w:sz w:val="20"/>
                <w:szCs w:val="20"/>
                <w:highlight w:val="none"/>
                <w:u w:val="none"/>
                <w:lang w:val="en-US" w:eastAsia="zh-CN" w:bidi="ar"/>
              </w:rPr>
              <w:t>0.00%</w:t>
            </w:r>
          </w:p>
        </w:tc>
      </w:tr>
      <w:tr w14:paraId="1C4EB984">
        <w:tblPrEx>
          <w:tblCellMar>
            <w:top w:w="0" w:type="dxa"/>
            <w:left w:w="23" w:type="dxa"/>
            <w:bottom w:w="0" w:type="dxa"/>
            <w:right w:w="23" w:type="dxa"/>
          </w:tblCellMar>
        </w:tblPrEx>
        <w:trPr>
          <w:trHeight w:val="261" w:hRule="atLeast"/>
        </w:trPr>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ED634D">
            <w:pPr>
              <w:spacing w:line="240" w:lineRule="auto"/>
              <w:jc w:val="center"/>
              <w:rPr>
                <w:rFonts w:ascii="Times New Roman" w:hAnsi="Times New Roman" w:eastAsia="宋体" w:cs="Times New Roman"/>
                <w:color w:val="auto"/>
                <w:kern w:val="0"/>
                <w:sz w:val="20"/>
                <w:szCs w:val="20"/>
                <w:highlight w:val="none"/>
                <w:lang w:bidi="ar"/>
              </w:rPr>
            </w:pPr>
          </w:p>
        </w:tc>
        <w:tc>
          <w:tcPr>
            <w:tcW w:w="3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CDEDA0">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B2组织实施（12.00分）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B73C8">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B21管理制度健全性</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244FA9">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项目实施单位的财务和业务管理制度是否健全，用以反映和考核财务和业务管理制度对项目顺利实施的保障情况。</w:t>
            </w:r>
          </w:p>
        </w:tc>
        <w:tc>
          <w:tcPr>
            <w:tcW w:w="1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89249">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评价要点：</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①是否已制定或具有相应的财务和业务管理制度；</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②财务和业务管理制度是否合法、合规、完整。</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以上两项分别占50%的权重分，符合则得分；存在部分制度缺失、内容不完整或不满足管理要求的，每发现一处不符扣0.5分，各权重分扣完为止。</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0DA9B">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健全</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20BC9">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健全</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CF16B0">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4.00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84318">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4</w:t>
            </w:r>
            <w:r>
              <w:rPr>
                <w:rFonts w:hint="default" w:ascii="Times New Roman" w:hAnsi="Times New Roman" w:eastAsia="宋体" w:cs="Times New Roman"/>
                <w:i w:val="0"/>
                <w:iCs w:val="0"/>
                <w:color w:val="auto"/>
                <w:kern w:val="0"/>
                <w:sz w:val="20"/>
                <w:szCs w:val="20"/>
                <w:highlight w:val="none"/>
                <w:u w:val="none"/>
                <w:lang w:val="en-US" w:eastAsia="zh-CN" w:bidi="ar"/>
              </w:rPr>
              <w:t>.</w:t>
            </w:r>
            <w:r>
              <w:rPr>
                <w:rFonts w:hint="eastAsia" w:ascii="Times New Roman" w:hAnsi="Times New Roman" w:eastAsia="宋体" w:cs="Times New Roman"/>
                <w:i w:val="0"/>
                <w:iCs w:val="0"/>
                <w:color w:val="auto"/>
                <w:kern w:val="0"/>
                <w:sz w:val="20"/>
                <w:szCs w:val="20"/>
                <w:highlight w:val="none"/>
                <w:u w:val="none"/>
                <w:lang w:val="en-US" w:eastAsia="zh-CN" w:bidi="ar"/>
              </w:rPr>
              <w:t>0</w:t>
            </w:r>
            <w:r>
              <w:rPr>
                <w:rFonts w:hint="default" w:ascii="Times New Roman" w:hAnsi="Times New Roman" w:eastAsia="宋体" w:cs="Times New Roman"/>
                <w:i w:val="0"/>
                <w:iCs w:val="0"/>
                <w:color w:val="auto"/>
                <w:kern w:val="0"/>
                <w:sz w:val="20"/>
                <w:szCs w:val="20"/>
                <w:highlight w:val="none"/>
                <w:u w:val="none"/>
                <w:lang w:val="en-US" w:eastAsia="zh-CN" w:bidi="ar"/>
              </w:rPr>
              <w:t>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E2B7E">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75.0</w:t>
            </w:r>
            <w:r>
              <w:rPr>
                <w:rFonts w:hint="default" w:ascii="Times New Roman" w:hAnsi="Times New Roman" w:eastAsia="宋体" w:cs="Times New Roman"/>
                <w:i w:val="0"/>
                <w:iCs w:val="0"/>
                <w:color w:val="auto"/>
                <w:kern w:val="0"/>
                <w:sz w:val="20"/>
                <w:szCs w:val="20"/>
                <w:highlight w:val="none"/>
                <w:u w:val="none"/>
                <w:lang w:val="en-US" w:eastAsia="zh-CN" w:bidi="ar"/>
              </w:rPr>
              <w:t>0%</w:t>
            </w:r>
          </w:p>
        </w:tc>
      </w:tr>
      <w:tr w14:paraId="5A9F3F64">
        <w:tblPrEx>
          <w:tblCellMar>
            <w:top w:w="0" w:type="dxa"/>
            <w:left w:w="23" w:type="dxa"/>
            <w:bottom w:w="0" w:type="dxa"/>
            <w:right w:w="23" w:type="dxa"/>
          </w:tblCellMar>
        </w:tblPrEx>
        <w:trPr>
          <w:trHeight w:val="261" w:hRule="atLeast"/>
        </w:trPr>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81AF04">
            <w:pPr>
              <w:spacing w:line="240" w:lineRule="auto"/>
              <w:jc w:val="center"/>
              <w:rPr>
                <w:rFonts w:ascii="Times New Roman" w:hAnsi="Times New Roman" w:eastAsia="宋体" w:cs="Times New Roman"/>
                <w:color w:val="auto"/>
                <w:kern w:val="0"/>
                <w:sz w:val="20"/>
                <w:szCs w:val="20"/>
                <w:highlight w:val="none"/>
                <w:lang w:bidi="ar"/>
              </w:rPr>
            </w:pPr>
          </w:p>
        </w:tc>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2DF610">
            <w:pPr>
              <w:spacing w:line="240" w:lineRule="auto"/>
              <w:jc w:val="left"/>
              <w:rPr>
                <w:rFonts w:ascii="Times New Roman" w:hAnsi="Times New Roman" w:eastAsia="宋体" w:cs="Times New Roman"/>
                <w:color w:val="auto"/>
                <w:kern w:val="0"/>
                <w:sz w:val="20"/>
                <w:szCs w:val="20"/>
                <w:highlight w:val="none"/>
                <w:lang w:bidi="ar"/>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091DA">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B22制度执行有效性</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49155">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项目实施是否符合相关管理规定，用以反映和考核相关管理制度的有效执行情况。</w:t>
            </w:r>
          </w:p>
        </w:tc>
        <w:tc>
          <w:tcPr>
            <w:tcW w:w="1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91102">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评价要点：</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①是否遵守相关法律法规和相关管理规定；</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②项目调整及支出调整手续是否完备；</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③项目合同书、验收报告、技术鉴定等资料是否齐全并及时归档；</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④项目实施的人员条件、场地设备、信息支撑等是否落实到位。</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以上四项中发现任意一项制度执行不到位的扣1.00分，扣完为止。</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AE58F">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有效</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4401A">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较有效</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FEB54">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8.00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1EDC4">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eastAsia="宋体" w:cs="Times New Roman"/>
                <w:i w:val="0"/>
                <w:iCs w:val="0"/>
                <w:color w:val="auto"/>
                <w:kern w:val="0"/>
                <w:sz w:val="20"/>
                <w:szCs w:val="20"/>
                <w:highlight w:val="none"/>
                <w:u w:val="none"/>
                <w:lang w:val="en-US" w:eastAsia="zh-CN" w:bidi="ar"/>
              </w:rPr>
              <w:t>3</w:t>
            </w:r>
            <w:r>
              <w:rPr>
                <w:rFonts w:hint="default" w:ascii="Times New Roman" w:hAnsi="Times New Roman" w:eastAsia="宋体" w:cs="Times New Roman"/>
                <w:i w:val="0"/>
                <w:iCs w:val="0"/>
                <w:color w:val="auto"/>
                <w:kern w:val="0"/>
                <w:sz w:val="20"/>
                <w:szCs w:val="20"/>
                <w:highlight w:val="none"/>
                <w:u w:val="none"/>
                <w:lang w:val="en-US" w:eastAsia="zh-CN" w:bidi="ar"/>
              </w:rPr>
              <w:t>.00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F8DC7">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eastAsia="宋体" w:cs="Times New Roman"/>
                <w:i w:val="0"/>
                <w:iCs w:val="0"/>
                <w:color w:val="auto"/>
                <w:kern w:val="0"/>
                <w:sz w:val="20"/>
                <w:szCs w:val="20"/>
                <w:highlight w:val="none"/>
                <w:u w:val="none"/>
                <w:lang w:val="en-US" w:eastAsia="zh-CN" w:bidi="ar"/>
              </w:rPr>
              <w:t>37.5</w:t>
            </w:r>
            <w:r>
              <w:rPr>
                <w:rFonts w:hint="default" w:ascii="Times New Roman" w:hAnsi="Times New Roman" w:eastAsia="宋体" w:cs="Times New Roman"/>
                <w:i w:val="0"/>
                <w:iCs w:val="0"/>
                <w:color w:val="auto"/>
                <w:kern w:val="0"/>
                <w:sz w:val="20"/>
                <w:szCs w:val="20"/>
                <w:highlight w:val="none"/>
                <w:u w:val="none"/>
                <w:lang w:val="en-US" w:eastAsia="zh-CN" w:bidi="ar"/>
              </w:rPr>
              <w:t>0%</w:t>
            </w:r>
          </w:p>
        </w:tc>
      </w:tr>
      <w:tr w14:paraId="15B0EAF2">
        <w:tblPrEx>
          <w:tblCellMar>
            <w:top w:w="0" w:type="dxa"/>
            <w:left w:w="23" w:type="dxa"/>
            <w:bottom w:w="0" w:type="dxa"/>
            <w:right w:w="23" w:type="dxa"/>
          </w:tblCellMar>
        </w:tblPrEx>
        <w:trPr>
          <w:trHeight w:val="261" w:hRule="atLeast"/>
        </w:trPr>
        <w:tc>
          <w:tcPr>
            <w:tcW w:w="358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DC25CF5">
            <w:pPr>
              <w:keepNext w:val="0"/>
              <w:keepLines w:val="0"/>
              <w:widowControl/>
              <w:suppressLineNumbers w:val="0"/>
              <w:spacing w:line="240" w:lineRule="auto"/>
              <w:ind w:firstLine="402" w:firstLineChars="20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b/>
                <w:bCs/>
                <w:i w:val="0"/>
                <w:iCs w:val="0"/>
                <w:color w:val="auto"/>
                <w:kern w:val="0"/>
                <w:sz w:val="20"/>
                <w:szCs w:val="20"/>
                <w:highlight w:val="none"/>
                <w:u w:val="none"/>
                <w:lang w:val="en-US" w:eastAsia="zh-CN" w:bidi="ar"/>
              </w:rPr>
              <w:t>小计</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78EF09">
            <w:pPr>
              <w:spacing w:line="240" w:lineRule="auto"/>
              <w:jc w:val="center"/>
              <w:rPr>
                <w:rFonts w:ascii="Times New Roman" w:hAnsi="Times New Roman" w:eastAsia="宋体" w:cs="Times New Roman"/>
                <w:color w:val="auto"/>
                <w:kern w:val="0"/>
                <w:sz w:val="20"/>
                <w:szCs w:val="20"/>
                <w:highlight w:val="none"/>
                <w:lang w:bidi="ar"/>
              </w:rPr>
            </w:pP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A444C">
            <w:pPr>
              <w:spacing w:line="240" w:lineRule="auto"/>
              <w:jc w:val="center"/>
              <w:rPr>
                <w:rFonts w:ascii="Times New Roman" w:hAnsi="Times New Roman" w:eastAsia="宋体" w:cs="Times New Roman"/>
                <w:color w:val="auto"/>
                <w:kern w:val="0"/>
                <w:sz w:val="20"/>
                <w:szCs w:val="20"/>
                <w:highlight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AAA5F">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b/>
                <w:bCs/>
                <w:i w:val="0"/>
                <w:iCs w:val="0"/>
                <w:color w:val="auto"/>
                <w:kern w:val="0"/>
                <w:sz w:val="20"/>
                <w:szCs w:val="20"/>
                <w:highlight w:val="none"/>
                <w:u w:val="none"/>
                <w:lang w:val="en-US" w:eastAsia="zh-CN" w:bidi="ar"/>
              </w:rPr>
              <w:t>25.00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A2536">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b/>
                <w:bCs/>
                <w:i w:val="0"/>
                <w:iCs w:val="0"/>
                <w:color w:val="auto"/>
                <w:kern w:val="0"/>
                <w:sz w:val="20"/>
                <w:szCs w:val="20"/>
                <w:highlight w:val="none"/>
                <w:u w:val="none"/>
                <w:lang w:val="en-US" w:eastAsia="zh-CN" w:bidi="ar"/>
              </w:rPr>
              <w:t>1</w:t>
            </w:r>
            <w:r>
              <w:rPr>
                <w:rFonts w:hint="eastAsia" w:eastAsia="宋体" w:cs="Times New Roman"/>
                <w:b/>
                <w:bCs/>
                <w:i w:val="0"/>
                <w:iCs w:val="0"/>
                <w:color w:val="auto"/>
                <w:kern w:val="0"/>
                <w:sz w:val="20"/>
                <w:szCs w:val="20"/>
                <w:highlight w:val="none"/>
                <w:u w:val="none"/>
                <w:lang w:val="en-US" w:eastAsia="zh-CN" w:bidi="ar"/>
              </w:rPr>
              <w:t>7</w:t>
            </w:r>
            <w:r>
              <w:rPr>
                <w:rFonts w:hint="eastAsia" w:ascii="Times New Roman" w:hAnsi="Times New Roman" w:eastAsia="宋体" w:cs="Times New Roman"/>
                <w:b/>
                <w:bCs/>
                <w:i w:val="0"/>
                <w:iCs w:val="0"/>
                <w:color w:val="auto"/>
                <w:kern w:val="0"/>
                <w:sz w:val="20"/>
                <w:szCs w:val="20"/>
                <w:highlight w:val="none"/>
                <w:u w:val="none"/>
                <w:lang w:val="en-US" w:eastAsia="zh-CN" w:bidi="ar"/>
              </w:rPr>
              <w:t>.0</w:t>
            </w:r>
            <w:r>
              <w:rPr>
                <w:rFonts w:hint="default" w:ascii="Times New Roman" w:hAnsi="Times New Roman" w:eastAsia="宋体" w:cs="Times New Roman"/>
                <w:b/>
                <w:bCs/>
                <w:i w:val="0"/>
                <w:iCs w:val="0"/>
                <w:color w:val="auto"/>
                <w:kern w:val="0"/>
                <w:sz w:val="20"/>
                <w:szCs w:val="20"/>
                <w:highlight w:val="none"/>
                <w:u w:val="none"/>
                <w:lang w:val="en-US" w:eastAsia="zh-CN" w:bidi="ar"/>
              </w:rPr>
              <w:t>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C9256">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6</w:t>
            </w:r>
            <w:r>
              <w:rPr>
                <w:rFonts w:hint="eastAsia" w:eastAsia="宋体" w:cs="Times New Roman"/>
                <w:i w:val="0"/>
                <w:iCs w:val="0"/>
                <w:color w:val="auto"/>
                <w:kern w:val="0"/>
                <w:sz w:val="20"/>
                <w:szCs w:val="20"/>
                <w:highlight w:val="none"/>
                <w:u w:val="none"/>
                <w:lang w:val="en-US" w:eastAsia="zh-CN" w:bidi="ar"/>
              </w:rPr>
              <w:t>8</w:t>
            </w:r>
            <w:r>
              <w:rPr>
                <w:rFonts w:hint="default" w:ascii="Times New Roman" w:hAnsi="Times New Roman" w:eastAsia="宋体" w:cs="Times New Roman"/>
                <w:i w:val="0"/>
                <w:iCs w:val="0"/>
                <w:color w:val="auto"/>
                <w:kern w:val="0"/>
                <w:sz w:val="20"/>
                <w:szCs w:val="20"/>
                <w:highlight w:val="none"/>
                <w:u w:val="none"/>
                <w:lang w:val="en-US" w:eastAsia="zh-CN" w:bidi="ar"/>
              </w:rPr>
              <w:t>.00%</w:t>
            </w:r>
          </w:p>
        </w:tc>
      </w:tr>
      <w:tr w14:paraId="509E7999">
        <w:tblPrEx>
          <w:tblCellMar>
            <w:top w:w="0" w:type="dxa"/>
            <w:left w:w="23" w:type="dxa"/>
            <w:bottom w:w="0" w:type="dxa"/>
            <w:right w:w="23" w:type="dxa"/>
          </w:tblCellMar>
        </w:tblPrEx>
        <w:trPr>
          <w:trHeight w:val="261" w:hRule="atLeast"/>
        </w:trPr>
        <w:tc>
          <w:tcPr>
            <w:tcW w:w="3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2D7BA9">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C产出</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（30.00分）</w:t>
            </w:r>
          </w:p>
        </w:tc>
        <w:tc>
          <w:tcPr>
            <w:tcW w:w="3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65AAEE">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C1产出数量（13.00分）</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EDD21">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C11农村公路养护里程</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51CBB4">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项目实施的实际产出数与计划产出数的比率，用以反映和考核项目产出数量目标的实现程度。</w:t>
            </w:r>
          </w:p>
        </w:tc>
        <w:tc>
          <w:tcPr>
            <w:tcW w:w="1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138B25">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实际完成率=（实际产出数/计划产出数）×100.0%。</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①绩效目标超额完成，即实际完成率≥200%，得0分；</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②绩效目标超额完成，100.00%≤完成率&lt;200%，得分=（1-（实际完成率-100.00%））×权重分值；</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③绩效目标未完成，若60%≤完成率&lt;100.00%，得分=（实际完成率-60%）/（1-60%）×权重分值；若完成率&lt;60%，得0分。</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50714">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w:t>
            </w:r>
            <w:r>
              <w:rPr>
                <w:rFonts w:hint="eastAsia" w:eastAsia="宋体" w:cs="Times New Roman"/>
                <w:i w:val="0"/>
                <w:iCs w:val="0"/>
                <w:color w:val="auto"/>
                <w:kern w:val="0"/>
                <w:sz w:val="20"/>
                <w:szCs w:val="20"/>
                <w:highlight w:val="none"/>
                <w:u w:val="none"/>
                <w:lang w:val="en-US" w:eastAsia="zh-CN" w:bidi="ar"/>
              </w:rPr>
              <w:t>214.2</w:t>
            </w:r>
            <w:r>
              <w:rPr>
                <w:rFonts w:hint="eastAsia" w:ascii="Times New Roman" w:hAnsi="Times New Roman" w:eastAsia="宋体" w:cs="Times New Roman"/>
                <w:i w:val="0"/>
                <w:iCs w:val="0"/>
                <w:color w:val="auto"/>
                <w:kern w:val="0"/>
                <w:sz w:val="20"/>
                <w:szCs w:val="20"/>
                <w:highlight w:val="none"/>
                <w:u w:val="none"/>
                <w:lang w:val="en-US" w:eastAsia="zh-CN" w:bidi="ar"/>
              </w:rPr>
              <w:t>公里</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327F55">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eastAsia="宋体" w:cs="Times New Roman"/>
                <w:i w:val="0"/>
                <w:iCs w:val="0"/>
                <w:color w:val="auto"/>
                <w:kern w:val="0"/>
                <w:sz w:val="20"/>
                <w:szCs w:val="20"/>
                <w:highlight w:val="none"/>
                <w:u w:val="none"/>
                <w:lang w:val="en-US" w:eastAsia="zh-CN" w:bidi="ar"/>
              </w:rPr>
              <w:t>214.2</w:t>
            </w:r>
            <w:r>
              <w:rPr>
                <w:rFonts w:hint="eastAsia" w:ascii="Times New Roman" w:hAnsi="Times New Roman" w:eastAsia="宋体" w:cs="Times New Roman"/>
                <w:i w:val="0"/>
                <w:iCs w:val="0"/>
                <w:color w:val="auto"/>
                <w:kern w:val="0"/>
                <w:sz w:val="20"/>
                <w:szCs w:val="20"/>
                <w:highlight w:val="none"/>
                <w:u w:val="none"/>
                <w:lang w:val="en-US" w:eastAsia="zh-CN" w:bidi="ar"/>
              </w:rPr>
              <w:t>公里</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EC422">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7.00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16D7AC">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7.00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F2593">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100.00%</w:t>
            </w:r>
          </w:p>
        </w:tc>
      </w:tr>
      <w:tr w14:paraId="028630D0">
        <w:tblPrEx>
          <w:tblCellMar>
            <w:top w:w="0" w:type="dxa"/>
            <w:left w:w="23" w:type="dxa"/>
            <w:bottom w:w="0" w:type="dxa"/>
            <w:right w:w="23" w:type="dxa"/>
          </w:tblCellMar>
        </w:tblPrEx>
        <w:trPr>
          <w:trHeight w:val="261" w:hRule="atLeast"/>
        </w:trPr>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7ED939">
            <w:pPr>
              <w:spacing w:line="240" w:lineRule="auto"/>
              <w:jc w:val="center"/>
              <w:rPr>
                <w:rFonts w:ascii="Times New Roman" w:hAnsi="Times New Roman" w:eastAsia="宋体" w:cs="Times New Roman"/>
                <w:color w:val="auto"/>
                <w:kern w:val="0"/>
                <w:sz w:val="20"/>
                <w:szCs w:val="20"/>
                <w:highlight w:val="none"/>
                <w:lang w:bidi="ar"/>
              </w:rPr>
            </w:pPr>
          </w:p>
        </w:tc>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6E2785">
            <w:pPr>
              <w:spacing w:line="240" w:lineRule="auto"/>
              <w:jc w:val="left"/>
              <w:rPr>
                <w:rFonts w:ascii="Times New Roman" w:hAnsi="Times New Roman" w:eastAsia="宋体" w:cs="Times New Roman"/>
                <w:color w:val="auto"/>
                <w:kern w:val="0"/>
                <w:sz w:val="20"/>
                <w:szCs w:val="20"/>
                <w:highlight w:val="none"/>
                <w:lang w:bidi="ar"/>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D3D02">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C12养护公路条数</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44CD65">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项目实施的实际产出数与计划产出数的比率，用以反映和考核项目产出数量目标的实现程度。</w:t>
            </w:r>
          </w:p>
        </w:tc>
        <w:tc>
          <w:tcPr>
            <w:tcW w:w="1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C8B7A7">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实际完成率=（实际产出数/计划产出数）×100.0%。</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①绩效目标超额完成，即实际完成率≥200%，得0分；</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②绩效目标超额完成，100.00%≤完成率&lt;200%，得分=（1-（实际完成率-100.00%））×权重分值；</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③绩效目标未完成，若60%≤完成率&lt;100.00%，得分=（实际完成率-60%）/（1-60%）×权重分值；若完成率&lt;60%，得0分。</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98F3A">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≥27条</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4987B4">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27条</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82A071">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6.00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56F2C">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6.00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E7F374">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100.00%</w:t>
            </w:r>
          </w:p>
        </w:tc>
      </w:tr>
      <w:tr w14:paraId="3A913E93">
        <w:tblPrEx>
          <w:tblCellMar>
            <w:top w:w="0" w:type="dxa"/>
            <w:left w:w="23" w:type="dxa"/>
            <w:bottom w:w="0" w:type="dxa"/>
            <w:right w:w="23" w:type="dxa"/>
          </w:tblCellMar>
        </w:tblPrEx>
        <w:trPr>
          <w:trHeight w:val="261" w:hRule="atLeast"/>
        </w:trPr>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97047C">
            <w:pPr>
              <w:spacing w:line="240" w:lineRule="auto"/>
              <w:jc w:val="center"/>
              <w:rPr>
                <w:rFonts w:ascii="Times New Roman" w:hAnsi="Times New Roman" w:eastAsia="宋体" w:cs="Times New Roman"/>
                <w:color w:val="auto"/>
                <w:kern w:val="0"/>
                <w:sz w:val="20"/>
                <w:szCs w:val="20"/>
                <w:highlight w:val="none"/>
                <w:lang w:bidi="ar"/>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14D39">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C2产出质量（6.00分）</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0DCB4">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C21公路养护工程合格率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C2D4C">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项目完成的质量达标产出数与实际产出数的比率，用以反映和考核项目产出质量目标的实现程度。</w:t>
            </w:r>
          </w:p>
        </w:tc>
        <w:tc>
          <w:tcPr>
            <w:tcW w:w="1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35E35">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实际完成率=实际验收合格数/计划验收合格数×100.00%。</w:t>
            </w:r>
            <w:r>
              <w:rPr>
                <w:rFonts w:hint="eastAsia" w:ascii="Times New Roman" w:hAnsi="Times New Roman" w:eastAsia="宋体" w:cs="Times New Roman"/>
                <w:i w:val="0"/>
                <w:iCs w:val="0"/>
                <w:color w:val="auto"/>
                <w:kern w:val="0"/>
                <w:sz w:val="20"/>
                <w:szCs w:val="20"/>
                <w:highlight w:val="none"/>
                <w:u w:val="none"/>
                <w:lang w:val="en-US" w:eastAsia="zh-CN" w:bidi="ar"/>
              </w:rPr>
              <w:br w:type="textWrapping"/>
            </w:r>
            <w:r>
              <w:rPr>
                <w:rFonts w:hint="eastAsia" w:ascii="Times New Roman" w:hAnsi="Times New Roman" w:eastAsia="宋体" w:cs="Times New Roman"/>
                <w:i w:val="0"/>
                <w:iCs w:val="0"/>
                <w:color w:val="auto"/>
                <w:kern w:val="0"/>
                <w:sz w:val="20"/>
                <w:szCs w:val="20"/>
                <w:highlight w:val="none"/>
                <w:u w:val="none"/>
                <w:lang w:val="en-US" w:eastAsia="zh-CN" w:bidi="ar"/>
              </w:rPr>
              <w:t>实际完成率符合预期指标值得满分；预期指标未完成，且实际完成率大于60%的，按超过的比重赋分，计算公式为：得分=（实际完成率-60%）/（1-60%）×指标分值；完成率小于60%为不及格，不得分。</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9FC1D">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100.00%</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DF84D">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100.00%</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9B8952">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6.00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295DB">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6.00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BEC04">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100.00%</w:t>
            </w:r>
          </w:p>
        </w:tc>
      </w:tr>
      <w:tr w14:paraId="568BABF9">
        <w:tblPrEx>
          <w:tblCellMar>
            <w:top w:w="0" w:type="dxa"/>
            <w:left w:w="23" w:type="dxa"/>
            <w:bottom w:w="0" w:type="dxa"/>
            <w:right w:w="23" w:type="dxa"/>
          </w:tblCellMar>
        </w:tblPrEx>
        <w:trPr>
          <w:trHeight w:val="261" w:hRule="atLeast"/>
        </w:trPr>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A8C3DE">
            <w:pPr>
              <w:spacing w:line="240" w:lineRule="auto"/>
              <w:jc w:val="center"/>
              <w:rPr>
                <w:rFonts w:ascii="Times New Roman" w:hAnsi="Times New Roman" w:eastAsia="宋体" w:cs="Times New Roman"/>
                <w:color w:val="auto"/>
                <w:kern w:val="0"/>
                <w:sz w:val="20"/>
                <w:szCs w:val="20"/>
                <w:highlight w:val="none"/>
                <w:lang w:bidi="ar"/>
              </w:rPr>
            </w:pPr>
          </w:p>
        </w:tc>
        <w:tc>
          <w:tcPr>
            <w:tcW w:w="3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9136D7">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C3产出时效（6.00分）</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646F3B">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C31项目开工及时率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E43888">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考核是否按照计划开工，是否存在延期开工的情况。</w:t>
            </w:r>
          </w:p>
        </w:tc>
        <w:tc>
          <w:tcPr>
            <w:tcW w:w="1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C66CA">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kern w:val="0"/>
                <w:sz w:val="20"/>
                <w:szCs w:val="20"/>
                <w:highlight w:val="none"/>
                <w:u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项目在2024年6月25日前开工得满分，否则，不得分。</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18FECA">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100.00%</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24049D">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100.00%</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6454D">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3.00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B5C4E">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3.00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7497AB">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100.00%</w:t>
            </w:r>
          </w:p>
        </w:tc>
      </w:tr>
      <w:tr w14:paraId="1C2B4156">
        <w:tblPrEx>
          <w:tblCellMar>
            <w:top w:w="0" w:type="dxa"/>
            <w:left w:w="23" w:type="dxa"/>
            <w:bottom w:w="0" w:type="dxa"/>
            <w:right w:w="23" w:type="dxa"/>
          </w:tblCellMar>
        </w:tblPrEx>
        <w:trPr>
          <w:trHeight w:val="261" w:hRule="atLeast"/>
        </w:trPr>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38A547">
            <w:pPr>
              <w:spacing w:line="240" w:lineRule="auto"/>
              <w:jc w:val="center"/>
              <w:rPr>
                <w:rFonts w:ascii="Times New Roman" w:hAnsi="Times New Roman" w:eastAsia="宋体" w:cs="Times New Roman"/>
                <w:color w:val="auto"/>
                <w:kern w:val="0"/>
                <w:sz w:val="20"/>
                <w:szCs w:val="20"/>
                <w:highlight w:val="none"/>
                <w:lang w:bidi="ar"/>
              </w:rPr>
            </w:pPr>
          </w:p>
        </w:tc>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992D31">
            <w:pPr>
              <w:spacing w:line="240" w:lineRule="auto"/>
              <w:jc w:val="center"/>
              <w:rPr>
                <w:rFonts w:ascii="Times New Roman" w:hAnsi="Times New Roman" w:eastAsia="宋体" w:cs="Times New Roman"/>
                <w:color w:val="auto"/>
                <w:kern w:val="0"/>
                <w:sz w:val="20"/>
                <w:szCs w:val="20"/>
                <w:highlight w:val="none"/>
                <w:lang w:bidi="ar"/>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77C36">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C32项目完工及时率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98AA75">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项目实际完成时间与计划完成时间的比较，用以反映和考核项目产出时效目标的实现程度。</w:t>
            </w:r>
          </w:p>
        </w:tc>
        <w:tc>
          <w:tcPr>
            <w:tcW w:w="1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A84101">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kern w:val="0"/>
                <w:sz w:val="20"/>
                <w:szCs w:val="20"/>
                <w:highlight w:val="none"/>
                <w:u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项目在2024年7月24日前完成交工验收得满分，否则，不得分。</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051A4D">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100.00%</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CF33D">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0.00%</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527EC">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3.00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2C1568">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0</w:t>
            </w:r>
            <w:r>
              <w:rPr>
                <w:rFonts w:hint="default" w:ascii="Times New Roman" w:hAnsi="Times New Roman" w:eastAsia="宋体" w:cs="Times New Roman"/>
                <w:i w:val="0"/>
                <w:iCs w:val="0"/>
                <w:color w:val="auto"/>
                <w:kern w:val="0"/>
                <w:sz w:val="20"/>
                <w:szCs w:val="20"/>
                <w:highlight w:val="none"/>
                <w:u w:val="none"/>
                <w:lang w:val="en-US" w:eastAsia="zh-CN" w:bidi="ar"/>
              </w:rPr>
              <w:t>.00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BB7EB6">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100.00%</w:t>
            </w:r>
          </w:p>
        </w:tc>
      </w:tr>
      <w:tr w14:paraId="3F1FF724">
        <w:tblPrEx>
          <w:tblCellMar>
            <w:top w:w="0" w:type="dxa"/>
            <w:left w:w="23" w:type="dxa"/>
            <w:bottom w:w="0" w:type="dxa"/>
            <w:right w:w="23" w:type="dxa"/>
          </w:tblCellMar>
        </w:tblPrEx>
        <w:trPr>
          <w:trHeight w:val="261" w:hRule="atLeast"/>
        </w:trPr>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D8A943">
            <w:pPr>
              <w:spacing w:line="240" w:lineRule="auto"/>
              <w:jc w:val="center"/>
              <w:rPr>
                <w:rFonts w:ascii="Times New Roman" w:hAnsi="Times New Roman" w:eastAsia="宋体" w:cs="Times New Roman"/>
                <w:color w:val="auto"/>
                <w:kern w:val="0"/>
                <w:sz w:val="20"/>
                <w:szCs w:val="20"/>
                <w:highlight w:val="none"/>
                <w:lang w:bidi="ar"/>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C26724">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C4产出成本（5.00分）</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82AC1A">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C41工程建安成本控制率</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716EE">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完成项目计划工作目标的实际建安成本与目标建安成本的比率，用以反映和考核项目的成本节约程度。</w:t>
            </w:r>
          </w:p>
        </w:tc>
        <w:tc>
          <w:tcPr>
            <w:tcW w:w="1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300F4">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kern w:val="0"/>
                <w:sz w:val="20"/>
                <w:szCs w:val="20"/>
                <w:highlight w:val="none"/>
                <w:u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工程建安成本控制率=(实际建安成本/目标建安成本)×100.00%</w:t>
            </w:r>
          </w:p>
          <w:p w14:paraId="2C1ADB1B">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kern w:val="0"/>
                <w:sz w:val="20"/>
                <w:szCs w:val="20"/>
                <w:highlight w:val="none"/>
                <w:u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①实际完成值大于等于年度指标值,得满分</w:t>
            </w:r>
          </w:p>
          <w:p w14:paraId="3FE7334F">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②实际完成值小于年度指标值，得分=项目投资控制率/80.00%×分值。</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06524D">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80.00%—100.00%</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14630">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98.13%</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DB78B">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5.00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BF67F">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5</w:t>
            </w:r>
            <w:r>
              <w:rPr>
                <w:rFonts w:hint="default" w:ascii="Times New Roman" w:hAnsi="Times New Roman" w:eastAsia="宋体" w:cs="Times New Roman"/>
                <w:i w:val="0"/>
                <w:iCs w:val="0"/>
                <w:color w:val="auto"/>
                <w:kern w:val="0"/>
                <w:sz w:val="20"/>
                <w:szCs w:val="20"/>
                <w:highlight w:val="none"/>
                <w:u w:val="none"/>
                <w:lang w:val="en-US" w:eastAsia="zh-CN" w:bidi="ar"/>
              </w:rPr>
              <w:t>.00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538EE">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10</w:t>
            </w:r>
            <w:r>
              <w:rPr>
                <w:rFonts w:hint="default" w:ascii="Times New Roman" w:hAnsi="Times New Roman" w:eastAsia="宋体" w:cs="Times New Roman"/>
                <w:i w:val="0"/>
                <w:iCs w:val="0"/>
                <w:color w:val="auto"/>
                <w:kern w:val="0"/>
                <w:sz w:val="20"/>
                <w:szCs w:val="20"/>
                <w:highlight w:val="none"/>
                <w:u w:val="none"/>
                <w:lang w:val="en-US" w:eastAsia="zh-CN" w:bidi="ar"/>
              </w:rPr>
              <w:t>0.00%</w:t>
            </w:r>
          </w:p>
        </w:tc>
      </w:tr>
      <w:tr w14:paraId="3F35300C">
        <w:tblPrEx>
          <w:tblCellMar>
            <w:top w:w="0" w:type="dxa"/>
            <w:left w:w="23" w:type="dxa"/>
            <w:bottom w:w="0" w:type="dxa"/>
            <w:right w:w="23" w:type="dxa"/>
          </w:tblCellMar>
        </w:tblPrEx>
        <w:trPr>
          <w:trHeight w:val="261" w:hRule="atLeast"/>
        </w:trPr>
        <w:tc>
          <w:tcPr>
            <w:tcW w:w="358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825423E">
            <w:pPr>
              <w:keepNext w:val="0"/>
              <w:keepLines w:val="0"/>
              <w:widowControl/>
              <w:suppressLineNumbers w:val="0"/>
              <w:spacing w:line="240" w:lineRule="auto"/>
              <w:ind w:firstLine="402" w:firstLineChars="200"/>
              <w:jc w:val="center"/>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b/>
                <w:bCs/>
                <w:i w:val="0"/>
                <w:iCs w:val="0"/>
                <w:color w:val="auto"/>
                <w:kern w:val="0"/>
                <w:sz w:val="20"/>
                <w:szCs w:val="20"/>
                <w:highlight w:val="none"/>
                <w:u w:val="none"/>
                <w:lang w:val="en-US" w:eastAsia="zh-CN" w:bidi="ar"/>
              </w:rPr>
              <w:t>小计</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A1C0A6">
            <w:pPr>
              <w:spacing w:line="240" w:lineRule="auto"/>
              <w:jc w:val="center"/>
              <w:rPr>
                <w:rFonts w:ascii="Times New Roman" w:hAnsi="Times New Roman" w:eastAsia="宋体" w:cs="Times New Roman"/>
                <w:color w:val="auto"/>
                <w:kern w:val="0"/>
                <w:sz w:val="20"/>
                <w:szCs w:val="20"/>
                <w:highlight w:val="none"/>
                <w:lang w:bidi="ar"/>
              </w:rPr>
            </w:pP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CCF620">
            <w:pPr>
              <w:spacing w:line="240" w:lineRule="auto"/>
              <w:jc w:val="center"/>
              <w:rPr>
                <w:rFonts w:ascii="Times New Roman" w:hAnsi="Times New Roman" w:eastAsia="宋体" w:cs="Times New Roman"/>
                <w:color w:val="auto"/>
                <w:kern w:val="0"/>
                <w:sz w:val="20"/>
                <w:szCs w:val="20"/>
                <w:highlight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4B9767">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b/>
                <w:bCs/>
                <w:i w:val="0"/>
                <w:iCs w:val="0"/>
                <w:color w:val="auto"/>
                <w:kern w:val="0"/>
                <w:sz w:val="20"/>
                <w:szCs w:val="20"/>
                <w:highlight w:val="none"/>
                <w:u w:val="none"/>
                <w:lang w:val="en-US" w:eastAsia="zh-CN" w:bidi="ar"/>
              </w:rPr>
              <w:t>30.00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2ACBA">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b/>
                <w:bCs/>
                <w:i w:val="0"/>
                <w:iCs w:val="0"/>
                <w:color w:val="auto"/>
                <w:kern w:val="0"/>
                <w:sz w:val="20"/>
                <w:szCs w:val="20"/>
                <w:highlight w:val="none"/>
                <w:u w:val="none"/>
                <w:lang w:val="en-US" w:eastAsia="zh-CN" w:bidi="ar"/>
              </w:rPr>
              <w:t>27</w:t>
            </w:r>
            <w:r>
              <w:rPr>
                <w:rFonts w:hint="default" w:ascii="Times New Roman" w:hAnsi="Times New Roman" w:eastAsia="宋体" w:cs="Times New Roman"/>
                <w:b/>
                <w:bCs/>
                <w:i w:val="0"/>
                <w:iCs w:val="0"/>
                <w:color w:val="auto"/>
                <w:kern w:val="0"/>
                <w:sz w:val="20"/>
                <w:szCs w:val="20"/>
                <w:highlight w:val="none"/>
                <w:u w:val="none"/>
                <w:lang w:val="en-US" w:eastAsia="zh-CN" w:bidi="ar"/>
              </w:rPr>
              <w:t>.00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069EF">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b/>
                <w:bCs/>
                <w:i w:val="0"/>
                <w:iCs w:val="0"/>
                <w:color w:val="auto"/>
                <w:kern w:val="0"/>
                <w:sz w:val="20"/>
                <w:szCs w:val="20"/>
                <w:highlight w:val="none"/>
                <w:u w:val="none"/>
                <w:lang w:val="en-US" w:eastAsia="zh-CN" w:bidi="ar"/>
              </w:rPr>
              <w:t>90.00</w:t>
            </w:r>
            <w:r>
              <w:rPr>
                <w:rFonts w:hint="default" w:ascii="Times New Roman" w:hAnsi="Times New Roman" w:eastAsia="宋体" w:cs="Times New Roman"/>
                <w:b/>
                <w:bCs/>
                <w:i w:val="0"/>
                <w:iCs w:val="0"/>
                <w:color w:val="auto"/>
                <w:kern w:val="0"/>
                <w:sz w:val="20"/>
                <w:szCs w:val="20"/>
                <w:highlight w:val="none"/>
                <w:u w:val="none"/>
                <w:lang w:val="en-US" w:eastAsia="zh-CN" w:bidi="ar"/>
              </w:rPr>
              <w:t>%</w:t>
            </w:r>
          </w:p>
        </w:tc>
      </w:tr>
      <w:tr w14:paraId="47CAA001">
        <w:tblPrEx>
          <w:tblCellMar>
            <w:top w:w="0" w:type="dxa"/>
            <w:left w:w="23" w:type="dxa"/>
            <w:bottom w:w="0" w:type="dxa"/>
            <w:right w:w="23" w:type="dxa"/>
          </w:tblCellMar>
        </w:tblPrEx>
        <w:trPr>
          <w:trHeight w:val="261" w:hRule="atLeast"/>
        </w:trPr>
        <w:tc>
          <w:tcPr>
            <w:tcW w:w="3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8E4D00">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D效益（35.00分）</w:t>
            </w:r>
          </w:p>
        </w:tc>
        <w:tc>
          <w:tcPr>
            <w:tcW w:w="3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08FA93">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D1社会效益指标（22.00分）</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BB50C">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D11保障出行安全，降低交通风险</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AF9BF">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考核项目实施后对保障出行安全，降低交通风险情况。</w:t>
            </w:r>
          </w:p>
        </w:tc>
        <w:tc>
          <w:tcPr>
            <w:tcW w:w="1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C7FD9">
            <w:pPr>
              <w:keepNext w:val="0"/>
              <w:keepLines w:val="0"/>
              <w:widowControl/>
              <w:suppressLineNumbers w:val="0"/>
              <w:spacing w:line="240" w:lineRule="auto"/>
              <w:ind w:left="0" w:leftChars="0" w:firstLine="0" w:firstLineChars="0"/>
              <w:jc w:val="left"/>
              <w:textAlignment w:val="center"/>
              <w:rPr>
                <w:rFonts w:hint="eastAsia" w:ascii="Times New Roman" w:hAnsi="Times New Roman" w:eastAsia="宋体" w:cs="Times New Roman"/>
                <w:i w:val="0"/>
                <w:iCs w:val="0"/>
                <w:color w:val="auto"/>
                <w:kern w:val="0"/>
                <w:sz w:val="20"/>
                <w:szCs w:val="20"/>
                <w:highlight w:val="none"/>
                <w:u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根据问卷调查情况进行评分，指标完成率=∑样本数（“显著”×1.00+“较大”×0.80+“一般”×0.60+“较差”×0.30+“无”×0.00）/总样本数×100.00%。实际完成值分为基本达成目标、部分实现目标、实现目标程度较低三个档次，并分别按照该指标对应分值区间100.00%-80.00%（含）、80.00%-60.00%（含）、60.00%-0.00%合理确定分值。</w:t>
            </w:r>
          </w:p>
          <w:p w14:paraId="14345A3B">
            <w:pPr>
              <w:keepNext w:val="0"/>
              <w:keepLines w:val="0"/>
              <w:widowControl/>
              <w:suppressLineNumbers w:val="0"/>
              <w:spacing w:line="240" w:lineRule="auto"/>
              <w:ind w:left="0" w:leftChars="0" w:firstLine="0" w:firstLineChars="0"/>
              <w:jc w:val="left"/>
              <w:textAlignment w:val="center"/>
              <w:rPr>
                <w:rFonts w:hint="eastAsia" w:ascii="Times New Roman" w:hAnsi="Times New Roman" w:eastAsia="宋体" w:cs="Times New Roman"/>
                <w:i w:val="0"/>
                <w:iCs w:val="0"/>
                <w:color w:val="auto"/>
                <w:kern w:val="0"/>
                <w:sz w:val="20"/>
                <w:szCs w:val="20"/>
                <w:highlight w:val="none"/>
                <w:u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①指标完成率在100.00%-80.00%之间，得满分；</w:t>
            </w:r>
          </w:p>
          <w:p w14:paraId="58AF8672">
            <w:pPr>
              <w:keepNext w:val="0"/>
              <w:keepLines w:val="0"/>
              <w:widowControl/>
              <w:suppressLineNumbers w:val="0"/>
              <w:spacing w:line="240" w:lineRule="auto"/>
              <w:ind w:left="0" w:leftChars="0" w:firstLine="0" w:firstLineChars="0"/>
              <w:jc w:val="left"/>
              <w:textAlignment w:val="center"/>
              <w:rPr>
                <w:rFonts w:hint="eastAsia" w:ascii="Times New Roman" w:hAnsi="Times New Roman" w:eastAsia="宋体" w:cs="Times New Roman"/>
                <w:i w:val="0"/>
                <w:iCs w:val="0"/>
                <w:color w:val="auto"/>
                <w:kern w:val="0"/>
                <w:sz w:val="20"/>
                <w:szCs w:val="20"/>
                <w:highlight w:val="none"/>
                <w:u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②指标完成率在80.00%-60.00%之间，得分=指标完成率×标杆分值；</w:t>
            </w:r>
          </w:p>
          <w:p w14:paraId="01E8DD75">
            <w:pPr>
              <w:keepNext w:val="0"/>
              <w:keepLines w:val="0"/>
              <w:widowControl/>
              <w:suppressLineNumbers w:val="0"/>
              <w:spacing w:line="240" w:lineRule="auto"/>
              <w:ind w:left="0" w:leftChars="0"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③指标完成率小于60.00%为不及格，不得分。</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6AB80D">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有效保障</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CCB93">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基本达成目标</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1B743">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12.00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1819A3">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12.00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AA6114">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100.00%</w:t>
            </w:r>
          </w:p>
        </w:tc>
      </w:tr>
      <w:tr w14:paraId="1F3F2A9B">
        <w:tblPrEx>
          <w:tblCellMar>
            <w:top w:w="0" w:type="dxa"/>
            <w:left w:w="23" w:type="dxa"/>
            <w:bottom w:w="0" w:type="dxa"/>
            <w:right w:w="23" w:type="dxa"/>
          </w:tblCellMar>
        </w:tblPrEx>
        <w:trPr>
          <w:trHeight w:val="2724" w:hRule="atLeast"/>
        </w:trPr>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FADD0C">
            <w:pPr>
              <w:spacing w:line="240" w:lineRule="auto"/>
              <w:jc w:val="center"/>
              <w:rPr>
                <w:rFonts w:ascii="Times New Roman" w:hAnsi="Times New Roman" w:eastAsia="宋体" w:cs="Times New Roman"/>
                <w:color w:val="auto"/>
                <w:kern w:val="0"/>
                <w:sz w:val="20"/>
                <w:szCs w:val="20"/>
                <w:highlight w:val="none"/>
                <w:lang w:bidi="ar"/>
              </w:rPr>
            </w:pPr>
          </w:p>
        </w:tc>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5248F2">
            <w:pPr>
              <w:spacing w:line="240" w:lineRule="auto"/>
              <w:jc w:val="center"/>
              <w:rPr>
                <w:rFonts w:ascii="Times New Roman" w:hAnsi="Times New Roman" w:eastAsia="宋体" w:cs="Times New Roman"/>
                <w:color w:val="auto"/>
                <w:kern w:val="0"/>
                <w:sz w:val="20"/>
                <w:szCs w:val="20"/>
                <w:highlight w:val="none"/>
                <w:lang w:bidi="ar"/>
              </w:rPr>
            </w:pP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819460">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D21改善乡村生活环境</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CA8E87">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考核项目实施后对于改善乡村生活环境的情况。</w:t>
            </w:r>
          </w:p>
        </w:tc>
        <w:tc>
          <w:tcPr>
            <w:tcW w:w="1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4D4143">
            <w:pPr>
              <w:keepNext w:val="0"/>
              <w:keepLines w:val="0"/>
              <w:widowControl/>
              <w:suppressLineNumbers w:val="0"/>
              <w:spacing w:line="240" w:lineRule="auto"/>
              <w:ind w:left="0" w:leftChars="0" w:firstLine="0" w:firstLineChars="0"/>
              <w:jc w:val="left"/>
              <w:textAlignment w:val="center"/>
              <w:rPr>
                <w:rFonts w:hint="eastAsia" w:ascii="Times New Roman" w:hAnsi="Times New Roman" w:eastAsia="宋体" w:cs="Times New Roman"/>
                <w:i w:val="0"/>
                <w:iCs w:val="0"/>
                <w:color w:val="auto"/>
                <w:kern w:val="0"/>
                <w:sz w:val="20"/>
                <w:szCs w:val="20"/>
                <w:highlight w:val="none"/>
                <w:u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根据问卷调查情况进行评分，指标完成率=∑样本数（“显著”×1.00+“较大”×0.80+“一般”×0.60+“较差”×0.30+“无”×0.00）/总样本数×100.00%。实际完成值分为基本达成目标、部分实现目标、实现目标程度较低三个档次，并分别按照该指标对应分值区间100.00%-80.00%（含）、80.00%-60.00%（含）、60.00%-0.00%合理确定分值。</w:t>
            </w:r>
          </w:p>
          <w:p w14:paraId="40BB44B2">
            <w:pPr>
              <w:keepNext w:val="0"/>
              <w:keepLines w:val="0"/>
              <w:widowControl/>
              <w:suppressLineNumbers w:val="0"/>
              <w:spacing w:line="240" w:lineRule="auto"/>
              <w:ind w:left="0" w:leftChars="0" w:firstLine="0" w:firstLineChars="0"/>
              <w:jc w:val="left"/>
              <w:textAlignment w:val="center"/>
              <w:rPr>
                <w:rFonts w:hint="eastAsia" w:ascii="Times New Roman" w:hAnsi="Times New Roman" w:eastAsia="宋体" w:cs="Times New Roman"/>
                <w:i w:val="0"/>
                <w:iCs w:val="0"/>
                <w:color w:val="auto"/>
                <w:kern w:val="0"/>
                <w:sz w:val="20"/>
                <w:szCs w:val="20"/>
                <w:highlight w:val="none"/>
                <w:u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①指标完成率在100.00%-80.00%之间，得满分；</w:t>
            </w:r>
          </w:p>
          <w:p w14:paraId="44F383E4">
            <w:pPr>
              <w:keepNext w:val="0"/>
              <w:keepLines w:val="0"/>
              <w:widowControl/>
              <w:suppressLineNumbers w:val="0"/>
              <w:spacing w:line="240" w:lineRule="auto"/>
              <w:ind w:left="0" w:leftChars="0" w:firstLine="0" w:firstLineChars="0"/>
              <w:jc w:val="left"/>
              <w:textAlignment w:val="center"/>
              <w:rPr>
                <w:rFonts w:hint="eastAsia" w:ascii="Times New Roman" w:hAnsi="Times New Roman" w:eastAsia="宋体" w:cs="Times New Roman"/>
                <w:i w:val="0"/>
                <w:iCs w:val="0"/>
                <w:color w:val="auto"/>
                <w:kern w:val="0"/>
                <w:sz w:val="20"/>
                <w:szCs w:val="20"/>
                <w:highlight w:val="none"/>
                <w:u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②指标完成率在80.00%-60.00%之间，得分=指标完成率×标杆分值；</w:t>
            </w:r>
          </w:p>
          <w:p w14:paraId="2BD28089">
            <w:pPr>
              <w:keepNext w:val="0"/>
              <w:keepLines w:val="0"/>
              <w:widowControl/>
              <w:suppressLineNumbers w:val="0"/>
              <w:spacing w:line="240" w:lineRule="auto"/>
              <w:ind w:left="0" w:leftChars="0"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③指标完成率小于60.00%为不及格，不得分。</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C6B99">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有效改善</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6F07C3">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基本达成目标</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7E678">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10.00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50DBE">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10.00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071A7">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100.00%</w:t>
            </w:r>
          </w:p>
        </w:tc>
      </w:tr>
      <w:tr w14:paraId="58EDEAAF">
        <w:tblPrEx>
          <w:tblCellMar>
            <w:top w:w="0" w:type="dxa"/>
            <w:left w:w="23" w:type="dxa"/>
            <w:bottom w:w="0" w:type="dxa"/>
            <w:right w:w="23" w:type="dxa"/>
          </w:tblCellMar>
        </w:tblPrEx>
        <w:trPr>
          <w:trHeight w:val="2088" w:hRule="atLeast"/>
        </w:trPr>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429E55">
            <w:pPr>
              <w:spacing w:line="240" w:lineRule="auto"/>
              <w:jc w:val="center"/>
              <w:rPr>
                <w:rFonts w:ascii="Times New Roman" w:hAnsi="Times New Roman" w:eastAsia="宋体" w:cs="Times New Roman"/>
                <w:color w:val="auto"/>
                <w:kern w:val="0"/>
                <w:sz w:val="20"/>
                <w:szCs w:val="20"/>
                <w:highlight w:val="none"/>
                <w:lang w:bidi="ar"/>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EE1E1">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sz w:val="20"/>
                <w:szCs w:val="20"/>
                <w:highlight w:val="none"/>
              </w:rPr>
            </w:pPr>
            <w:r>
              <w:rPr>
                <w:rFonts w:hint="eastAsia" w:ascii="Times New Roman" w:hAnsi="Times New Roman" w:eastAsia="宋体" w:cs="Times New Roman"/>
                <w:i w:val="0"/>
                <w:iCs w:val="0"/>
                <w:color w:val="auto"/>
                <w:kern w:val="0"/>
                <w:sz w:val="20"/>
                <w:szCs w:val="20"/>
                <w:highlight w:val="none"/>
                <w:u w:val="none"/>
                <w:lang w:val="en-US" w:eastAsia="zh-CN" w:bidi="ar"/>
              </w:rPr>
              <w:t>D3服务对象满意度指标（13.00分）</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96AF4">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sz w:val="20"/>
                <w:szCs w:val="20"/>
                <w:highlight w:val="none"/>
              </w:rPr>
            </w:pPr>
            <w:r>
              <w:rPr>
                <w:rFonts w:hint="eastAsia" w:ascii="Times New Roman" w:hAnsi="Times New Roman" w:eastAsia="宋体" w:cs="Times New Roman"/>
                <w:i w:val="0"/>
                <w:iCs w:val="0"/>
                <w:color w:val="auto"/>
                <w:kern w:val="0"/>
                <w:sz w:val="20"/>
                <w:szCs w:val="20"/>
                <w:highlight w:val="none"/>
                <w:u w:val="none"/>
                <w:lang w:val="en-US" w:eastAsia="zh-CN" w:bidi="ar"/>
              </w:rPr>
              <w:t>D31受益社会公众满意度</w:t>
            </w: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77300D">
            <w:pPr>
              <w:keepNext w:val="0"/>
              <w:keepLines w:val="0"/>
              <w:widowControl/>
              <w:suppressLineNumbers w:val="0"/>
              <w:spacing w:line="240" w:lineRule="auto"/>
              <w:ind w:left="0" w:leftChars="0" w:firstLine="0" w:firstLineChars="0"/>
              <w:jc w:val="both"/>
              <w:textAlignment w:val="center"/>
              <w:rPr>
                <w:rFonts w:ascii="Times New Roman" w:hAnsi="Times New Roman" w:eastAsia="宋体" w:cs="Times New Roman"/>
                <w:color w:val="auto"/>
                <w:sz w:val="20"/>
                <w:szCs w:val="20"/>
                <w:highlight w:val="none"/>
              </w:rPr>
            </w:pPr>
            <w:r>
              <w:rPr>
                <w:rFonts w:hint="eastAsia" w:ascii="Times New Roman" w:hAnsi="Times New Roman" w:eastAsia="宋体" w:cs="Times New Roman"/>
                <w:i w:val="0"/>
                <w:iCs w:val="0"/>
                <w:color w:val="auto"/>
                <w:kern w:val="0"/>
                <w:sz w:val="20"/>
                <w:szCs w:val="20"/>
                <w:highlight w:val="none"/>
                <w:u w:val="none"/>
                <w:lang w:val="en-US" w:eastAsia="zh-CN" w:bidi="ar"/>
              </w:rPr>
              <w:t>社会公众或服务对象对项目实施效果的满意程度。</w:t>
            </w:r>
          </w:p>
        </w:tc>
        <w:tc>
          <w:tcPr>
            <w:tcW w:w="18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48064">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根据调查问卷结果计算该指标完成率，指标完成率=∑样本数（“非常满意”×1.0+“比较满意”×0.80+“一般”×0.60+“不太满意”×0.30+“不满意”×0.00）/总样本数×100.00%。</w:t>
            </w:r>
          </w:p>
          <w:p w14:paraId="0CFE8819">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若90%≤完成率≤100.00%，得分=100.00%×权重；</w:t>
            </w:r>
          </w:p>
          <w:p w14:paraId="4F3F2A27">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若80%≤完成率＜90%，得分=80%×权重；</w:t>
            </w:r>
          </w:p>
          <w:p w14:paraId="21814E04">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若60%≤完成率＜80%，得分=60%×权重；</w:t>
            </w:r>
          </w:p>
          <w:p w14:paraId="7FCCE0F0">
            <w:pPr>
              <w:keepNext w:val="0"/>
              <w:keepLines w:val="0"/>
              <w:widowControl/>
              <w:suppressLineNumbers w:val="0"/>
              <w:spacing w:line="240" w:lineRule="auto"/>
              <w:ind w:left="0" w:leftChars="0" w:firstLine="0" w:firstLineChars="0"/>
              <w:jc w:val="left"/>
              <w:textAlignment w:val="center"/>
              <w:rPr>
                <w:rFonts w:ascii="Times New Roman" w:hAnsi="Times New Roman" w:eastAsia="宋体" w:cs="Times New Roman"/>
                <w:color w:val="auto"/>
                <w:sz w:val="20"/>
                <w:szCs w:val="20"/>
                <w:highlight w:val="none"/>
              </w:rPr>
            </w:pPr>
            <w:r>
              <w:rPr>
                <w:rFonts w:hint="default" w:ascii="Times New Roman" w:hAnsi="Times New Roman" w:cs="Times New Roman"/>
                <w:color w:val="auto"/>
                <w:kern w:val="0"/>
                <w:sz w:val="20"/>
                <w:szCs w:val="20"/>
                <w:highlight w:val="none"/>
                <w:lang w:bidi="ar"/>
              </w:rPr>
              <w:t>若完成率＜60%，得分=0分。</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A5AC83">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≥90.00%</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5D2EC">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91.85%</w:t>
            </w: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3F786">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13.00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518F2">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13.00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F5A6C">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100.00%</w:t>
            </w:r>
          </w:p>
        </w:tc>
      </w:tr>
      <w:tr w14:paraId="38F5F27C">
        <w:tblPrEx>
          <w:tblCellMar>
            <w:top w:w="0" w:type="dxa"/>
            <w:left w:w="23" w:type="dxa"/>
            <w:bottom w:w="0" w:type="dxa"/>
            <w:right w:w="23" w:type="dxa"/>
          </w:tblCellMar>
        </w:tblPrEx>
        <w:trPr>
          <w:trHeight w:val="261" w:hRule="atLeast"/>
        </w:trPr>
        <w:tc>
          <w:tcPr>
            <w:tcW w:w="358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0E624D4">
            <w:pPr>
              <w:keepNext w:val="0"/>
              <w:keepLines w:val="0"/>
              <w:widowControl/>
              <w:suppressLineNumbers w:val="0"/>
              <w:spacing w:line="240" w:lineRule="auto"/>
              <w:ind w:firstLine="402" w:firstLineChars="200"/>
              <w:jc w:val="center"/>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b/>
                <w:bCs/>
                <w:i w:val="0"/>
                <w:iCs w:val="0"/>
                <w:color w:val="auto"/>
                <w:kern w:val="0"/>
                <w:sz w:val="20"/>
                <w:szCs w:val="20"/>
                <w:highlight w:val="none"/>
                <w:u w:val="none"/>
                <w:lang w:val="en-US" w:eastAsia="zh-CN" w:bidi="ar"/>
              </w:rPr>
              <w:t>小计</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104A8">
            <w:pPr>
              <w:spacing w:line="240" w:lineRule="auto"/>
              <w:jc w:val="center"/>
              <w:rPr>
                <w:rFonts w:ascii="Times New Roman" w:hAnsi="Times New Roman" w:eastAsia="宋体" w:cs="Times New Roman"/>
                <w:color w:val="auto"/>
                <w:kern w:val="0"/>
                <w:sz w:val="20"/>
                <w:szCs w:val="20"/>
                <w:highlight w:val="none"/>
                <w:lang w:bidi="ar"/>
              </w:rPr>
            </w:pP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A5DDD">
            <w:pPr>
              <w:spacing w:line="240" w:lineRule="auto"/>
              <w:jc w:val="center"/>
              <w:rPr>
                <w:rFonts w:ascii="Times New Roman" w:hAnsi="Times New Roman" w:eastAsia="宋体" w:cs="Times New Roman"/>
                <w:color w:val="auto"/>
                <w:kern w:val="0"/>
                <w:sz w:val="20"/>
                <w:szCs w:val="20"/>
                <w:highlight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16019">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b/>
                <w:bCs/>
                <w:i w:val="0"/>
                <w:iCs w:val="0"/>
                <w:color w:val="auto"/>
                <w:kern w:val="0"/>
                <w:sz w:val="20"/>
                <w:szCs w:val="20"/>
                <w:highlight w:val="none"/>
                <w:u w:val="none"/>
                <w:lang w:val="en-US" w:eastAsia="zh-CN" w:bidi="ar"/>
              </w:rPr>
              <w:t>35.00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358DF9">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b/>
                <w:bCs/>
                <w:i w:val="0"/>
                <w:iCs w:val="0"/>
                <w:color w:val="auto"/>
                <w:kern w:val="0"/>
                <w:sz w:val="20"/>
                <w:szCs w:val="20"/>
                <w:highlight w:val="none"/>
                <w:u w:val="none"/>
                <w:lang w:val="en-US" w:eastAsia="zh-CN" w:bidi="ar"/>
              </w:rPr>
              <w:t>35.00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2314EE">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b/>
                <w:bCs/>
                <w:i w:val="0"/>
                <w:iCs w:val="0"/>
                <w:color w:val="auto"/>
                <w:kern w:val="0"/>
                <w:sz w:val="20"/>
                <w:szCs w:val="20"/>
                <w:highlight w:val="none"/>
                <w:u w:val="none"/>
                <w:lang w:val="en-US" w:eastAsia="zh-CN" w:bidi="ar"/>
              </w:rPr>
              <w:t>100.00%</w:t>
            </w:r>
          </w:p>
        </w:tc>
      </w:tr>
      <w:tr w14:paraId="5CF4A8B6">
        <w:tblPrEx>
          <w:tblCellMar>
            <w:top w:w="0" w:type="dxa"/>
            <w:left w:w="23" w:type="dxa"/>
            <w:bottom w:w="0" w:type="dxa"/>
            <w:right w:w="23" w:type="dxa"/>
          </w:tblCellMar>
        </w:tblPrEx>
        <w:trPr>
          <w:trHeight w:val="261" w:hRule="atLeast"/>
        </w:trPr>
        <w:tc>
          <w:tcPr>
            <w:tcW w:w="358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E8C6880">
            <w:pPr>
              <w:keepNext w:val="0"/>
              <w:keepLines w:val="0"/>
              <w:widowControl/>
              <w:suppressLineNumbers w:val="0"/>
              <w:spacing w:line="240" w:lineRule="auto"/>
              <w:ind w:firstLine="402" w:firstLineChars="200"/>
              <w:jc w:val="center"/>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b/>
                <w:bCs/>
                <w:i w:val="0"/>
                <w:iCs w:val="0"/>
                <w:color w:val="auto"/>
                <w:kern w:val="0"/>
                <w:sz w:val="20"/>
                <w:szCs w:val="20"/>
                <w:highlight w:val="none"/>
                <w:u w:val="none"/>
                <w:lang w:val="en-US" w:eastAsia="zh-CN" w:bidi="ar"/>
              </w:rPr>
              <w:t>合计</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9FBA0B">
            <w:pPr>
              <w:spacing w:line="240" w:lineRule="auto"/>
              <w:jc w:val="center"/>
              <w:rPr>
                <w:rFonts w:ascii="Times New Roman" w:hAnsi="Times New Roman" w:eastAsia="宋体" w:cs="Times New Roman"/>
                <w:color w:val="auto"/>
                <w:kern w:val="0"/>
                <w:sz w:val="20"/>
                <w:szCs w:val="20"/>
                <w:highlight w:val="none"/>
                <w:lang w:bidi="ar"/>
              </w:rPr>
            </w:pP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372B50">
            <w:pPr>
              <w:spacing w:line="240" w:lineRule="auto"/>
              <w:jc w:val="center"/>
              <w:rPr>
                <w:rFonts w:ascii="Times New Roman" w:hAnsi="Times New Roman" w:eastAsia="宋体" w:cs="Times New Roman"/>
                <w:color w:val="auto"/>
                <w:kern w:val="0"/>
                <w:sz w:val="20"/>
                <w:szCs w:val="20"/>
                <w:highlight w:val="none"/>
                <w:lang w:bidi="ar"/>
              </w:rPr>
            </w:pPr>
          </w:p>
        </w:tc>
        <w:tc>
          <w:tcPr>
            <w:tcW w:w="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D65B1">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b/>
                <w:bCs/>
                <w:i w:val="0"/>
                <w:iCs w:val="0"/>
                <w:color w:val="auto"/>
                <w:kern w:val="0"/>
                <w:sz w:val="20"/>
                <w:szCs w:val="20"/>
                <w:highlight w:val="none"/>
                <w:u w:val="none"/>
                <w:lang w:val="en-US" w:eastAsia="zh-CN" w:bidi="ar"/>
              </w:rPr>
              <w:t>100.00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ADDBCD">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eastAsia="宋体" w:cs="Times New Roman"/>
                <w:b/>
                <w:bCs/>
                <w:i w:val="0"/>
                <w:iCs w:val="0"/>
                <w:color w:val="auto"/>
                <w:kern w:val="0"/>
                <w:sz w:val="20"/>
                <w:szCs w:val="20"/>
                <w:highlight w:val="none"/>
                <w:u w:val="none"/>
                <w:lang w:val="en-US" w:eastAsia="zh-CN" w:bidi="ar"/>
              </w:rPr>
              <w:t>88.50</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0DB29">
            <w:pPr>
              <w:keepNext w:val="0"/>
              <w:keepLines w:val="0"/>
              <w:widowControl/>
              <w:suppressLineNumbers w:val="0"/>
              <w:spacing w:line="240" w:lineRule="auto"/>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eastAsia="宋体" w:cs="Times New Roman"/>
                <w:b/>
                <w:bCs/>
                <w:i w:val="0"/>
                <w:iCs w:val="0"/>
                <w:color w:val="auto"/>
                <w:kern w:val="0"/>
                <w:sz w:val="20"/>
                <w:szCs w:val="20"/>
                <w:highlight w:val="none"/>
                <w:u w:val="none"/>
                <w:lang w:val="en-US" w:eastAsia="zh-CN" w:bidi="ar"/>
              </w:rPr>
              <w:t>88.50</w:t>
            </w:r>
            <w:r>
              <w:rPr>
                <w:rFonts w:hint="default" w:ascii="Times New Roman" w:hAnsi="Times New Roman" w:eastAsia="宋体" w:cs="Times New Roman"/>
                <w:b/>
                <w:bCs/>
                <w:i w:val="0"/>
                <w:iCs w:val="0"/>
                <w:color w:val="auto"/>
                <w:kern w:val="0"/>
                <w:sz w:val="20"/>
                <w:szCs w:val="20"/>
                <w:highlight w:val="none"/>
                <w:u w:val="none"/>
                <w:lang w:val="en-US" w:eastAsia="zh-CN" w:bidi="ar"/>
              </w:rPr>
              <w:t>%</w:t>
            </w:r>
          </w:p>
        </w:tc>
      </w:tr>
    </w:tbl>
    <w:p w14:paraId="37E6025D">
      <w:pPr>
        <w:rPr>
          <w:rFonts w:ascii="Times New Roman" w:hAnsi="Times New Roman" w:eastAsia="宋体" w:cs="Times New Roman"/>
          <w:color w:val="auto"/>
          <w:highlight w:val="none"/>
        </w:rPr>
        <w:sectPr>
          <w:footerReference r:id="rId15" w:type="default"/>
          <w:pgSz w:w="16838" w:h="11906" w:orient="landscape"/>
          <w:pgMar w:top="1800" w:right="1440" w:bottom="1800" w:left="1440" w:header="851" w:footer="907" w:gutter="0"/>
          <w:cols w:space="425" w:num="1"/>
          <w:docGrid w:type="lines" w:linePitch="312" w:charSpace="0"/>
        </w:sectPr>
      </w:pPr>
    </w:p>
    <w:p w14:paraId="570BCA78">
      <w:pPr>
        <w:pStyle w:val="4"/>
        <w:pageBreakBefore w:val="0"/>
        <w:kinsoku/>
        <w:wordWrap/>
        <w:overflowPunct/>
        <w:topLinePunct w:val="0"/>
        <w:autoSpaceDE/>
        <w:autoSpaceDN/>
        <w:bidi w:val="0"/>
        <w:snapToGrid w:val="0"/>
        <w:spacing w:before="0" w:after="0" w:line="360" w:lineRule="auto"/>
        <w:ind w:firstLine="0" w:firstLineChars="0"/>
        <w:rPr>
          <w:rFonts w:ascii="Times New Roman" w:hAnsi="Times New Roman" w:eastAsia="宋体" w:cs="Times New Roman"/>
          <w:color w:val="auto"/>
          <w:szCs w:val="24"/>
          <w:highlight w:val="none"/>
        </w:rPr>
      </w:pPr>
      <w:bookmarkStart w:id="121" w:name="_Toc19977"/>
      <w:r>
        <w:rPr>
          <w:rFonts w:ascii="Times New Roman" w:hAnsi="Times New Roman" w:eastAsia="宋体" w:cs="Times New Roman"/>
          <w:color w:val="auto"/>
          <w:szCs w:val="24"/>
          <w:highlight w:val="none"/>
        </w:rPr>
        <w:t>附件2：基础表</w:t>
      </w:r>
      <w:bookmarkEnd w:id="121"/>
    </w:p>
    <w:p w14:paraId="6FE31690">
      <w:pPr>
        <w:spacing w:line="240" w:lineRule="auto"/>
        <w:ind w:firstLine="0" w:firstLineChars="0"/>
        <w:jc w:val="center"/>
        <w:rPr>
          <w:rFonts w:hint="default" w:ascii="Times New Roman" w:hAnsi="Times New Roman" w:eastAsia="宋体" w:cs="Times New Roman"/>
          <w:b/>
          <w:bCs w:val="0"/>
          <w:color w:val="auto"/>
          <w:sz w:val="24"/>
          <w:szCs w:val="24"/>
          <w:highlight w:val="none"/>
          <w:lang w:val="en-US" w:eastAsia="zh-CN"/>
        </w:rPr>
      </w:pPr>
      <w:r>
        <w:rPr>
          <w:rFonts w:hint="default" w:ascii="Times New Roman" w:hAnsi="Times New Roman" w:eastAsia="宋体" w:cs="Times New Roman"/>
          <w:b/>
          <w:bCs w:val="0"/>
          <w:color w:val="auto"/>
          <w:sz w:val="24"/>
          <w:szCs w:val="24"/>
          <w:highlight w:val="none"/>
          <w:lang w:val="en-US" w:eastAsia="zh-CN"/>
        </w:rPr>
        <w:t>表1-1：伊宁县成品油税费农村公路日常养护项目完成情况统计表</w:t>
      </w:r>
    </w:p>
    <w:p w14:paraId="0B141224">
      <w:pPr>
        <w:widowControl/>
        <w:snapToGrid/>
        <w:spacing w:line="240" w:lineRule="auto"/>
        <w:ind w:firstLine="0" w:firstLineChars="0"/>
        <w:jc w:val="right"/>
        <w:textAlignment w:val="center"/>
        <w:rPr>
          <w:rFonts w:ascii="Times New Roman" w:hAnsi="Times New Roman" w:eastAsia="宋体" w:cs="Times New Roman"/>
          <w:b/>
          <w:bCs/>
          <w:color w:val="auto"/>
          <w:kern w:val="0"/>
          <w:highlight w:val="none"/>
          <w:lang w:bidi="ar"/>
        </w:rPr>
      </w:pPr>
      <w:r>
        <w:rPr>
          <w:rFonts w:ascii="Times New Roman" w:hAnsi="Times New Roman" w:eastAsia="宋体" w:cs="Times New Roman"/>
          <w:b/>
          <w:bCs/>
          <w:color w:val="auto"/>
          <w:kern w:val="0"/>
          <w:highlight w:val="none"/>
          <w:lang w:bidi="ar"/>
        </w:rPr>
        <w:t>单位：万元</w:t>
      </w:r>
    </w:p>
    <w:tbl>
      <w:tblPr>
        <w:tblStyle w:val="1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56"/>
        <w:gridCol w:w="2190"/>
        <w:gridCol w:w="2599"/>
        <w:gridCol w:w="3387"/>
        <w:gridCol w:w="1263"/>
        <w:gridCol w:w="1300"/>
        <w:gridCol w:w="787"/>
        <w:gridCol w:w="825"/>
        <w:gridCol w:w="867"/>
      </w:tblGrid>
      <w:tr w14:paraId="358B8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6E5D8">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合同类型</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15B0F">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sz w:val="20"/>
                <w:szCs w:val="20"/>
                <w:highlight w:val="none"/>
                <w:u w:val="none"/>
                <w:lang w:val="en-US"/>
              </w:rPr>
            </w:pPr>
            <w:r>
              <w:rPr>
                <w:rFonts w:hint="eastAsia" w:ascii="Times New Roman" w:hAnsi="Times New Roman" w:eastAsia="宋体" w:cs="Times New Roman"/>
                <w:b/>
                <w:bCs/>
                <w:i w:val="0"/>
                <w:iCs w:val="0"/>
                <w:color w:val="auto"/>
                <w:kern w:val="0"/>
                <w:sz w:val="20"/>
                <w:szCs w:val="20"/>
                <w:highlight w:val="none"/>
                <w:u w:val="none"/>
                <w:lang w:val="en-US" w:eastAsia="zh-CN" w:bidi="ar"/>
              </w:rPr>
              <w:t>单位名称</w:t>
            </w:r>
          </w:p>
        </w:tc>
        <w:tc>
          <w:tcPr>
            <w:tcW w:w="9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92F25">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sz w:val="20"/>
                <w:szCs w:val="20"/>
                <w:highlight w:val="none"/>
                <w:u w:val="none"/>
                <w:lang w:val="en-US" w:eastAsia="zh-CN"/>
              </w:rPr>
            </w:pPr>
            <w:r>
              <w:rPr>
                <w:rFonts w:hint="default" w:ascii="Times New Roman" w:hAnsi="Times New Roman" w:eastAsia="宋体" w:cs="Times New Roman"/>
                <w:b/>
                <w:bCs/>
                <w:i w:val="0"/>
                <w:iCs w:val="0"/>
                <w:color w:val="auto"/>
                <w:sz w:val="20"/>
                <w:szCs w:val="20"/>
                <w:highlight w:val="none"/>
                <w:u w:val="none"/>
                <w:lang w:val="en-US" w:eastAsia="zh-CN"/>
              </w:rPr>
              <w:t>计划完成</w:t>
            </w:r>
          </w:p>
        </w:tc>
        <w:tc>
          <w:tcPr>
            <w:tcW w:w="1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601CD">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sz w:val="20"/>
                <w:szCs w:val="20"/>
                <w:highlight w:val="none"/>
                <w:u w:val="none"/>
                <w:lang w:val="en-US"/>
              </w:rPr>
            </w:pPr>
            <w:r>
              <w:rPr>
                <w:rFonts w:hint="default" w:ascii="Times New Roman" w:hAnsi="Times New Roman" w:eastAsia="宋体" w:cs="Times New Roman"/>
                <w:b/>
                <w:bCs/>
                <w:i w:val="0"/>
                <w:iCs w:val="0"/>
                <w:color w:val="auto"/>
                <w:kern w:val="0"/>
                <w:sz w:val="20"/>
                <w:szCs w:val="20"/>
                <w:highlight w:val="none"/>
                <w:u w:val="none"/>
                <w:lang w:val="en-US" w:eastAsia="zh-CN" w:bidi="ar"/>
              </w:rPr>
              <w:t>实际完成</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F2287">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项目计划实施时间</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C4E47">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项目实际完成时间</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6D9E0">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合同金额</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A1557">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sz w:val="20"/>
                <w:szCs w:val="20"/>
                <w:highlight w:val="none"/>
                <w:u w:val="none"/>
              </w:rPr>
            </w:pPr>
            <w:r>
              <w:rPr>
                <w:rFonts w:hint="eastAsia" w:ascii="Times New Roman" w:hAnsi="Times New Roman" w:eastAsia="宋体" w:cs="Times New Roman"/>
                <w:b/>
                <w:bCs/>
                <w:i w:val="0"/>
                <w:iCs w:val="0"/>
                <w:color w:val="auto"/>
                <w:kern w:val="0"/>
                <w:sz w:val="20"/>
                <w:szCs w:val="20"/>
                <w:highlight w:val="none"/>
                <w:u w:val="none"/>
                <w:lang w:val="en-US" w:eastAsia="zh-CN" w:bidi="ar"/>
              </w:rPr>
              <w:t>结算</w:t>
            </w:r>
            <w:r>
              <w:rPr>
                <w:rFonts w:hint="default" w:ascii="Times New Roman" w:hAnsi="Times New Roman" w:eastAsia="宋体" w:cs="Times New Roman"/>
                <w:b/>
                <w:bCs/>
                <w:i w:val="0"/>
                <w:iCs w:val="0"/>
                <w:color w:val="auto"/>
                <w:kern w:val="0"/>
                <w:sz w:val="20"/>
                <w:szCs w:val="20"/>
                <w:highlight w:val="none"/>
                <w:u w:val="none"/>
                <w:lang w:val="en-US" w:eastAsia="zh-CN" w:bidi="ar"/>
              </w:rPr>
              <w:t>审定价</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65B66">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kern w:val="0"/>
                <w:sz w:val="20"/>
                <w:szCs w:val="20"/>
                <w:highlight w:val="none"/>
                <w:u w:val="none"/>
                <w:lang w:val="en-US" w:eastAsia="zh-CN" w:bidi="ar"/>
              </w:rPr>
            </w:pPr>
            <w:r>
              <w:rPr>
                <w:rFonts w:hint="default" w:ascii="Times New Roman" w:hAnsi="Times New Roman" w:eastAsia="宋体" w:cs="Times New Roman"/>
                <w:b/>
                <w:bCs/>
                <w:i w:val="0"/>
                <w:iCs w:val="0"/>
                <w:color w:val="auto"/>
                <w:kern w:val="0"/>
                <w:sz w:val="20"/>
                <w:szCs w:val="20"/>
                <w:highlight w:val="none"/>
                <w:u w:val="none"/>
                <w:lang w:val="en-US" w:eastAsia="zh-CN" w:bidi="ar"/>
              </w:rPr>
              <w:t>实际支出金额</w:t>
            </w:r>
          </w:p>
        </w:tc>
      </w:tr>
      <w:tr w14:paraId="2D4E2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9" w:hRule="atLeast"/>
        </w:trPr>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89EC7">
            <w:pPr>
              <w:keepNext w:val="0"/>
              <w:keepLines w:val="0"/>
              <w:pageBreakBefore w:val="0"/>
              <w:widowControl/>
              <w:kinsoku/>
              <w:wordWrap/>
              <w:overflowPunct/>
              <w:topLinePunct w:val="0"/>
              <w:autoSpaceDE/>
              <w:autoSpaceDN/>
              <w:bidi w:val="0"/>
              <w:adjustRightInd w:val="0"/>
              <w:snapToGrid w:val="0"/>
              <w:spacing w:before="0" w:after="0" w:line="36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val="en-US" w:eastAsia="zh-CN" w:bidi="ar"/>
              </w:rPr>
              <w:t>施工合同</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2BE93">
            <w:pPr>
              <w:keepNext w:val="0"/>
              <w:keepLines w:val="0"/>
              <w:pageBreakBefore w:val="0"/>
              <w:widowControl/>
              <w:kinsoku/>
              <w:wordWrap/>
              <w:overflowPunct/>
              <w:topLinePunct w:val="0"/>
              <w:autoSpaceDE/>
              <w:autoSpaceDN/>
              <w:bidi w:val="0"/>
              <w:adjustRightInd w:val="0"/>
              <w:snapToGrid w:val="0"/>
              <w:spacing w:before="0" w:after="0" w:line="360" w:lineRule="auto"/>
              <w:ind w:firstLine="0" w:firstLineChars="0"/>
              <w:jc w:val="left"/>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新疆路路通建设工程有限责任公司</w:t>
            </w:r>
          </w:p>
        </w:tc>
        <w:tc>
          <w:tcPr>
            <w:tcW w:w="9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B05FD">
            <w:pPr>
              <w:keepNext w:val="0"/>
              <w:keepLines w:val="0"/>
              <w:pageBreakBefore w:val="0"/>
              <w:widowControl/>
              <w:kinsoku/>
              <w:wordWrap/>
              <w:overflowPunct/>
              <w:topLinePunct w:val="0"/>
              <w:autoSpaceDE/>
              <w:autoSpaceDN/>
              <w:bidi w:val="0"/>
              <w:adjustRightInd/>
              <w:snapToGrid/>
              <w:spacing w:before="0" w:after="0" w:line="360" w:lineRule="auto"/>
              <w:ind w:firstLine="0" w:firstLineChars="0"/>
              <w:jc w:val="left"/>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对伊宁县27条县乡道路合计</w:t>
            </w:r>
            <w:r>
              <w:rPr>
                <w:rFonts w:hint="eastAsia" w:eastAsia="宋体" w:cs="Times New Roman"/>
                <w:color w:val="auto"/>
                <w:kern w:val="0"/>
                <w:sz w:val="20"/>
                <w:szCs w:val="20"/>
                <w:highlight w:val="none"/>
                <w:lang w:val="en-US" w:eastAsia="zh-CN" w:bidi="ar"/>
              </w:rPr>
              <w:t>214.2</w:t>
            </w:r>
            <w:r>
              <w:rPr>
                <w:rFonts w:hint="eastAsia" w:ascii="Times New Roman" w:hAnsi="Times New Roman" w:eastAsia="宋体" w:cs="Times New Roman"/>
                <w:color w:val="auto"/>
                <w:kern w:val="0"/>
                <w:sz w:val="20"/>
                <w:szCs w:val="20"/>
                <w:highlight w:val="none"/>
                <w:lang w:val="en-US" w:eastAsia="zh-CN" w:bidi="ar"/>
              </w:rPr>
              <w:t>公里进行路基路面日常养护。</w:t>
            </w:r>
          </w:p>
        </w:tc>
        <w:tc>
          <w:tcPr>
            <w:tcW w:w="11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069598">
            <w:pPr>
              <w:keepNext w:val="0"/>
              <w:keepLines w:val="0"/>
              <w:pageBreakBefore w:val="0"/>
              <w:widowControl/>
              <w:kinsoku/>
              <w:wordWrap/>
              <w:overflowPunct/>
              <w:topLinePunct w:val="0"/>
              <w:autoSpaceDE/>
              <w:autoSpaceDN/>
              <w:bidi w:val="0"/>
              <w:adjustRightInd w:val="0"/>
              <w:snapToGrid w:val="0"/>
              <w:spacing w:before="0" w:after="0" w:line="36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val="en-US" w:eastAsia="zh-CN" w:bidi="ar"/>
              </w:rPr>
              <w:t>该项目实际完成</w:t>
            </w:r>
            <w:r>
              <w:rPr>
                <w:rFonts w:hint="eastAsia" w:ascii="Times New Roman" w:hAnsi="Times New Roman" w:eastAsia="宋体" w:cs="Times New Roman"/>
                <w:color w:val="auto"/>
                <w:kern w:val="0"/>
                <w:sz w:val="20"/>
                <w:szCs w:val="20"/>
                <w:highlight w:val="none"/>
                <w:lang w:val="en-US" w:eastAsia="zh-CN" w:bidi="ar"/>
              </w:rPr>
              <w:t>对伊宁县27条县乡道路合计</w:t>
            </w:r>
            <w:r>
              <w:rPr>
                <w:rFonts w:hint="eastAsia" w:eastAsia="宋体" w:cs="Times New Roman"/>
                <w:color w:val="auto"/>
                <w:kern w:val="0"/>
                <w:sz w:val="20"/>
                <w:szCs w:val="20"/>
                <w:highlight w:val="none"/>
                <w:lang w:val="en-US" w:eastAsia="zh-CN" w:bidi="ar"/>
              </w:rPr>
              <w:t>214.2</w:t>
            </w:r>
            <w:r>
              <w:rPr>
                <w:rFonts w:hint="eastAsia" w:ascii="Times New Roman" w:hAnsi="Times New Roman" w:eastAsia="宋体" w:cs="Times New Roman"/>
                <w:color w:val="auto"/>
                <w:kern w:val="0"/>
                <w:sz w:val="20"/>
                <w:szCs w:val="20"/>
                <w:highlight w:val="none"/>
                <w:lang w:val="en-US" w:eastAsia="zh-CN" w:bidi="ar"/>
              </w:rPr>
              <w:t>公里进行路基路面日常养护。</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463346">
            <w:pPr>
              <w:keepNext w:val="0"/>
              <w:keepLines w:val="0"/>
              <w:pageBreakBefore w:val="0"/>
              <w:widowControl/>
              <w:kinsoku/>
              <w:wordWrap/>
              <w:overflowPunct/>
              <w:topLinePunct w:val="0"/>
              <w:autoSpaceDE/>
              <w:autoSpaceDN/>
              <w:bidi w:val="0"/>
              <w:adjustRightInd w:val="0"/>
              <w:snapToGrid w:val="0"/>
              <w:spacing w:before="0" w:after="0" w:line="360" w:lineRule="auto"/>
              <w:ind w:firstLine="0" w:firstLineChars="0"/>
              <w:jc w:val="left"/>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2024年</w:t>
            </w:r>
            <w:r>
              <w:rPr>
                <w:rFonts w:hint="eastAsia" w:ascii="Times New Roman" w:hAnsi="Times New Roman" w:eastAsia="宋体" w:cs="Times New Roman"/>
                <w:color w:val="auto"/>
                <w:kern w:val="0"/>
                <w:sz w:val="20"/>
                <w:szCs w:val="20"/>
                <w:highlight w:val="none"/>
                <w:lang w:val="en-US" w:eastAsia="zh-CN" w:bidi="ar"/>
              </w:rPr>
              <w:t>6</w:t>
            </w:r>
            <w:r>
              <w:rPr>
                <w:rFonts w:hint="default" w:ascii="Times New Roman" w:hAnsi="Times New Roman" w:eastAsia="宋体" w:cs="Times New Roman"/>
                <w:color w:val="auto"/>
                <w:kern w:val="0"/>
                <w:sz w:val="20"/>
                <w:szCs w:val="20"/>
                <w:highlight w:val="none"/>
                <w:lang w:val="en-US" w:eastAsia="zh-CN" w:bidi="ar"/>
              </w:rPr>
              <w:t>月</w:t>
            </w:r>
            <w:r>
              <w:rPr>
                <w:rFonts w:hint="eastAsia" w:ascii="Times New Roman" w:hAnsi="Times New Roman" w:eastAsia="宋体" w:cs="Times New Roman"/>
                <w:color w:val="auto"/>
                <w:kern w:val="0"/>
                <w:sz w:val="20"/>
                <w:szCs w:val="20"/>
                <w:highlight w:val="none"/>
                <w:lang w:val="en-US" w:eastAsia="zh-CN" w:bidi="ar"/>
              </w:rPr>
              <w:t>25</w:t>
            </w:r>
            <w:r>
              <w:rPr>
                <w:rFonts w:hint="default" w:ascii="Times New Roman" w:hAnsi="Times New Roman" w:eastAsia="宋体" w:cs="Times New Roman"/>
                <w:color w:val="auto"/>
                <w:kern w:val="0"/>
                <w:sz w:val="20"/>
                <w:szCs w:val="20"/>
                <w:highlight w:val="none"/>
                <w:lang w:val="en-US" w:eastAsia="zh-CN" w:bidi="ar"/>
              </w:rPr>
              <w:t>日—2024年</w:t>
            </w:r>
            <w:r>
              <w:rPr>
                <w:rFonts w:hint="eastAsia" w:ascii="Times New Roman" w:hAnsi="Times New Roman" w:eastAsia="宋体" w:cs="Times New Roman"/>
                <w:color w:val="auto"/>
                <w:kern w:val="0"/>
                <w:sz w:val="20"/>
                <w:szCs w:val="20"/>
                <w:highlight w:val="none"/>
                <w:lang w:val="en-US" w:eastAsia="zh-CN" w:bidi="ar"/>
              </w:rPr>
              <w:t>7</w:t>
            </w:r>
            <w:r>
              <w:rPr>
                <w:rFonts w:hint="default" w:ascii="Times New Roman" w:hAnsi="Times New Roman" w:eastAsia="宋体" w:cs="Times New Roman"/>
                <w:color w:val="auto"/>
                <w:kern w:val="0"/>
                <w:sz w:val="20"/>
                <w:szCs w:val="20"/>
                <w:highlight w:val="none"/>
                <w:lang w:val="en-US" w:eastAsia="zh-CN" w:bidi="ar"/>
              </w:rPr>
              <w:t>月</w:t>
            </w:r>
            <w:r>
              <w:rPr>
                <w:rFonts w:hint="eastAsia" w:ascii="Times New Roman" w:hAnsi="Times New Roman" w:eastAsia="宋体" w:cs="Times New Roman"/>
                <w:color w:val="auto"/>
                <w:kern w:val="0"/>
                <w:sz w:val="20"/>
                <w:szCs w:val="20"/>
                <w:highlight w:val="none"/>
                <w:lang w:val="en-US" w:eastAsia="zh-CN" w:bidi="ar"/>
              </w:rPr>
              <w:t>24</w:t>
            </w:r>
            <w:r>
              <w:rPr>
                <w:rFonts w:hint="default" w:ascii="Times New Roman" w:hAnsi="Times New Roman" w:eastAsia="宋体" w:cs="Times New Roman"/>
                <w:color w:val="auto"/>
                <w:kern w:val="0"/>
                <w:sz w:val="20"/>
                <w:szCs w:val="20"/>
                <w:highlight w:val="none"/>
                <w:lang w:val="en-US" w:eastAsia="zh-CN" w:bidi="ar"/>
              </w:rPr>
              <w:t>日</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14053">
            <w:pPr>
              <w:keepNext w:val="0"/>
              <w:keepLines w:val="0"/>
              <w:pageBreakBefore w:val="0"/>
              <w:widowControl/>
              <w:kinsoku/>
              <w:wordWrap/>
              <w:overflowPunct/>
              <w:topLinePunct w:val="0"/>
              <w:autoSpaceDE/>
              <w:autoSpaceDN/>
              <w:bidi w:val="0"/>
              <w:adjustRightInd w:val="0"/>
              <w:snapToGrid w:val="0"/>
              <w:spacing w:before="0" w:after="0" w:line="360" w:lineRule="auto"/>
              <w:ind w:firstLine="0" w:firstLineChars="0"/>
              <w:jc w:val="left"/>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2024年</w:t>
            </w:r>
            <w:r>
              <w:rPr>
                <w:rFonts w:hint="eastAsia" w:ascii="Times New Roman" w:hAnsi="Times New Roman" w:eastAsia="宋体" w:cs="Times New Roman"/>
                <w:color w:val="auto"/>
                <w:kern w:val="0"/>
                <w:sz w:val="20"/>
                <w:szCs w:val="20"/>
                <w:highlight w:val="none"/>
                <w:lang w:val="en-US" w:eastAsia="zh-CN" w:bidi="ar"/>
              </w:rPr>
              <w:t>6</w:t>
            </w:r>
            <w:r>
              <w:rPr>
                <w:rFonts w:hint="default" w:ascii="Times New Roman" w:hAnsi="Times New Roman" w:eastAsia="宋体" w:cs="Times New Roman"/>
                <w:color w:val="auto"/>
                <w:kern w:val="0"/>
                <w:sz w:val="20"/>
                <w:szCs w:val="20"/>
                <w:highlight w:val="none"/>
                <w:lang w:val="en-US" w:eastAsia="zh-CN" w:bidi="ar"/>
              </w:rPr>
              <w:t>月</w:t>
            </w:r>
            <w:r>
              <w:rPr>
                <w:rFonts w:hint="eastAsia" w:ascii="Times New Roman" w:hAnsi="Times New Roman" w:eastAsia="宋体" w:cs="Times New Roman"/>
                <w:color w:val="auto"/>
                <w:kern w:val="0"/>
                <w:sz w:val="20"/>
                <w:szCs w:val="20"/>
                <w:highlight w:val="none"/>
                <w:lang w:val="en-US" w:eastAsia="zh-CN" w:bidi="ar"/>
              </w:rPr>
              <w:t>25</w:t>
            </w:r>
            <w:r>
              <w:rPr>
                <w:rFonts w:hint="default" w:ascii="Times New Roman" w:hAnsi="Times New Roman" w:eastAsia="宋体" w:cs="Times New Roman"/>
                <w:color w:val="auto"/>
                <w:kern w:val="0"/>
                <w:sz w:val="20"/>
                <w:szCs w:val="20"/>
                <w:highlight w:val="none"/>
                <w:lang w:val="en-US" w:eastAsia="zh-CN" w:bidi="ar"/>
              </w:rPr>
              <w:t>日—2024年</w:t>
            </w:r>
            <w:r>
              <w:rPr>
                <w:rFonts w:hint="eastAsia" w:ascii="Times New Roman" w:hAnsi="Times New Roman" w:eastAsia="宋体" w:cs="Times New Roman"/>
                <w:color w:val="auto"/>
                <w:kern w:val="0"/>
                <w:sz w:val="20"/>
                <w:szCs w:val="20"/>
                <w:highlight w:val="none"/>
                <w:lang w:val="en-US" w:eastAsia="zh-CN" w:bidi="ar"/>
              </w:rPr>
              <w:t>7</w:t>
            </w:r>
            <w:r>
              <w:rPr>
                <w:rFonts w:hint="default" w:ascii="Times New Roman" w:hAnsi="Times New Roman" w:eastAsia="宋体" w:cs="Times New Roman"/>
                <w:color w:val="auto"/>
                <w:kern w:val="0"/>
                <w:sz w:val="20"/>
                <w:szCs w:val="20"/>
                <w:highlight w:val="none"/>
                <w:lang w:val="en-US" w:eastAsia="zh-CN" w:bidi="ar"/>
              </w:rPr>
              <w:t>月</w:t>
            </w:r>
            <w:r>
              <w:rPr>
                <w:rFonts w:hint="eastAsia" w:ascii="Times New Roman" w:hAnsi="Times New Roman" w:eastAsia="宋体" w:cs="Times New Roman"/>
                <w:color w:val="auto"/>
                <w:kern w:val="0"/>
                <w:sz w:val="20"/>
                <w:szCs w:val="20"/>
                <w:highlight w:val="none"/>
                <w:lang w:val="en-US" w:eastAsia="zh-CN" w:bidi="ar"/>
              </w:rPr>
              <w:t>24</w:t>
            </w:r>
            <w:r>
              <w:rPr>
                <w:rFonts w:hint="default" w:ascii="Times New Roman" w:hAnsi="Times New Roman" w:eastAsia="宋体" w:cs="Times New Roman"/>
                <w:color w:val="auto"/>
                <w:kern w:val="0"/>
                <w:sz w:val="20"/>
                <w:szCs w:val="20"/>
                <w:highlight w:val="none"/>
                <w:lang w:val="en-US" w:eastAsia="zh-CN" w:bidi="ar"/>
              </w:rPr>
              <w:t>日</w:t>
            </w:r>
          </w:p>
        </w:tc>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DA59B">
            <w:pPr>
              <w:pageBreakBefore w:val="0"/>
              <w:widowControl/>
              <w:kinsoku/>
              <w:wordWrap/>
              <w:overflowPunct/>
              <w:topLinePunct w:val="0"/>
              <w:autoSpaceDE/>
              <w:autoSpaceDN/>
              <w:bidi w:val="0"/>
              <w:adjustRightInd w:val="0"/>
              <w:snapToGrid w:val="0"/>
              <w:spacing w:before="0" w:after="0" w:line="240" w:lineRule="auto"/>
              <w:ind w:firstLine="0" w:firstLineChars="0"/>
              <w:jc w:val="right"/>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224.03</w:t>
            </w:r>
          </w:p>
        </w:tc>
        <w:tc>
          <w:tcPr>
            <w:tcW w:w="2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BE829">
            <w:pPr>
              <w:pageBreakBefore w:val="0"/>
              <w:widowControl/>
              <w:kinsoku/>
              <w:wordWrap/>
              <w:overflowPunct/>
              <w:topLinePunct w:val="0"/>
              <w:autoSpaceDE/>
              <w:autoSpaceDN/>
              <w:bidi w:val="0"/>
              <w:adjustRightInd w:val="0"/>
              <w:snapToGrid w:val="0"/>
              <w:spacing w:before="0" w:after="0" w:line="240" w:lineRule="auto"/>
              <w:ind w:firstLine="0" w:firstLineChars="0"/>
              <w:jc w:val="right"/>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222.05</w:t>
            </w:r>
            <w:r>
              <w:rPr>
                <w:rFonts w:hint="default" w:ascii="Times New Roman" w:hAnsi="Times New Roman" w:eastAsia="宋体" w:cs="Times New Roman"/>
                <w:color w:val="auto"/>
                <w:kern w:val="0"/>
                <w:sz w:val="20"/>
                <w:szCs w:val="20"/>
                <w:highlight w:val="none"/>
                <w:lang w:val="en-US" w:eastAsia="zh-CN" w:bidi="ar"/>
              </w:rPr>
              <w:t xml:space="preserve"> </w:t>
            </w: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32788">
            <w:pPr>
              <w:pageBreakBefore w:val="0"/>
              <w:widowControl/>
              <w:kinsoku/>
              <w:wordWrap/>
              <w:overflowPunct/>
              <w:topLinePunct w:val="0"/>
              <w:autoSpaceDE/>
              <w:autoSpaceDN/>
              <w:bidi w:val="0"/>
              <w:adjustRightInd w:val="0"/>
              <w:snapToGrid w:val="0"/>
              <w:spacing w:before="0" w:after="0" w:line="240" w:lineRule="auto"/>
              <w:ind w:firstLine="0" w:firstLineChars="0"/>
              <w:jc w:val="right"/>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222.00</w:t>
            </w:r>
            <w:r>
              <w:rPr>
                <w:rFonts w:hint="default" w:ascii="Times New Roman" w:hAnsi="Times New Roman" w:eastAsia="宋体" w:cs="Times New Roman"/>
                <w:color w:val="auto"/>
                <w:kern w:val="0"/>
                <w:sz w:val="20"/>
                <w:szCs w:val="20"/>
                <w:highlight w:val="none"/>
                <w:lang w:val="en-US" w:eastAsia="zh-CN" w:bidi="ar"/>
              </w:rPr>
              <w:t xml:space="preserve"> </w:t>
            </w:r>
          </w:p>
        </w:tc>
      </w:tr>
      <w:tr w14:paraId="2FCCD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20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0FE8F">
            <w:pPr>
              <w:keepNext w:val="0"/>
              <w:keepLines w:val="0"/>
              <w:widowControl/>
              <w:suppressLineNumbers w:val="0"/>
              <w:spacing w:line="240" w:lineRule="auto"/>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合计</w:t>
            </w:r>
          </w:p>
        </w:tc>
        <w:tc>
          <w:tcPr>
            <w:tcW w:w="11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2C840">
            <w:pPr>
              <w:spacing w:line="240" w:lineRule="auto"/>
              <w:rPr>
                <w:rFonts w:hint="default" w:ascii="Times New Roman" w:hAnsi="Times New Roman" w:eastAsia="宋体" w:cs="Times New Roman"/>
                <w:b/>
                <w:bCs/>
                <w:i w:val="0"/>
                <w:iCs w:val="0"/>
                <w:color w:val="auto"/>
                <w:sz w:val="22"/>
                <w:szCs w:val="22"/>
                <w:highlight w:val="none"/>
                <w:u w:val="none"/>
              </w:rPr>
            </w:pPr>
          </w:p>
        </w:tc>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750F8">
            <w:pPr>
              <w:spacing w:line="240" w:lineRule="auto"/>
              <w:rPr>
                <w:rFonts w:hint="default" w:ascii="Times New Roman" w:hAnsi="Times New Roman" w:eastAsia="宋体" w:cs="Times New Roman"/>
                <w:b/>
                <w:bCs/>
                <w:i w:val="0"/>
                <w:iCs w:val="0"/>
                <w:color w:val="auto"/>
                <w:sz w:val="22"/>
                <w:szCs w:val="22"/>
                <w:highlight w:val="none"/>
                <w:u w:val="none"/>
                <w:lang w:eastAsia="zh-CN"/>
              </w:rPr>
            </w:pP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6A520">
            <w:pPr>
              <w:spacing w:line="240" w:lineRule="auto"/>
              <w:rPr>
                <w:rFonts w:hint="default" w:ascii="Times New Roman" w:hAnsi="Times New Roman" w:eastAsia="宋体" w:cs="Times New Roman"/>
                <w:b/>
                <w:bCs/>
                <w:i w:val="0"/>
                <w:iCs w:val="0"/>
                <w:color w:val="auto"/>
                <w:sz w:val="22"/>
                <w:szCs w:val="22"/>
                <w:highlight w:val="none"/>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6635D">
            <w:pPr>
              <w:pageBreakBefore w:val="0"/>
              <w:widowControl/>
              <w:kinsoku/>
              <w:wordWrap/>
              <w:overflowPunct/>
              <w:topLinePunct w:val="0"/>
              <w:autoSpaceDE/>
              <w:autoSpaceDN/>
              <w:bidi w:val="0"/>
              <w:adjustRightInd w:val="0"/>
              <w:snapToGrid w:val="0"/>
              <w:spacing w:before="0" w:after="0" w:line="240" w:lineRule="auto"/>
              <w:ind w:firstLine="0" w:firstLineChars="0"/>
              <w:jc w:val="right"/>
              <w:textAlignment w:val="center"/>
              <w:rPr>
                <w:rFonts w:hint="default" w:ascii="Times New Roman" w:hAnsi="Times New Roman" w:eastAsia="宋体" w:cs="Times New Roman"/>
                <w:b/>
                <w:bCs/>
                <w:i w:val="0"/>
                <w:iCs w:val="0"/>
                <w:color w:val="auto"/>
                <w:sz w:val="20"/>
                <w:szCs w:val="20"/>
                <w:highlight w:val="none"/>
                <w:u w:val="none"/>
              </w:rPr>
            </w:pPr>
            <w:r>
              <w:rPr>
                <w:rFonts w:hint="eastAsia" w:ascii="Times New Roman" w:hAnsi="Times New Roman" w:eastAsia="宋体" w:cs="Times New Roman"/>
                <w:color w:val="auto"/>
                <w:kern w:val="0"/>
                <w:sz w:val="20"/>
                <w:szCs w:val="20"/>
                <w:highlight w:val="none"/>
                <w:lang w:val="en-US" w:eastAsia="zh-CN" w:bidi="ar"/>
              </w:rPr>
              <w:t>224.03</w:t>
            </w:r>
          </w:p>
        </w:tc>
        <w:tc>
          <w:tcPr>
            <w:tcW w:w="2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8D2F4">
            <w:pPr>
              <w:pageBreakBefore w:val="0"/>
              <w:widowControl/>
              <w:kinsoku/>
              <w:wordWrap/>
              <w:overflowPunct/>
              <w:topLinePunct w:val="0"/>
              <w:autoSpaceDE/>
              <w:autoSpaceDN/>
              <w:bidi w:val="0"/>
              <w:adjustRightInd w:val="0"/>
              <w:snapToGrid w:val="0"/>
              <w:spacing w:before="0" w:after="0" w:line="240" w:lineRule="auto"/>
              <w:ind w:firstLine="0" w:firstLineChars="0"/>
              <w:jc w:val="right"/>
              <w:textAlignment w:val="center"/>
              <w:rPr>
                <w:rFonts w:hint="default" w:ascii="Times New Roman" w:hAnsi="Times New Roman" w:eastAsia="宋体" w:cs="Times New Roman"/>
                <w:b/>
                <w:bCs/>
                <w:i w:val="0"/>
                <w:iCs w:val="0"/>
                <w:color w:val="auto"/>
                <w:sz w:val="20"/>
                <w:szCs w:val="20"/>
                <w:highlight w:val="none"/>
                <w:u w:val="none"/>
              </w:rPr>
            </w:pPr>
            <w:r>
              <w:rPr>
                <w:rFonts w:hint="eastAsia" w:ascii="Times New Roman" w:hAnsi="Times New Roman" w:eastAsia="宋体" w:cs="Times New Roman"/>
                <w:color w:val="auto"/>
                <w:kern w:val="0"/>
                <w:sz w:val="20"/>
                <w:szCs w:val="20"/>
                <w:highlight w:val="none"/>
                <w:lang w:val="en-US" w:eastAsia="zh-CN" w:bidi="ar"/>
              </w:rPr>
              <w:t>222.05</w:t>
            </w:r>
            <w:r>
              <w:rPr>
                <w:rFonts w:hint="default" w:ascii="Times New Roman" w:hAnsi="Times New Roman" w:eastAsia="宋体" w:cs="Times New Roman"/>
                <w:color w:val="auto"/>
                <w:kern w:val="0"/>
                <w:sz w:val="20"/>
                <w:szCs w:val="20"/>
                <w:highlight w:val="none"/>
                <w:lang w:val="en-US" w:eastAsia="zh-CN" w:bidi="ar"/>
              </w:rPr>
              <w:t xml:space="preserve"> </w:t>
            </w:r>
          </w:p>
        </w:tc>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06A15">
            <w:pPr>
              <w:pageBreakBefore w:val="0"/>
              <w:widowControl/>
              <w:kinsoku/>
              <w:wordWrap/>
              <w:overflowPunct/>
              <w:topLinePunct w:val="0"/>
              <w:autoSpaceDE/>
              <w:autoSpaceDN/>
              <w:bidi w:val="0"/>
              <w:adjustRightInd w:val="0"/>
              <w:snapToGrid w:val="0"/>
              <w:spacing w:before="0" w:after="0" w:line="240" w:lineRule="auto"/>
              <w:ind w:firstLine="0" w:firstLineChars="0"/>
              <w:jc w:val="right"/>
              <w:textAlignment w:val="center"/>
              <w:rPr>
                <w:rFonts w:hint="default" w:ascii="Times New Roman" w:hAnsi="Times New Roman" w:eastAsia="宋体" w:cs="Times New Roman"/>
                <w:b/>
                <w:bCs/>
                <w:i w:val="0"/>
                <w:iCs w:val="0"/>
                <w:color w:val="auto"/>
                <w:kern w:val="0"/>
                <w:sz w:val="20"/>
                <w:szCs w:val="20"/>
                <w:highlight w:val="none"/>
                <w:u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222.00</w:t>
            </w:r>
            <w:r>
              <w:rPr>
                <w:rFonts w:hint="default" w:ascii="Times New Roman" w:hAnsi="Times New Roman" w:eastAsia="宋体" w:cs="Times New Roman"/>
                <w:color w:val="auto"/>
                <w:kern w:val="0"/>
                <w:sz w:val="20"/>
                <w:szCs w:val="20"/>
                <w:highlight w:val="none"/>
                <w:lang w:val="en-US" w:eastAsia="zh-CN" w:bidi="ar"/>
              </w:rPr>
              <w:t xml:space="preserve"> </w:t>
            </w:r>
          </w:p>
        </w:tc>
      </w:tr>
    </w:tbl>
    <w:p w14:paraId="790D8041">
      <w:pPr>
        <w:rPr>
          <w:rFonts w:ascii="Times New Roman" w:hAnsi="Times New Roman" w:eastAsia="宋体" w:cs="Times New Roman"/>
          <w:color w:val="auto"/>
          <w:highlight w:val="none"/>
        </w:rPr>
        <w:sectPr>
          <w:pgSz w:w="16838" w:h="11906" w:orient="landscape"/>
          <w:pgMar w:top="1800" w:right="1440" w:bottom="1800" w:left="1440" w:header="851" w:footer="907" w:gutter="0"/>
          <w:cols w:space="425" w:num="1"/>
          <w:docGrid w:type="lines" w:linePitch="312" w:charSpace="0"/>
        </w:sectPr>
      </w:pPr>
    </w:p>
    <w:p w14:paraId="5DB460A0">
      <w:pPr>
        <w:pStyle w:val="4"/>
        <w:pageBreakBefore w:val="0"/>
        <w:kinsoku/>
        <w:wordWrap/>
        <w:overflowPunct/>
        <w:topLinePunct w:val="0"/>
        <w:autoSpaceDE/>
        <w:autoSpaceDN/>
        <w:bidi w:val="0"/>
        <w:snapToGrid w:val="0"/>
        <w:spacing w:line="360" w:lineRule="auto"/>
        <w:ind w:firstLine="0" w:firstLineChars="0"/>
        <w:rPr>
          <w:rFonts w:ascii="Times New Roman" w:hAnsi="Times New Roman" w:eastAsia="宋体" w:cs="Times New Roman"/>
          <w:color w:val="auto"/>
          <w:highlight w:val="none"/>
        </w:rPr>
      </w:pPr>
      <w:bookmarkStart w:id="122" w:name="_Toc29169"/>
      <w:bookmarkStart w:id="123" w:name="_Toc10603"/>
      <w:bookmarkStart w:id="124" w:name="_Toc972319716"/>
      <w:r>
        <w:rPr>
          <w:rFonts w:ascii="Times New Roman" w:hAnsi="Times New Roman" w:eastAsia="宋体" w:cs="Times New Roman"/>
          <w:color w:val="auto"/>
          <w:highlight w:val="none"/>
        </w:rPr>
        <w:t>附件</w:t>
      </w:r>
      <w:r>
        <w:rPr>
          <w:rFonts w:hint="eastAsia" w:ascii="Times New Roman" w:hAnsi="Times New Roman" w:eastAsia="宋体" w:cs="Times New Roman"/>
          <w:color w:val="auto"/>
          <w:highlight w:val="none"/>
          <w:lang w:val="en-US" w:eastAsia="zh-CN"/>
        </w:rPr>
        <w:t>3</w:t>
      </w:r>
      <w:r>
        <w:rPr>
          <w:rFonts w:ascii="Times New Roman" w:hAnsi="Times New Roman" w:eastAsia="宋体" w:cs="Times New Roman"/>
          <w:color w:val="auto"/>
          <w:highlight w:val="none"/>
        </w:rPr>
        <w:t>：问卷调查分析报告</w:t>
      </w:r>
      <w:bookmarkEnd w:id="122"/>
      <w:bookmarkEnd w:id="123"/>
      <w:bookmarkEnd w:id="124"/>
    </w:p>
    <w:p w14:paraId="0284703A">
      <w:pPr>
        <w:keepNext w:val="0"/>
        <w:keepLines w:val="0"/>
        <w:pageBreakBefore w:val="0"/>
        <w:widowControl w:val="0"/>
        <w:kinsoku/>
        <w:wordWrap/>
        <w:overflowPunct/>
        <w:topLinePunct w:val="0"/>
        <w:autoSpaceDE/>
        <w:autoSpaceDN/>
        <w:bidi w:val="0"/>
        <w:adjustRightInd w:val="0"/>
        <w:snapToGrid w:val="0"/>
        <w:spacing w:line="360" w:lineRule="auto"/>
        <w:ind w:firstLine="56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本次绩效评价的对象为伊宁县成品油税费农村公路日常养护项目，为客观评价该项目的社会效果，绩效评价小组依据公共支出绩效评价“为顾客服务”原理，引入“保障出行安全，降低交通风险”“改善乡村生活环境”“受益社会公众满意度”等效益指标，了解群众对项目的评价情况，对本项目展开满意度问卷调查。问卷调查工作情况如下：</w:t>
      </w:r>
    </w:p>
    <w:p w14:paraId="44DBE216">
      <w:pPr>
        <w:bidi w:val="0"/>
        <w:spacing w:line="360" w:lineRule="auto"/>
        <w:rPr>
          <w:rFonts w:hint="default" w:ascii="Times New Roman" w:hAnsi="Times New Roman" w:eastAsia="宋体" w:cs="Times New Roman"/>
          <w:b/>
          <w:bCs/>
          <w:color w:val="auto"/>
          <w:highlight w:val="none"/>
        </w:rPr>
      </w:pPr>
      <w:bookmarkStart w:id="125" w:name="_Toc529373554"/>
      <w:bookmarkStart w:id="126" w:name="_Toc529373321"/>
      <w:r>
        <w:rPr>
          <w:rFonts w:hint="default" w:ascii="Times New Roman" w:hAnsi="Times New Roman" w:eastAsia="宋体" w:cs="Times New Roman"/>
          <w:b/>
          <w:bCs/>
          <w:color w:val="auto"/>
          <w:highlight w:val="none"/>
          <w:lang w:val="en-US" w:eastAsia="zh-CN"/>
        </w:rPr>
        <w:t>1.</w:t>
      </w:r>
      <w:r>
        <w:rPr>
          <w:rFonts w:hint="default" w:ascii="Times New Roman" w:hAnsi="Times New Roman" w:eastAsia="宋体" w:cs="Times New Roman"/>
          <w:b/>
          <w:bCs/>
          <w:color w:val="auto"/>
          <w:highlight w:val="none"/>
        </w:rPr>
        <w:t>调</w:t>
      </w:r>
      <w:r>
        <w:rPr>
          <w:rFonts w:hint="eastAsia" w:ascii="Times New Roman" w:hAnsi="Times New Roman" w:eastAsia="宋体" w:cs="Times New Roman"/>
          <w:b/>
          <w:bCs/>
          <w:color w:val="auto"/>
          <w:highlight w:val="none"/>
          <w:lang w:val="en-US" w:eastAsia="zh-CN"/>
        </w:rPr>
        <w:t>查</w:t>
      </w:r>
      <w:r>
        <w:rPr>
          <w:rFonts w:hint="default" w:ascii="Times New Roman" w:hAnsi="Times New Roman" w:eastAsia="宋体" w:cs="Times New Roman"/>
          <w:b/>
          <w:bCs/>
          <w:color w:val="auto"/>
          <w:highlight w:val="none"/>
        </w:rPr>
        <w:t>对象</w:t>
      </w:r>
      <w:bookmarkEnd w:id="125"/>
      <w:bookmarkEnd w:id="126"/>
    </w:p>
    <w:p w14:paraId="4C7316D1">
      <w:pPr>
        <w:spacing w:line="360" w:lineRule="auto"/>
        <w:ind w:firstLine="56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本次调研的受益对象为项目所在区域的社会公众。</w:t>
      </w:r>
    </w:p>
    <w:p w14:paraId="4B1C5BA5">
      <w:pPr>
        <w:bidi w:val="0"/>
        <w:spacing w:line="360" w:lineRule="auto"/>
        <w:rPr>
          <w:rFonts w:hint="default" w:ascii="Times New Roman" w:hAnsi="Times New Roman" w:eastAsia="宋体" w:cs="Times New Roman"/>
          <w:b/>
          <w:bCs/>
          <w:color w:val="auto"/>
          <w:highlight w:val="none"/>
        </w:rPr>
      </w:pPr>
      <w:bookmarkStart w:id="127" w:name="_Toc529373322"/>
      <w:bookmarkStart w:id="128" w:name="_Toc529373555"/>
      <w:r>
        <w:rPr>
          <w:rFonts w:hint="default" w:ascii="Times New Roman" w:hAnsi="Times New Roman" w:eastAsia="宋体" w:cs="Times New Roman"/>
          <w:b/>
          <w:bCs/>
          <w:color w:val="auto"/>
          <w:highlight w:val="none"/>
          <w:lang w:val="en-US" w:eastAsia="zh-CN"/>
        </w:rPr>
        <w:t>2.</w:t>
      </w:r>
      <w:r>
        <w:rPr>
          <w:rFonts w:hint="default" w:ascii="Times New Roman" w:hAnsi="Times New Roman" w:eastAsia="宋体" w:cs="Times New Roman"/>
          <w:b/>
          <w:bCs/>
          <w:color w:val="auto"/>
          <w:highlight w:val="none"/>
        </w:rPr>
        <w:t>调</w:t>
      </w:r>
      <w:r>
        <w:rPr>
          <w:rFonts w:hint="eastAsia" w:ascii="Times New Roman" w:hAnsi="Times New Roman" w:eastAsia="宋体" w:cs="Times New Roman"/>
          <w:b/>
          <w:bCs/>
          <w:color w:val="auto"/>
          <w:highlight w:val="none"/>
          <w:lang w:val="en-US" w:eastAsia="zh-CN"/>
        </w:rPr>
        <w:t>查</w:t>
      </w:r>
      <w:r>
        <w:rPr>
          <w:rFonts w:hint="default" w:ascii="Times New Roman" w:hAnsi="Times New Roman" w:eastAsia="宋体" w:cs="Times New Roman"/>
          <w:b/>
          <w:bCs/>
          <w:color w:val="auto"/>
          <w:highlight w:val="none"/>
        </w:rPr>
        <w:t>内容</w:t>
      </w:r>
      <w:bookmarkEnd w:id="127"/>
      <w:bookmarkEnd w:id="128"/>
    </w:p>
    <w:p w14:paraId="0C2EED71">
      <w:pPr>
        <w:spacing w:line="360" w:lineRule="auto"/>
        <w:ind w:firstLine="560"/>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rPr>
        <w:t>（1）对伊宁县交通运输局成品油税费农村公路日常养护项目实施后的满意度，包括对</w:t>
      </w:r>
      <w:r>
        <w:rPr>
          <w:rFonts w:hint="eastAsia" w:ascii="Times New Roman" w:hAnsi="Times New Roman" w:eastAsia="宋体" w:cs="Times New Roman"/>
          <w:color w:val="auto"/>
          <w:highlight w:val="none"/>
          <w:lang w:val="en-US" w:eastAsia="zh-CN"/>
        </w:rPr>
        <w:t>伊宁县</w:t>
      </w:r>
      <w:r>
        <w:rPr>
          <w:rFonts w:hint="eastAsia" w:ascii="Times New Roman" w:hAnsi="Times New Roman" w:eastAsia="宋体" w:cs="Times New Roman"/>
          <w:color w:val="auto"/>
          <w:highlight w:val="none"/>
        </w:rPr>
        <w:t>农村公路日常养护的了解情况、通过项目实施对于</w:t>
      </w:r>
      <w:r>
        <w:rPr>
          <w:rFonts w:hint="eastAsia" w:ascii="Times New Roman" w:hAnsi="Times New Roman" w:eastAsia="宋体" w:cs="Times New Roman"/>
          <w:color w:val="auto"/>
          <w:highlight w:val="none"/>
          <w:lang w:val="en-US" w:eastAsia="zh-CN"/>
        </w:rPr>
        <w:t>保障出行安全，降低交通风险实现</w:t>
      </w:r>
      <w:r>
        <w:rPr>
          <w:rFonts w:hint="eastAsia" w:ascii="Times New Roman" w:hAnsi="Times New Roman" w:eastAsia="宋体" w:cs="Times New Roman"/>
          <w:color w:val="auto"/>
          <w:highlight w:val="none"/>
        </w:rPr>
        <w:t>程度如何、项目实施后对于</w:t>
      </w:r>
      <w:r>
        <w:rPr>
          <w:rFonts w:hint="eastAsia" w:ascii="Times New Roman" w:hAnsi="Times New Roman" w:eastAsia="宋体" w:cs="Times New Roman"/>
          <w:color w:val="auto"/>
          <w:highlight w:val="none"/>
          <w:lang w:val="en-US" w:eastAsia="zh-CN"/>
        </w:rPr>
        <w:t>改善乡村生活环境</w:t>
      </w:r>
      <w:r>
        <w:rPr>
          <w:rFonts w:hint="eastAsia" w:ascii="Times New Roman" w:hAnsi="Times New Roman" w:eastAsia="宋体" w:cs="Times New Roman"/>
          <w:color w:val="auto"/>
          <w:highlight w:val="none"/>
        </w:rPr>
        <w:t>效果如何等。</w:t>
      </w:r>
    </w:p>
    <w:p w14:paraId="40134862">
      <w:pPr>
        <w:spacing w:line="360" w:lineRule="auto"/>
        <w:ind w:firstLine="56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（2）对</w:t>
      </w:r>
      <w:r>
        <w:rPr>
          <w:rFonts w:hint="eastAsia" w:ascii="Times New Roman" w:hAnsi="Times New Roman" w:eastAsia="宋体" w:cs="Times New Roman"/>
          <w:color w:val="auto"/>
          <w:highlight w:val="none"/>
          <w:lang w:val="en-US" w:eastAsia="zh-CN"/>
        </w:rPr>
        <w:t>伊宁县成品油税费农村公路日常养护项目</w:t>
      </w:r>
      <w:r>
        <w:rPr>
          <w:rFonts w:hint="eastAsia" w:ascii="Times New Roman" w:hAnsi="Times New Roman" w:eastAsia="宋体" w:cs="Times New Roman"/>
          <w:color w:val="auto"/>
          <w:highlight w:val="none"/>
        </w:rPr>
        <w:t>的意见和建议，通过开放式问答收集，涵盖各个方面。</w:t>
      </w:r>
    </w:p>
    <w:p w14:paraId="59DA0475">
      <w:pPr>
        <w:bidi w:val="0"/>
        <w:spacing w:line="360" w:lineRule="auto"/>
        <w:rPr>
          <w:rFonts w:hint="default" w:ascii="Times New Roman" w:hAnsi="Times New Roman" w:eastAsia="宋体" w:cs="Times New Roman"/>
          <w:b/>
          <w:bCs/>
          <w:color w:val="auto"/>
          <w:highlight w:val="none"/>
        </w:rPr>
      </w:pPr>
      <w:bookmarkStart w:id="129" w:name="_Toc529373556"/>
      <w:bookmarkStart w:id="130" w:name="_Toc529373323"/>
      <w:r>
        <w:rPr>
          <w:rFonts w:hint="default" w:ascii="Times New Roman" w:hAnsi="Times New Roman" w:eastAsia="宋体" w:cs="Times New Roman"/>
          <w:b/>
          <w:bCs/>
          <w:color w:val="auto"/>
          <w:highlight w:val="none"/>
          <w:lang w:val="en-US" w:eastAsia="zh-CN"/>
        </w:rPr>
        <w:t>3.</w:t>
      </w:r>
      <w:r>
        <w:rPr>
          <w:rFonts w:hint="default" w:ascii="Times New Roman" w:hAnsi="Times New Roman" w:eastAsia="宋体" w:cs="Times New Roman"/>
          <w:b/>
          <w:bCs/>
          <w:color w:val="auto"/>
          <w:highlight w:val="none"/>
        </w:rPr>
        <w:t>调</w:t>
      </w:r>
      <w:r>
        <w:rPr>
          <w:rFonts w:hint="eastAsia" w:ascii="Times New Roman" w:hAnsi="Times New Roman" w:eastAsia="宋体" w:cs="Times New Roman"/>
          <w:b/>
          <w:bCs/>
          <w:color w:val="auto"/>
          <w:highlight w:val="none"/>
          <w:lang w:val="en-US" w:eastAsia="zh-CN"/>
        </w:rPr>
        <w:t>查</w:t>
      </w:r>
      <w:r>
        <w:rPr>
          <w:rFonts w:hint="default" w:ascii="Times New Roman" w:hAnsi="Times New Roman" w:eastAsia="宋体" w:cs="Times New Roman"/>
          <w:b/>
          <w:bCs/>
          <w:color w:val="auto"/>
          <w:highlight w:val="none"/>
        </w:rPr>
        <w:t>方法</w:t>
      </w:r>
      <w:bookmarkEnd w:id="129"/>
      <w:bookmarkEnd w:id="130"/>
    </w:p>
    <w:p w14:paraId="631E6F43">
      <w:pPr>
        <w:spacing w:line="360" w:lineRule="auto"/>
        <w:ind w:firstLine="56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本次调研问卷调查采取随机抽样方式，对202</w:t>
      </w:r>
      <w:r>
        <w:rPr>
          <w:rFonts w:hint="eastAsia" w:ascii="Times New Roman" w:hAnsi="Times New Roman" w:eastAsia="宋体" w:cs="Times New Roman"/>
          <w:color w:val="auto"/>
          <w:highlight w:val="none"/>
          <w:lang w:val="en-US" w:eastAsia="zh-CN"/>
        </w:rPr>
        <w:t>4</w:t>
      </w:r>
      <w:r>
        <w:rPr>
          <w:rFonts w:hint="default" w:ascii="Times New Roman" w:hAnsi="Times New Roman" w:eastAsia="宋体" w:cs="Times New Roman"/>
          <w:color w:val="auto"/>
          <w:highlight w:val="none"/>
        </w:rPr>
        <w:t>年度该项目对象随机抽取受益社会公众为样本，发放问卷2</w:t>
      </w:r>
      <w:r>
        <w:rPr>
          <w:rFonts w:hint="eastAsia" w:ascii="Times New Roman" w:hAnsi="Times New Roman" w:eastAsia="宋体" w:cs="Times New Roman"/>
          <w:color w:val="auto"/>
          <w:highlight w:val="none"/>
          <w:lang w:val="en-US" w:eastAsia="zh-CN"/>
        </w:rPr>
        <w:t>19</w:t>
      </w:r>
      <w:r>
        <w:rPr>
          <w:rFonts w:hint="default" w:ascii="Times New Roman" w:hAnsi="Times New Roman" w:eastAsia="宋体" w:cs="Times New Roman"/>
          <w:color w:val="auto"/>
          <w:highlight w:val="none"/>
        </w:rPr>
        <w:t>份。</w:t>
      </w:r>
    </w:p>
    <w:p w14:paraId="7FE10324">
      <w:pPr>
        <w:bidi w:val="0"/>
        <w:spacing w:line="360" w:lineRule="auto"/>
        <w:rPr>
          <w:rFonts w:hint="eastAsia" w:ascii="Times New Roman" w:hAnsi="Times New Roman" w:eastAsia="宋体" w:cs="Times New Roman"/>
          <w:b/>
          <w:bCs/>
          <w:color w:val="auto"/>
          <w:highlight w:val="none"/>
          <w:lang w:val="en-US" w:eastAsia="zh-CN"/>
        </w:rPr>
      </w:pPr>
      <w:bookmarkStart w:id="131" w:name="_Toc529373558"/>
      <w:bookmarkStart w:id="132" w:name="_Toc529373325"/>
      <w:r>
        <w:rPr>
          <w:rFonts w:hint="eastAsia" w:ascii="Times New Roman" w:hAnsi="Times New Roman" w:eastAsia="宋体" w:cs="Times New Roman"/>
          <w:b/>
          <w:bCs/>
          <w:color w:val="auto"/>
          <w:highlight w:val="none"/>
          <w:lang w:val="en-US" w:eastAsia="zh-CN"/>
        </w:rPr>
        <w:t>4</w:t>
      </w:r>
      <w:r>
        <w:rPr>
          <w:rFonts w:hint="default" w:ascii="Times New Roman" w:hAnsi="Times New Roman" w:eastAsia="宋体" w:cs="Times New Roman"/>
          <w:b/>
          <w:bCs/>
          <w:color w:val="auto"/>
          <w:highlight w:val="none"/>
          <w:lang w:val="en-US" w:eastAsia="zh-CN"/>
        </w:rPr>
        <w:t>.</w:t>
      </w:r>
      <w:r>
        <w:rPr>
          <w:rFonts w:hint="default" w:ascii="Times New Roman" w:hAnsi="Times New Roman" w:eastAsia="宋体" w:cs="Times New Roman"/>
          <w:b/>
          <w:bCs/>
          <w:color w:val="auto"/>
          <w:highlight w:val="none"/>
        </w:rPr>
        <w:t>问卷的发放</w:t>
      </w:r>
      <w:bookmarkEnd w:id="131"/>
      <w:bookmarkEnd w:id="132"/>
      <w:r>
        <w:rPr>
          <w:rFonts w:hint="eastAsia" w:ascii="Times New Roman" w:hAnsi="Times New Roman" w:eastAsia="宋体" w:cs="Times New Roman"/>
          <w:b/>
          <w:bCs/>
          <w:color w:val="auto"/>
          <w:highlight w:val="none"/>
          <w:lang w:val="en-US" w:eastAsia="zh-CN"/>
        </w:rPr>
        <w:t>形式</w:t>
      </w:r>
    </w:p>
    <w:p w14:paraId="545CD400">
      <w:pPr>
        <w:spacing w:line="360" w:lineRule="auto"/>
        <w:ind w:firstLine="56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为充分采集调研对象的真实想法，保证调研的公平性和科学性，本次问卷调研不记名，在</w:t>
      </w:r>
      <w:r>
        <w:rPr>
          <w:rFonts w:hint="eastAsia" w:ascii="Times New Roman" w:hAnsi="Times New Roman" w:eastAsia="宋体" w:cs="Times New Roman"/>
          <w:color w:val="auto"/>
          <w:highlight w:val="none"/>
          <w:lang w:val="en-US" w:eastAsia="zh-CN"/>
        </w:rPr>
        <w:t>伊宁县交通运输局</w:t>
      </w:r>
      <w:r>
        <w:rPr>
          <w:rFonts w:hint="default" w:ascii="Times New Roman" w:hAnsi="Times New Roman" w:eastAsia="宋体" w:cs="Times New Roman"/>
          <w:color w:val="auto"/>
          <w:highlight w:val="none"/>
        </w:rPr>
        <w:t>单位的协调配合下，组织安排线上电子问卷的发放与回收。</w:t>
      </w:r>
    </w:p>
    <w:p w14:paraId="5461CDF7">
      <w:pPr>
        <w:numPr>
          <w:ilvl w:val="0"/>
          <w:numId w:val="0"/>
        </w:numPr>
        <w:spacing w:line="360" w:lineRule="auto"/>
        <w:ind w:leftChars="200"/>
        <w:jc w:val="left"/>
        <w:rPr>
          <w:rFonts w:hint="default" w:ascii="Times New Roman" w:hAnsi="Times New Roman" w:eastAsia="宋体" w:cs="Times New Roman"/>
          <w:b/>
          <w:bCs/>
          <w:color w:val="auto"/>
          <w:highlight w:val="none"/>
          <w:lang w:val="en-US" w:eastAsia="zh-CN"/>
        </w:rPr>
      </w:pPr>
      <w:r>
        <w:rPr>
          <w:rFonts w:hint="eastAsia" w:ascii="Times New Roman" w:hAnsi="Times New Roman" w:eastAsia="宋体" w:cs="Times New Roman"/>
          <w:b/>
          <w:bCs/>
          <w:color w:val="auto"/>
          <w:highlight w:val="none"/>
          <w:lang w:val="en-US" w:eastAsia="zh-CN"/>
        </w:rPr>
        <w:t>5.</w:t>
      </w:r>
      <w:r>
        <w:rPr>
          <w:rFonts w:hint="default" w:ascii="Times New Roman" w:hAnsi="Times New Roman" w:eastAsia="宋体" w:cs="Times New Roman"/>
          <w:b/>
          <w:bCs/>
          <w:color w:val="auto"/>
          <w:highlight w:val="none"/>
          <w:lang w:val="en-US" w:eastAsia="zh-CN"/>
        </w:rPr>
        <w:t>问卷调查分析结果</w:t>
      </w:r>
    </w:p>
    <w:p w14:paraId="74F8F978">
      <w:pPr>
        <w:spacing w:line="360" w:lineRule="auto"/>
        <w:ind w:left="0" w:leftChars="0" w:firstLine="420" w:firstLineChars="200"/>
        <w:jc w:val="left"/>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本次调研过程中，评价小组实际发放问卷2</w:t>
      </w:r>
      <w:r>
        <w:rPr>
          <w:rFonts w:hint="eastAsia" w:ascii="Times New Roman" w:hAnsi="Times New Roman" w:eastAsia="宋体" w:cs="Times New Roman"/>
          <w:color w:val="auto"/>
          <w:highlight w:val="none"/>
          <w:lang w:val="en-US" w:eastAsia="zh-CN"/>
        </w:rPr>
        <w:t>19</w:t>
      </w:r>
      <w:r>
        <w:rPr>
          <w:rFonts w:hint="default" w:ascii="Times New Roman" w:hAnsi="Times New Roman" w:eastAsia="宋体" w:cs="Times New Roman"/>
          <w:color w:val="auto"/>
          <w:highlight w:val="none"/>
          <w:lang w:val="en-US" w:eastAsia="zh-CN"/>
        </w:rPr>
        <w:t>份，</w:t>
      </w:r>
      <w:r>
        <w:rPr>
          <w:rFonts w:hint="eastAsia" w:ascii="Times New Roman" w:hAnsi="Times New Roman" w:eastAsia="宋体" w:cs="Times New Roman"/>
          <w:color w:val="auto"/>
          <w:highlight w:val="none"/>
          <w:lang w:val="en-US" w:eastAsia="zh-CN"/>
        </w:rPr>
        <w:t>回收</w:t>
      </w:r>
      <w:r>
        <w:rPr>
          <w:rFonts w:hint="default" w:ascii="Times New Roman" w:hAnsi="Times New Roman" w:eastAsia="宋体" w:cs="Times New Roman"/>
          <w:color w:val="auto"/>
          <w:highlight w:val="none"/>
          <w:lang w:val="en-US" w:eastAsia="zh-CN"/>
        </w:rPr>
        <w:t>有效问卷2</w:t>
      </w:r>
      <w:r>
        <w:rPr>
          <w:rFonts w:hint="eastAsia" w:ascii="Times New Roman" w:hAnsi="Times New Roman" w:eastAsia="宋体" w:cs="Times New Roman"/>
          <w:color w:val="auto"/>
          <w:highlight w:val="none"/>
          <w:lang w:val="en-US" w:eastAsia="zh-CN"/>
        </w:rPr>
        <w:t>19</w:t>
      </w:r>
      <w:r>
        <w:rPr>
          <w:rFonts w:hint="default" w:ascii="Times New Roman" w:hAnsi="Times New Roman" w:eastAsia="宋体" w:cs="Times New Roman"/>
          <w:color w:val="auto"/>
          <w:highlight w:val="none"/>
          <w:lang w:val="en-US" w:eastAsia="zh-CN"/>
        </w:rPr>
        <w:t>份，有效回收率100.00%，调研问卷总体满意度为91.85%。根据调研反馈，受益社会公众对</w:t>
      </w:r>
      <w:r>
        <w:rPr>
          <w:rFonts w:hint="eastAsia" w:ascii="Times New Roman" w:hAnsi="Times New Roman" w:eastAsia="宋体" w:cs="Times New Roman"/>
          <w:color w:val="auto"/>
          <w:highlight w:val="none"/>
        </w:rPr>
        <w:t>伊宁县交通运输局成品油税费农村公路日常养护项目</w:t>
      </w:r>
      <w:r>
        <w:rPr>
          <w:rFonts w:hint="default" w:ascii="Times New Roman" w:hAnsi="Times New Roman" w:eastAsia="宋体" w:cs="Times New Roman"/>
          <w:color w:val="auto"/>
          <w:highlight w:val="none"/>
          <w:lang w:val="en-US" w:eastAsia="zh-CN"/>
        </w:rPr>
        <w:t>总体比较满意。本次调研的整体情况如下：</w:t>
      </w:r>
    </w:p>
    <w:tbl>
      <w:tblPr>
        <w:tblStyle w:val="18"/>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42"/>
        <w:gridCol w:w="2937"/>
        <w:gridCol w:w="2743"/>
      </w:tblGrid>
      <w:tr w14:paraId="59A0F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5000" w:type="pct"/>
            <w:gridSpan w:val="3"/>
            <w:tcBorders>
              <w:top w:val="nil"/>
              <w:left w:val="nil"/>
              <w:bottom w:val="nil"/>
              <w:right w:val="nil"/>
            </w:tcBorders>
            <w:shd w:val="clear" w:color="auto" w:fill="auto"/>
            <w:vAlign w:val="center"/>
          </w:tcPr>
          <w:p w14:paraId="5C3D4204">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Times New Roman" w:hAnsi="Times New Roman" w:eastAsia="宋体" w:cs="Times New Roman"/>
                <w:i w:val="0"/>
                <w:iCs w:val="0"/>
                <w:color w:val="auto"/>
                <w:sz w:val="21"/>
                <w:szCs w:val="21"/>
                <w:highlight w:val="none"/>
                <w:u w:val="none"/>
                <w:lang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（1）</w:t>
            </w:r>
            <w:r>
              <w:rPr>
                <w:rFonts w:hint="eastAsia" w:ascii="Times New Roman" w:hAnsi="Times New Roman" w:eastAsia="宋体" w:cs="Times New Roman"/>
                <w:color w:val="auto"/>
                <w:highlight w:val="none"/>
              </w:rPr>
              <w:t>伊宁县交通运输局成品油税费农村公路日常养护项目</w:t>
            </w:r>
            <w:r>
              <w:rPr>
                <w:rFonts w:hint="eastAsia" w:ascii="Times New Roman" w:hAnsi="Times New Roman" w:eastAsia="宋体" w:cs="Times New Roman"/>
                <w:color w:val="auto"/>
                <w:highlight w:val="none"/>
                <w:lang w:eastAsia="zh-CN"/>
              </w:rPr>
              <w:t>？</w:t>
            </w:r>
          </w:p>
        </w:tc>
      </w:tr>
      <w:tr w14:paraId="143D4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9645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选项</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C59A1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反馈数量</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7A54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占比</w:t>
            </w:r>
          </w:p>
        </w:tc>
      </w:tr>
      <w:tr w14:paraId="57601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27A6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每天使用</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9BCE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172</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5B85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78.5%</w:t>
            </w:r>
          </w:p>
        </w:tc>
      </w:tr>
      <w:tr w14:paraId="5D9F0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C244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每周3-5次</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745C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27</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7C43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12.3%</w:t>
            </w:r>
          </w:p>
        </w:tc>
      </w:tr>
      <w:tr w14:paraId="620A1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FE79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每周1-2次</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47DA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10</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06B4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4.6%</w:t>
            </w:r>
          </w:p>
        </w:tc>
      </w:tr>
      <w:tr w14:paraId="63151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B3CA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很少使用</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301E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10</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FE22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4.6%</w:t>
            </w:r>
          </w:p>
        </w:tc>
      </w:tr>
      <w:tr w14:paraId="22AD3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5000" w:type="pct"/>
            <w:gridSpan w:val="3"/>
            <w:tcBorders>
              <w:top w:val="nil"/>
              <w:left w:val="nil"/>
              <w:bottom w:val="nil"/>
              <w:right w:val="nil"/>
            </w:tcBorders>
            <w:shd w:val="clear" w:color="auto" w:fill="auto"/>
            <w:vAlign w:val="center"/>
          </w:tcPr>
          <w:p w14:paraId="650CA721">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（2）您对周边农村公路的日常养护情况了解吗？</w:t>
            </w:r>
          </w:p>
        </w:tc>
      </w:tr>
      <w:tr w14:paraId="4EC8C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C622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选项</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F1D3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反馈数量</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08DD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占比</w:t>
            </w:r>
          </w:p>
        </w:tc>
      </w:tr>
      <w:tr w14:paraId="69EDD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1261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非常了解</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5DA8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147</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1499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67.1%</w:t>
            </w:r>
          </w:p>
        </w:tc>
      </w:tr>
      <w:tr w14:paraId="06E40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0377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了解</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C578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42</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8B4B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19.2%</w:t>
            </w:r>
          </w:p>
        </w:tc>
      </w:tr>
      <w:tr w14:paraId="07E62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4A9F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一般</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A3FF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26</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C087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11.9%</w:t>
            </w:r>
          </w:p>
        </w:tc>
      </w:tr>
      <w:tr w14:paraId="46A84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0981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不了解</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6DF9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4</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56E6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1.8%</w:t>
            </w:r>
          </w:p>
        </w:tc>
      </w:tr>
      <w:tr w14:paraId="5080B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916C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完全不了解</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8335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0</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1CCD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0.0%</w:t>
            </w:r>
          </w:p>
        </w:tc>
      </w:tr>
      <w:tr w14:paraId="2211D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5000" w:type="pct"/>
            <w:gridSpan w:val="3"/>
            <w:tcBorders>
              <w:top w:val="nil"/>
              <w:left w:val="nil"/>
              <w:bottom w:val="nil"/>
              <w:right w:val="nil"/>
            </w:tcBorders>
            <w:shd w:val="clear" w:color="auto" w:fill="auto"/>
            <w:vAlign w:val="center"/>
          </w:tcPr>
          <w:p w14:paraId="4175F35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lang w:val="en-US"/>
              </w:rPr>
            </w:pPr>
            <w:r>
              <w:rPr>
                <w:rFonts w:hint="default" w:ascii="Times New Roman" w:hAnsi="Times New Roman" w:eastAsia="宋体" w:cs="Times New Roman"/>
                <w:i w:val="0"/>
                <w:iCs w:val="0"/>
                <w:color w:val="auto"/>
                <w:kern w:val="0"/>
                <w:sz w:val="21"/>
                <w:szCs w:val="21"/>
                <w:highlight w:val="none"/>
                <w:u w:val="none"/>
                <w:lang w:val="en-US" w:eastAsia="zh-CN" w:bidi="ar"/>
              </w:rPr>
              <w:t>（3）您对目前农村公路的路面平整程度是否满意？</w:t>
            </w:r>
          </w:p>
        </w:tc>
      </w:tr>
      <w:tr w14:paraId="42BF8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1681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选项</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C6F4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反馈数量</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4ACB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占比</w:t>
            </w:r>
          </w:p>
        </w:tc>
      </w:tr>
      <w:tr w14:paraId="5FE68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498E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非常满意</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2647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159</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298A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72.6%</w:t>
            </w:r>
          </w:p>
        </w:tc>
      </w:tr>
      <w:tr w14:paraId="5BC99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9A81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满意</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0D76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45</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5F46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20.5%</w:t>
            </w:r>
          </w:p>
        </w:tc>
      </w:tr>
      <w:tr w14:paraId="4EE86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4F03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一般</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CB0C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11</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6529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5.0%</w:t>
            </w:r>
          </w:p>
        </w:tc>
      </w:tr>
      <w:tr w14:paraId="746B8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5FC2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不满意</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D3E1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4</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816B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1.8%</w:t>
            </w:r>
          </w:p>
        </w:tc>
      </w:tr>
      <w:tr w14:paraId="4064F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F1B1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非常不满意</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0192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0</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F2F0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0.0%</w:t>
            </w:r>
          </w:p>
        </w:tc>
      </w:tr>
      <w:tr w14:paraId="7A983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5000" w:type="pct"/>
            <w:gridSpan w:val="3"/>
            <w:tcBorders>
              <w:top w:val="nil"/>
              <w:left w:val="nil"/>
              <w:bottom w:val="nil"/>
              <w:right w:val="nil"/>
            </w:tcBorders>
            <w:shd w:val="clear" w:color="auto" w:fill="auto"/>
            <w:vAlign w:val="center"/>
          </w:tcPr>
          <w:p w14:paraId="2CB9CA3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lang w:val="en-US"/>
              </w:rPr>
            </w:pPr>
            <w:r>
              <w:rPr>
                <w:rFonts w:hint="default" w:ascii="Times New Roman" w:hAnsi="Times New Roman" w:eastAsia="宋体" w:cs="Times New Roman"/>
                <w:i w:val="0"/>
                <w:iCs w:val="0"/>
                <w:color w:val="auto"/>
                <w:kern w:val="0"/>
                <w:sz w:val="21"/>
                <w:szCs w:val="21"/>
                <w:highlight w:val="none"/>
                <w:u w:val="none"/>
                <w:lang w:val="en-US" w:eastAsia="zh-CN" w:bidi="ar"/>
              </w:rPr>
              <w:t>（4）您对公路的清扫和整洁情况是否满意？</w:t>
            </w:r>
          </w:p>
        </w:tc>
      </w:tr>
      <w:tr w14:paraId="2039F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C766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选项</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5199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反馈数量</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162D7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占比</w:t>
            </w:r>
          </w:p>
        </w:tc>
      </w:tr>
      <w:tr w14:paraId="1BD92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300E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非常满意</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E55F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154</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F6A5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70.3%</w:t>
            </w:r>
          </w:p>
        </w:tc>
      </w:tr>
      <w:tr w14:paraId="751E9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AC6B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满意</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537B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49</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CCB4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22.4%</w:t>
            </w:r>
          </w:p>
        </w:tc>
      </w:tr>
      <w:tr w14:paraId="380A1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0F1A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一般</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2965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11</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0EF9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5.0%</w:t>
            </w:r>
          </w:p>
        </w:tc>
      </w:tr>
      <w:tr w14:paraId="41DCB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856C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不满意</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C42E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5</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E004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2.3%</w:t>
            </w:r>
          </w:p>
        </w:tc>
      </w:tr>
      <w:tr w14:paraId="23251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FA53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非常不满意</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C0D8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0</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2491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0.0%</w:t>
            </w:r>
          </w:p>
        </w:tc>
      </w:tr>
      <w:tr w14:paraId="5003A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5000" w:type="pct"/>
            <w:gridSpan w:val="3"/>
            <w:tcBorders>
              <w:top w:val="single" w:color="000000" w:sz="4" w:space="0"/>
              <w:left w:val="nil"/>
              <w:bottom w:val="single" w:color="000000" w:sz="4" w:space="0"/>
              <w:right w:val="nil"/>
            </w:tcBorders>
            <w:shd w:val="clear" w:color="auto" w:fill="auto"/>
            <w:vAlign w:val="center"/>
          </w:tcPr>
          <w:p w14:paraId="15FC9F0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（5）您认为公路养护的及时性如何？</w:t>
            </w:r>
          </w:p>
        </w:tc>
      </w:tr>
      <w:tr w14:paraId="67B3B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EA44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eastAsia" w:ascii="Times New Roman" w:hAnsi="Times New Roman" w:eastAsia="宋体" w:cs="Times New Roman"/>
                <w:b/>
                <w:bCs/>
                <w:i w:val="0"/>
                <w:iCs w:val="0"/>
                <w:color w:val="auto"/>
                <w:kern w:val="0"/>
                <w:sz w:val="21"/>
                <w:szCs w:val="21"/>
                <w:highlight w:val="none"/>
                <w:u w:val="none"/>
                <w:lang w:val="en-US" w:eastAsia="zh-CN" w:bidi="ar"/>
              </w:rPr>
              <w:t>选项</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B9A4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eastAsia" w:ascii="Times New Roman" w:hAnsi="Times New Roman" w:eastAsia="宋体" w:cs="Times New Roman"/>
                <w:b/>
                <w:bCs/>
                <w:i w:val="0"/>
                <w:iCs w:val="0"/>
                <w:color w:val="auto"/>
                <w:kern w:val="0"/>
                <w:sz w:val="21"/>
                <w:szCs w:val="21"/>
                <w:highlight w:val="none"/>
                <w:u w:val="none"/>
                <w:lang w:val="en-US" w:eastAsia="zh-CN" w:bidi="ar"/>
              </w:rPr>
              <w:t>反馈数量</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C9114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eastAsia" w:ascii="Times New Roman" w:hAnsi="Times New Roman" w:eastAsia="宋体" w:cs="Times New Roman"/>
                <w:b/>
                <w:bCs/>
                <w:i w:val="0"/>
                <w:iCs w:val="0"/>
                <w:color w:val="auto"/>
                <w:kern w:val="0"/>
                <w:sz w:val="21"/>
                <w:szCs w:val="21"/>
                <w:highlight w:val="none"/>
                <w:u w:val="none"/>
                <w:lang w:val="en-US" w:eastAsia="zh-CN" w:bidi="ar"/>
              </w:rPr>
              <w:t>占比</w:t>
            </w:r>
          </w:p>
        </w:tc>
      </w:tr>
      <w:tr w14:paraId="7E056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4AB0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非常及时</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573A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154</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7369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70.3%</w:t>
            </w:r>
          </w:p>
        </w:tc>
      </w:tr>
      <w:tr w14:paraId="3D2F2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1B8B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及时</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86B1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42</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FFBD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19.2%</w:t>
            </w:r>
          </w:p>
        </w:tc>
      </w:tr>
      <w:tr w14:paraId="7266F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5"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013A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一般</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0F1B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15</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6722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6.8%</w:t>
            </w:r>
          </w:p>
        </w:tc>
      </w:tr>
      <w:tr w14:paraId="01874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77DC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不及时</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AECE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6</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15B8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2.7%</w:t>
            </w:r>
          </w:p>
        </w:tc>
      </w:tr>
      <w:tr w14:paraId="4B21A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08F6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非常不及时</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1997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2</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EFD8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0.9%</w:t>
            </w:r>
          </w:p>
        </w:tc>
      </w:tr>
      <w:tr w14:paraId="43493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1" w:hRule="atLeast"/>
          <w:jc w:val="center"/>
        </w:trPr>
        <w:tc>
          <w:tcPr>
            <w:tcW w:w="5000" w:type="pct"/>
            <w:gridSpan w:val="3"/>
            <w:tcBorders>
              <w:top w:val="single" w:color="000000" w:sz="4" w:space="0"/>
              <w:left w:val="nil"/>
              <w:bottom w:val="single" w:color="000000" w:sz="4" w:space="0"/>
              <w:right w:val="nil"/>
            </w:tcBorders>
            <w:shd w:val="clear" w:color="auto" w:fill="auto"/>
            <w:vAlign w:val="center"/>
          </w:tcPr>
          <w:p w14:paraId="50EDA00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（6）您对目前农村公路的通行安全性是否满意？</w:t>
            </w:r>
          </w:p>
        </w:tc>
      </w:tr>
      <w:tr w14:paraId="61062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C67C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default" w:ascii="Times New Roman" w:hAnsi="Times New Roman" w:eastAsia="宋体" w:cs="Times New Roman"/>
                <w:b/>
                <w:bCs/>
                <w:i w:val="0"/>
                <w:iCs w:val="0"/>
                <w:color w:val="auto"/>
                <w:kern w:val="0"/>
                <w:sz w:val="21"/>
                <w:szCs w:val="21"/>
                <w:highlight w:val="none"/>
                <w:u w:val="none"/>
                <w:lang w:val="en-US" w:eastAsia="zh-CN" w:bidi="ar"/>
              </w:rPr>
              <w:t>选项</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5766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default" w:ascii="Times New Roman" w:hAnsi="Times New Roman" w:eastAsia="宋体" w:cs="Times New Roman"/>
                <w:b/>
                <w:bCs/>
                <w:i w:val="0"/>
                <w:iCs w:val="0"/>
                <w:color w:val="auto"/>
                <w:kern w:val="0"/>
                <w:sz w:val="21"/>
                <w:szCs w:val="21"/>
                <w:highlight w:val="none"/>
                <w:u w:val="none"/>
                <w:lang w:val="en-US" w:eastAsia="zh-CN" w:bidi="ar"/>
              </w:rPr>
              <w:t>反馈数量</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92EDD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default" w:ascii="Times New Roman" w:hAnsi="Times New Roman" w:eastAsia="宋体" w:cs="Times New Roman"/>
                <w:b/>
                <w:bCs/>
                <w:i w:val="0"/>
                <w:iCs w:val="0"/>
                <w:color w:val="auto"/>
                <w:kern w:val="0"/>
                <w:sz w:val="21"/>
                <w:szCs w:val="21"/>
                <w:highlight w:val="none"/>
                <w:u w:val="none"/>
                <w:lang w:val="en-US" w:eastAsia="zh-CN" w:bidi="ar"/>
              </w:rPr>
              <w:t>占比</w:t>
            </w:r>
          </w:p>
        </w:tc>
      </w:tr>
      <w:tr w14:paraId="30035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8F3C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非常满意</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2922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155</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4A48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70.8%</w:t>
            </w:r>
          </w:p>
        </w:tc>
      </w:tr>
      <w:tr w14:paraId="4C405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1EBC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满意</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2A68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48</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EAD4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21.9%</w:t>
            </w:r>
          </w:p>
        </w:tc>
      </w:tr>
      <w:tr w14:paraId="75291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44CD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一般</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319F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13</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B432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5.9%</w:t>
            </w:r>
          </w:p>
        </w:tc>
      </w:tr>
      <w:tr w14:paraId="5A597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8553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不满意</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6B72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3</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56B1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1.4%</w:t>
            </w:r>
          </w:p>
        </w:tc>
      </w:tr>
      <w:tr w14:paraId="639BB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861E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非常不满意</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3443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0</w:t>
            </w:r>
          </w:p>
        </w:tc>
        <w:tc>
          <w:tcPr>
            <w:tcW w:w="2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B502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0.0%</w:t>
            </w:r>
          </w:p>
        </w:tc>
      </w:tr>
      <w:tr w14:paraId="600DC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5000" w:type="pct"/>
            <w:gridSpan w:val="3"/>
            <w:tcBorders>
              <w:top w:val="nil"/>
              <w:left w:val="nil"/>
              <w:bottom w:val="nil"/>
              <w:right w:val="nil"/>
            </w:tcBorders>
            <w:shd w:val="clear" w:color="auto" w:fill="auto"/>
            <w:vAlign w:val="center"/>
          </w:tcPr>
          <w:p w14:paraId="3D2ACE23">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您对成品油税费农村公路日常养护项目的整体满意度是？</w:t>
            </w:r>
          </w:p>
          <w:tbl>
            <w:tblPr>
              <w:tblStyle w:val="19"/>
              <w:tblW w:w="8500"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78"/>
              <w:gridCol w:w="2920"/>
              <w:gridCol w:w="2802"/>
            </w:tblGrid>
            <w:tr w14:paraId="46C11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2778" w:type="dxa"/>
                  <w:vAlign w:val="center"/>
                </w:tcPr>
                <w:p w14:paraId="5E17FC2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
                      <w:bCs/>
                      <w:i w:val="0"/>
                      <w:iCs w:val="0"/>
                      <w:color w:val="auto"/>
                      <w:kern w:val="0"/>
                      <w:sz w:val="21"/>
                      <w:szCs w:val="21"/>
                      <w:highlight w:val="none"/>
                      <w:u w:val="none"/>
                      <w:lang w:val="en-US" w:eastAsia="zh-CN" w:bidi="ar"/>
                    </w:rPr>
                  </w:pPr>
                  <w:r>
                    <w:rPr>
                      <w:rFonts w:hint="eastAsia" w:ascii="Times New Roman" w:hAnsi="Times New Roman" w:eastAsia="宋体" w:cs="Times New Roman"/>
                      <w:b/>
                      <w:bCs/>
                      <w:i w:val="0"/>
                      <w:iCs w:val="0"/>
                      <w:color w:val="auto"/>
                      <w:kern w:val="0"/>
                      <w:sz w:val="21"/>
                      <w:szCs w:val="21"/>
                      <w:highlight w:val="none"/>
                      <w:u w:val="none"/>
                      <w:lang w:val="en-US" w:eastAsia="zh-CN" w:bidi="ar"/>
                    </w:rPr>
                    <w:t>选项</w:t>
                  </w:r>
                </w:p>
              </w:tc>
              <w:tc>
                <w:tcPr>
                  <w:tcW w:w="2920" w:type="dxa"/>
                  <w:vAlign w:val="center"/>
                </w:tcPr>
                <w:p w14:paraId="50B94AB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
                      <w:bCs/>
                      <w:i w:val="0"/>
                      <w:iCs w:val="0"/>
                      <w:color w:val="auto"/>
                      <w:kern w:val="0"/>
                      <w:sz w:val="21"/>
                      <w:szCs w:val="21"/>
                      <w:highlight w:val="none"/>
                      <w:u w:val="none"/>
                      <w:lang w:val="en-US" w:eastAsia="zh-CN" w:bidi="ar"/>
                    </w:rPr>
                  </w:pPr>
                  <w:r>
                    <w:rPr>
                      <w:rFonts w:hint="eastAsia" w:ascii="Times New Roman" w:hAnsi="Times New Roman" w:eastAsia="宋体" w:cs="Times New Roman"/>
                      <w:b/>
                      <w:bCs/>
                      <w:i w:val="0"/>
                      <w:iCs w:val="0"/>
                      <w:color w:val="auto"/>
                      <w:kern w:val="0"/>
                      <w:sz w:val="21"/>
                      <w:szCs w:val="21"/>
                      <w:highlight w:val="none"/>
                      <w:u w:val="none"/>
                      <w:lang w:val="en-US" w:eastAsia="zh-CN" w:bidi="ar"/>
                    </w:rPr>
                    <w:t>反馈数量</w:t>
                  </w:r>
                </w:p>
              </w:tc>
              <w:tc>
                <w:tcPr>
                  <w:tcW w:w="2802" w:type="dxa"/>
                  <w:vAlign w:val="center"/>
                </w:tcPr>
                <w:p w14:paraId="3D77463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
                      <w:bCs/>
                      <w:i w:val="0"/>
                      <w:iCs w:val="0"/>
                      <w:color w:val="auto"/>
                      <w:kern w:val="0"/>
                      <w:sz w:val="21"/>
                      <w:szCs w:val="21"/>
                      <w:highlight w:val="none"/>
                      <w:u w:val="none"/>
                      <w:lang w:val="en-US" w:eastAsia="zh-CN" w:bidi="ar"/>
                    </w:rPr>
                  </w:pPr>
                  <w:r>
                    <w:rPr>
                      <w:rFonts w:hint="eastAsia" w:ascii="Times New Roman" w:hAnsi="Times New Roman" w:eastAsia="宋体" w:cs="Times New Roman"/>
                      <w:b/>
                      <w:bCs/>
                      <w:i w:val="0"/>
                      <w:iCs w:val="0"/>
                      <w:color w:val="auto"/>
                      <w:kern w:val="0"/>
                      <w:sz w:val="21"/>
                      <w:szCs w:val="21"/>
                      <w:highlight w:val="none"/>
                      <w:u w:val="none"/>
                      <w:lang w:val="en-US" w:eastAsia="zh-CN" w:bidi="ar"/>
                    </w:rPr>
                    <w:t>占比 </w:t>
                  </w:r>
                </w:p>
              </w:tc>
            </w:tr>
            <w:tr w14:paraId="410B9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2778" w:type="dxa"/>
                  <w:vAlign w:val="center"/>
                </w:tcPr>
                <w:p w14:paraId="07BA6EA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非常满意</w:t>
                  </w:r>
                </w:p>
              </w:tc>
              <w:tc>
                <w:tcPr>
                  <w:tcW w:w="2920" w:type="dxa"/>
                  <w:vAlign w:val="center"/>
                </w:tcPr>
                <w:p w14:paraId="2C6D8D8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150</w:t>
                  </w:r>
                </w:p>
              </w:tc>
              <w:tc>
                <w:tcPr>
                  <w:tcW w:w="2802" w:type="dxa"/>
                  <w:vAlign w:val="center"/>
                </w:tcPr>
                <w:p w14:paraId="592F54F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68.5%</w:t>
                  </w:r>
                </w:p>
              </w:tc>
            </w:tr>
            <w:tr w14:paraId="06429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2778" w:type="dxa"/>
                  <w:vAlign w:val="center"/>
                </w:tcPr>
                <w:p w14:paraId="125707A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满意</w:t>
                  </w:r>
                </w:p>
              </w:tc>
              <w:tc>
                <w:tcPr>
                  <w:tcW w:w="2920" w:type="dxa"/>
                  <w:vAlign w:val="center"/>
                </w:tcPr>
                <w:p w14:paraId="724782D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55</w:t>
                  </w:r>
                </w:p>
              </w:tc>
              <w:tc>
                <w:tcPr>
                  <w:tcW w:w="2802" w:type="dxa"/>
                  <w:vAlign w:val="center"/>
                </w:tcPr>
                <w:p w14:paraId="705E970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25.1%</w:t>
                  </w:r>
                </w:p>
              </w:tc>
            </w:tr>
            <w:tr w14:paraId="636BA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2778" w:type="dxa"/>
                  <w:vAlign w:val="center"/>
                </w:tcPr>
                <w:p w14:paraId="7AAF14B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一般</w:t>
                  </w:r>
                </w:p>
              </w:tc>
              <w:tc>
                <w:tcPr>
                  <w:tcW w:w="2920" w:type="dxa"/>
                  <w:vAlign w:val="center"/>
                </w:tcPr>
                <w:p w14:paraId="61009FE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11</w:t>
                  </w:r>
                </w:p>
              </w:tc>
              <w:tc>
                <w:tcPr>
                  <w:tcW w:w="2802" w:type="dxa"/>
                  <w:vAlign w:val="center"/>
                </w:tcPr>
                <w:p w14:paraId="74ABB87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5.0%</w:t>
                  </w:r>
                </w:p>
              </w:tc>
            </w:tr>
            <w:tr w14:paraId="03614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2778" w:type="dxa"/>
                  <w:vAlign w:val="center"/>
                </w:tcPr>
                <w:p w14:paraId="7BBA047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不满意</w:t>
                  </w:r>
                </w:p>
              </w:tc>
              <w:tc>
                <w:tcPr>
                  <w:tcW w:w="2920" w:type="dxa"/>
                  <w:vAlign w:val="center"/>
                </w:tcPr>
                <w:p w14:paraId="7C86CE8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2</w:t>
                  </w:r>
                </w:p>
              </w:tc>
              <w:tc>
                <w:tcPr>
                  <w:tcW w:w="2802" w:type="dxa"/>
                  <w:vAlign w:val="center"/>
                </w:tcPr>
                <w:p w14:paraId="4354F29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0.9%</w:t>
                  </w:r>
                </w:p>
              </w:tc>
            </w:tr>
            <w:tr w14:paraId="2E52D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778" w:type="dxa"/>
                  <w:vAlign w:val="center"/>
                </w:tcPr>
                <w:p w14:paraId="4B7DA6B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非常不满意</w:t>
                  </w:r>
                </w:p>
              </w:tc>
              <w:tc>
                <w:tcPr>
                  <w:tcW w:w="2920" w:type="dxa"/>
                  <w:vAlign w:val="center"/>
                </w:tcPr>
                <w:p w14:paraId="6F596F0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w:t>
                  </w:r>
                </w:p>
              </w:tc>
              <w:tc>
                <w:tcPr>
                  <w:tcW w:w="2802" w:type="dxa"/>
                  <w:vAlign w:val="center"/>
                </w:tcPr>
                <w:p w14:paraId="0BD10CC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0.5%</w:t>
                  </w:r>
                </w:p>
              </w:tc>
            </w:tr>
          </w:tbl>
          <w:p w14:paraId="33CD5AD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lang w:val="en-US"/>
              </w:rPr>
            </w:pPr>
            <w:r>
              <w:rPr>
                <w:rFonts w:hint="default" w:ascii="Times New Roman" w:hAnsi="Times New Roman" w:eastAsia="宋体" w:cs="Times New Roman"/>
                <w:i w:val="0"/>
                <w:iCs w:val="0"/>
                <w:color w:val="auto"/>
                <w:kern w:val="0"/>
                <w:sz w:val="21"/>
                <w:szCs w:val="21"/>
                <w:highlight w:val="none"/>
                <w:u w:val="none"/>
                <w:lang w:val="en-US" w:eastAsia="zh-CN" w:bidi="ar"/>
              </w:rPr>
              <w:t>（</w:t>
            </w:r>
            <w:r>
              <w:rPr>
                <w:rFonts w:hint="eastAsia" w:ascii="Times New Roman" w:hAnsi="Times New Roman" w:eastAsia="宋体" w:cs="Times New Roman"/>
                <w:i w:val="0"/>
                <w:iCs w:val="0"/>
                <w:color w:val="auto"/>
                <w:kern w:val="0"/>
                <w:sz w:val="21"/>
                <w:szCs w:val="21"/>
                <w:highlight w:val="none"/>
                <w:u w:val="none"/>
                <w:lang w:val="en-US" w:eastAsia="zh-CN" w:bidi="ar"/>
              </w:rPr>
              <w:t>8</w:t>
            </w:r>
            <w:r>
              <w:rPr>
                <w:rFonts w:hint="default" w:ascii="Times New Roman" w:hAnsi="Times New Roman" w:eastAsia="宋体" w:cs="Times New Roman"/>
                <w:i w:val="0"/>
                <w:iCs w:val="0"/>
                <w:color w:val="auto"/>
                <w:kern w:val="0"/>
                <w:sz w:val="21"/>
                <w:szCs w:val="21"/>
                <w:highlight w:val="none"/>
                <w:u w:val="none"/>
                <w:lang w:val="en-US" w:eastAsia="zh-CN" w:bidi="ar"/>
              </w:rPr>
              <w:t>）</w:t>
            </w:r>
            <w:r>
              <w:rPr>
                <w:rFonts w:hint="eastAsia" w:ascii="Times New Roman" w:hAnsi="Times New Roman" w:eastAsia="宋体" w:cs="Times New Roman"/>
                <w:i w:val="0"/>
                <w:iCs w:val="0"/>
                <w:color w:val="auto"/>
                <w:kern w:val="0"/>
                <w:sz w:val="21"/>
                <w:szCs w:val="21"/>
                <w:highlight w:val="none"/>
                <w:u w:val="none"/>
                <w:lang w:val="en-US" w:eastAsia="zh-CN" w:bidi="ar"/>
              </w:rPr>
              <w:t>您对</w:t>
            </w:r>
            <w:r>
              <w:rPr>
                <w:rFonts w:hint="default" w:ascii="Times New Roman" w:hAnsi="Times New Roman" w:eastAsia="宋体" w:cs="Times New Roman"/>
                <w:i w:val="0"/>
                <w:iCs w:val="0"/>
                <w:color w:val="auto"/>
                <w:kern w:val="0"/>
                <w:sz w:val="21"/>
                <w:szCs w:val="21"/>
                <w:highlight w:val="none"/>
                <w:u w:val="none"/>
                <w:lang w:val="en-US" w:eastAsia="zh-CN" w:bidi="ar"/>
              </w:rPr>
              <w:t>成品油税费农村公路日常养护项目</w:t>
            </w:r>
            <w:r>
              <w:rPr>
                <w:rFonts w:hint="eastAsia" w:ascii="Times New Roman" w:hAnsi="Times New Roman" w:eastAsia="宋体" w:cs="Times New Roman"/>
                <w:i w:val="0"/>
                <w:iCs w:val="0"/>
                <w:color w:val="auto"/>
                <w:kern w:val="0"/>
                <w:sz w:val="21"/>
                <w:szCs w:val="21"/>
                <w:highlight w:val="none"/>
                <w:u w:val="none"/>
                <w:lang w:val="en-US" w:eastAsia="zh-CN" w:bidi="ar"/>
              </w:rPr>
              <w:t>有哪些意见和建议？</w:t>
            </w:r>
          </w:p>
        </w:tc>
      </w:tr>
      <w:tr w14:paraId="40697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5000" w:type="pct"/>
            <w:gridSpan w:val="3"/>
            <w:tcBorders>
              <w:top w:val="nil"/>
              <w:left w:val="nil"/>
              <w:bottom w:val="nil"/>
              <w:right w:val="nil"/>
            </w:tcBorders>
            <w:shd w:val="clear" w:color="auto" w:fill="auto"/>
            <w:vAlign w:val="center"/>
          </w:tcPr>
          <w:p w14:paraId="0E9CD07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4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无。</w:t>
            </w:r>
          </w:p>
        </w:tc>
      </w:tr>
    </w:tbl>
    <w:p w14:paraId="5A24D5B5">
      <w:pPr>
        <w:pageBreakBefore w:val="0"/>
        <w:kinsoku/>
        <w:wordWrap/>
        <w:overflowPunct/>
        <w:topLinePunct w:val="0"/>
        <w:autoSpaceDE/>
        <w:autoSpaceDN/>
        <w:bidi w:val="0"/>
        <w:snapToGrid w:val="0"/>
        <w:spacing w:line="360" w:lineRule="auto"/>
        <w:ind w:left="420" w:leftChars="200" w:firstLine="0" w:firstLineChars="0"/>
        <w:jc w:val="left"/>
        <w:rPr>
          <w:color w:val="auto"/>
          <w:highlight w:val="none"/>
        </w:rPr>
      </w:pPr>
    </w:p>
    <w:p w14:paraId="7EF64611">
      <w:pPr>
        <w:rPr>
          <w:color w:val="auto"/>
          <w:highlight w:val="none"/>
        </w:rPr>
      </w:pPr>
      <w:bookmarkStart w:id="133" w:name="_Toc32397"/>
      <w:bookmarkStart w:id="134" w:name="_Toc1574396789"/>
      <w:bookmarkStart w:id="135" w:name="_Toc17928"/>
      <w:bookmarkStart w:id="136" w:name="_Toc23223"/>
      <w:r>
        <w:rPr>
          <w:color w:val="auto"/>
          <w:highlight w:val="none"/>
        </w:rPr>
        <w:br w:type="page"/>
      </w:r>
    </w:p>
    <w:bookmarkEnd w:id="133"/>
    <w:bookmarkEnd w:id="134"/>
    <w:bookmarkEnd w:id="135"/>
    <w:bookmarkEnd w:id="136"/>
    <w:p w14:paraId="11347F20">
      <w:pPr>
        <w:pStyle w:val="4"/>
        <w:pageBreakBefore w:val="0"/>
        <w:kinsoku/>
        <w:wordWrap/>
        <w:overflowPunct/>
        <w:topLinePunct w:val="0"/>
        <w:autoSpaceDE/>
        <w:autoSpaceDN/>
        <w:bidi w:val="0"/>
        <w:snapToGrid w:val="0"/>
        <w:spacing w:line="360" w:lineRule="auto"/>
        <w:ind w:firstLine="0" w:firstLineChars="0"/>
        <w:rPr>
          <w:color w:val="auto"/>
          <w:highlight w:val="none"/>
        </w:rPr>
      </w:pPr>
      <w:bookmarkStart w:id="137" w:name="_Toc12827"/>
      <w:bookmarkStart w:id="138" w:name="_Toc1740818036"/>
      <w:bookmarkStart w:id="139" w:name="_Toc11057"/>
      <w:r>
        <w:rPr>
          <w:color w:val="auto"/>
          <w:highlight w:val="none"/>
        </w:rPr>
        <w:t>附件</w:t>
      </w:r>
      <w:r>
        <w:rPr>
          <w:rFonts w:hint="eastAsia"/>
          <w:color w:val="auto"/>
          <w:highlight w:val="none"/>
          <w:lang w:val="en-US" w:eastAsia="zh-CN"/>
        </w:rPr>
        <w:t>4</w:t>
      </w:r>
      <w:r>
        <w:rPr>
          <w:color w:val="auto"/>
          <w:highlight w:val="none"/>
        </w:rPr>
        <w:t>：</w:t>
      </w:r>
      <w:bookmarkEnd w:id="137"/>
      <w:r>
        <w:rPr>
          <w:color w:val="auto"/>
          <w:highlight w:val="none"/>
        </w:rPr>
        <w:t>绩效评价</w:t>
      </w:r>
      <w:r>
        <w:rPr>
          <w:rFonts w:hint="eastAsia"/>
          <w:color w:val="auto"/>
          <w:highlight w:val="none"/>
        </w:rPr>
        <w:t>工作沟通</w:t>
      </w:r>
      <w:r>
        <w:rPr>
          <w:color w:val="auto"/>
          <w:highlight w:val="none"/>
        </w:rPr>
        <w:t>反馈</w:t>
      </w:r>
      <w:r>
        <w:rPr>
          <w:rFonts w:hint="eastAsia"/>
          <w:color w:val="auto"/>
          <w:highlight w:val="none"/>
        </w:rPr>
        <w:t>结果</w:t>
      </w:r>
      <w:bookmarkEnd w:id="138"/>
      <w:bookmarkEnd w:id="139"/>
    </w:p>
    <w:p w14:paraId="10B825C4">
      <w:pPr>
        <w:pageBreakBefore w:val="0"/>
        <w:kinsoku/>
        <w:wordWrap/>
        <w:overflowPunct/>
        <w:topLinePunct w:val="0"/>
        <w:autoSpaceDE/>
        <w:autoSpaceDN/>
        <w:bidi w:val="0"/>
        <w:snapToGrid w:val="0"/>
        <w:spacing w:line="360" w:lineRule="auto"/>
        <w:ind w:firstLine="0" w:firstLineChars="0"/>
        <w:rPr>
          <w:rFonts w:hint="eastAsia" w:eastAsia="黑体"/>
          <w:color w:val="auto"/>
          <w:highlight w:val="none"/>
          <w:lang w:eastAsia="zh-CN"/>
        </w:rPr>
      </w:pPr>
      <w:r>
        <w:rPr>
          <w:rFonts w:hint="eastAsia" w:eastAsia="黑体"/>
          <w:color w:val="auto"/>
          <w:highlight w:val="none"/>
          <w:lang w:eastAsia="zh-CN"/>
        </w:rPr>
        <w:drawing>
          <wp:inline distT="0" distB="0" distL="114300" distR="114300">
            <wp:extent cx="5273040" cy="7459980"/>
            <wp:effectExtent l="0" t="0" r="10160" b="7620"/>
            <wp:docPr id="2" name="图片 2" descr="成品油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成品油_01"/>
                    <pic:cNvPicPr>
                      <a:picLocks noChangeAspect="1"/>
                    </pic:cNvPicPr>
                  </pic:nvPicPr>
                  <pic:blipFill>
                    <a:blip r:embed="rId18"/>
                    <a:stretch>
                      <a:fillRect/>
                    </a:stretch>
                  </pic:blipFill>
                  <pic:spPr>
                    <a:xfrm>
                      <a:off x="0" y="0"/>
                      <a:ext cx="5273040" cy="7459980"/>
                    </a:xfrm>
                    <a:prstGeom prst="rect">
                      <a:avLst/>
                    </a:prstGeom>
                  </pic:spPr>
                </pic:pic>
              </a:graphicData>
            </a:graphic>
          </wp:inline>
        </w:drawing>
      </w:r>
    </w:p>
    <w:p w14:paraId="7126EA49">
      <w:pPr>
        <w:pStyle w:val="2"/>
        <w:rPr>
          <w:rFonts w:hint="eastAsia"/>
          <w:color w:val="auto"/>
          <w:highlight w:val="none"/>
          <w:lang w:eastAsia="zh-CN"/>
        </w:rPr>
        <w:sectPr>
          <w:footerReference r:id="rId16" w:type="default"/>
          <w:pgSz w:w="11906" w:h="16838"/>
          <w:pgMar w:top="1440" w:right="1800" w:bottom="1440" w:left="1800" w:header="851" w:footer="907" w:gutter="0"/>
          <w:cols w:space="425" w:num="1"/>
          <w:docGrid w:type="lines" w:linePitch="312" w:charSpace="0"/>
        </w:sectPr>
      </w:pPr>
    </w:p>
    <w:p w14:paraId="1C9310C3">
      <w:pPr>
        <w:pStyle w:val="3"/>
        <w:rPr>
          <w:rFonts w:hint="eastAsia"/>
          <w:color w:val="auto"/>
          <w:highlight w:val="none"/>
          <w:lang w:eastAsia="zh-CN"/>
        </w:rPr>
      </w:pPr>
      <w:r>
        <w:rPr>
          <w:rFonts w:hint="eastAsia"/>
          <w:color w:val="auto"/>
          <w:highlight w:val="none"/>
          <w:lang w:eastAsia="zh-CN"/>
        </w:rPr>
        <w:drawing>
          <wp:anchor distT="0" distB="0" distL="114300" distR="114300" simplePos="0" relativeHeight="251659264" behindDoc="0" locked="0" layoutInCell="1" allowOverlap="1">
            <wp:simplePos x="0" y="0"/>
            <wp:positionH relativeFrom="column">
              <wp:posOffset>123825</wp:posOffset>
            </wp:positionH>
            <wp:positionV relativeFrom="paragraph">
              <wp:posOffset>396875</wp:posOffset>
            </wp:positionV>
            <wp:extent cx="5273040" cy="7459980"/>
            <wp:effectExtent l="0" t="0" r="10160" b="7620"/>
            <wp:wrapSquare wrapText="bothSides"/>
            <wp:docPr id="4" name="图片 4" descr="绩效评价报告主管部门意见反馈表—主管单位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绩效评价报告主管部门意见反馈表—主管单位_01"/>
                    <pic:cNvPicPr>
                      <a:picLocks noChangeAspect="1"/>
                    </pic:cNvPicPr>
                  </pic:nvPicPr>
                  <pic:blipFill>
                    <a:blip r:embed="rId19"/>
                    <a:stretch>
                      <a:fillRect/>
                    </a:stretch>
                  </pic:blipFill>
                  <pic:spPr>
                    <a:xfrm>
                      <a:off x="0" y="0"/>
                      <a:ext cx="5273040" cy="7459980"/>
                    </a:xfrm>
                    <a:prstGeom prst="rect">
                      <a:avLst/>
                    </a:prstGeom>
                  </pic:spPr>
                </pic:pic>
              </a:graphicData>
            </a:graphic>
          </wp:anchor>
        </w:drawing>
      </w:r>
    </w:p>
    <w:sectPr>
      <w:pgSz w:w="11906" w:h="16838"/>
      <w:pgMar w:top="1440" w:right="1800" w:bottom="1440" w:left="1800" w:header="851" w:footer="907"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76F7A1">
    <w:pPr>
      <w:pStyle w:val="13"/>
      <w:ind w:right="72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BC154">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8509CE">
    <w:pPr>
      <w:pStyle w:val="1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D1DB8">
    <w:pPr>
      <w:pStyle w:val="13"/>
      <w:ind w:firstLine="360"/>
      <w:jc w:val="right"/>
    </w:pPr>
    <w:r>
      <mc:AlternateContent>
        <mc:Choice Requires="wps">
          <w:drawing>
            <wp:anchor distT="0" distB="0" distL="114300" distR="114300" simplePos="0" relativeHeight="251660288" behindDoc="0" locked="0" layoutInCell="1" allowOverlap="1">
              <wp:simplePos x="0" y="0"/>
              <wp:positionH relativeFrom="margin">
                <wp:posOffset>2633980</wp:posOffset>
              </wp:positionH>
              <wp:positionV relativeFrom="paragraph">
                <wp:posOffset>8255</wp:posOffset>
              </wp:positionV>
              <wp:extent cx="326390" cy="12319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26390" cy="123190"/>
                      </a:xfrm>
                      <a:prstGeom prst="rect">
                        <a:avLst/>
                      </a:prstGeom>
                      <a:noFill/>
                      <a:ln>
                        <a:noFill/>
                      </a:ln>
                    </wps:spPr>
                    <wps:txbx>
                      <w:txbxContent>
                        <w:p w14:paraId="63C87E4B">
                          <w:pPr>
                            <w:pStyle w:val="13"/>
                            <w:spacing w:line="240" w:lineRule="auto"/>
                            <w:ind w:firstLine="0" w:firstLineChars="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II</w:t>
                          </w:r>
                          <w:r>
                            <w:rPr>
                              <w:sz w:val="21"/>
                              <w:szCs w:val="21"/>
                            </w:rPr>
                            <w:fldChar w:fldCharType="end"/>
                          </w:r>
                        </w:p>
                      </w:txbxContent>
                    </wps:txbx>
                    <wps:bodyPr lIns="0" tIns="0" rIns="0" bIns="0">
                      <a:noAutofit/>
                    </wps:bodyPr>
                  </wps:wsp>
                </a:graphicData>
              </a:graphic>
            </wp:anchor>
          </w:drawing>
        </mc:Choice>
        <mc:Fallback>
          <w:pict>
            <v:shape id="_x0000_s1026" o:spid="_x0000_s1026" o:spt="202" type="#_x0000_t202" style="position:absolute;left:0pt;margin-left:207.4pt;margin-top:0.65pt;height:9.7pt;width:25.7pt;mso-position-horizontal-relative:margin;z-index:251660288;mso-width-relative:page;mso-height-relative:page;" filled="f" stroked="f" coordsize="21600,21600" o:gfxdata="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BzfrPa1wAAAAgBAAAPAAAAAAAAAAEAIAAAACIAAABkcnMvZG93bnJldi54bWxQSwEC&#10;FAAUAAAACACHTuJAyZZBwrwBAAB/AwAADgAAAAAAAAABACAAAAAmAQAAZHJzL2Uyb0RvYy54bWxQ&#10;SwUGAAAAAAYABgBZAQAAVAUAAAAA&#10;">
              <v:fill on="f" focussize="0,0"/>
              <v:stroke on="f"/>
              <v:imagedata o:title=""/>
              <o:lock v:ext="edit" aspectratio="f"/>
              <v:textbox inset="0mm,0mm,0mm,0mm">
                <w:txbxContent>
                  <w:p w14:paraId="63C87E4B">
                    <w:pPr>
                      <w:pStyle w:val="13"/>
                      <w:spacing w:line="240" w:lineRule="auto"/>
                      <w:ind w:firstLine="0" w:firstLineChars="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II</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FDF22">
    <w:pPr>
      <w:pStyle w:val="13"/>
      <w:ind w:firstLine="0" w:firstLineChars="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szCs w:val="21"/>
      </w:rPr>
      <w:id w:val="-1"/>
      <w:docPartObj>
        <w:docPartGallery w:val="autotext"/>
      </w:docPartObj>
    </w:sdtPr>
    <w:sdtEndPr>
      <w:rPr>
        <w:sz w:val="21"/>
        <w:szCs w:val="21"/>
      </w:rPr>
    </w:sdtEndPr>
    <w:sdtContent>
      <w:p w14:paraId="3D9FEFD1">
        <w:pPr>
          <w:pStyle w:val="13"/>
          <w:spacing w:line="240" w:lineRule="auto"/>
          <w:ind w:firstLine="0" w:firstLineChars="0"/>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w:t>
        </w:r>
        <w:r>
          <w:rPr>
            <w:sz w:val="21"/>
            <w:szCs w:val="21"/>
          </w:rPr>
          <w:fldChar w:fldCharType="end"/>
        </w:r>
      </w:p>
    </w:sdtContent>
  </w:sdt>
  <w:p w14:paraId="0F7F4679">
    <w:pPr>
      <w:pStyle w:val="13"/>
      <w:spacing w:line="240" w:lineRule="auto"/>
      <w:ind w:firstLine="0" w:firstLineChars="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0654414"/>
      <w:docPartObj>
        <w:docPartGallery w:val="autotext"/>
      </w:docPartObj>
    </w:sdtPr>
    <w:sdtContent>
      <w:p w14:paraId="5534C714">
        <w:pPr>
          <w:pStyle w:val="13"/>
          <w:spacing w:line="240" w:lineRule="auto"/>
          <w:ind w:firstLine="0" w:firstLineChars="0"/>
          <w:jc w:val="both"/>
        </w:pPr>
        <w:r>
          <w:fldChar w:fldCharType="begin"/>
        </w:r>
        <w:r>
          <w:instrText xml:space="preserve">PAGE   \* MERGEFORMAT</w:instrText>
        </w:r>
        <w:r>
          <w:fldChar w:fldCharType="separate"/>
        </w:r>
        <w:r>
          <w:rPr>
            <w:lang w:val="zh-CN"/>
          </w:rPr>
          <w:t>7</w:t>
        </w:r>
        <w: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szCs w:val="21"/>
      </w:rPr>
      <w:id w:val="539251423"/>
      <w:docPartObj>
        <w:docPartGallery w:val="autotext"/>
      </w:docPartObj>
    </w:sdtPr>
    <w:sdtEndPr>
      <w:rPr>
        <w:sz w:val="21"/>
        <w:szCs w:val="21"/>
      </w:rPr>
    </w:sdtEndPr>
    <w:sdtContent>
      <w:p w14:paraId="68D56D42">
        <w:pPr>
          <w:pStyle w:val="13"/>
          <w:spacing w:line="240" w:lineRule="auto"/>
          <w:ind w:firstLine="0" w:firstLineChars="0"/>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11</w:t>
        </w:r>
        <w:r>
          <w:rPr>
            <w:sz w:val="21"/>
            <w:szCs w:val="21"/>
          </w:rPr>
          <w:fldChar w:fldCharType="end"/>
        </w:r>
      </w:p>
    </w:sdtContent>
  </w:sdt>
  <w:p w14:paraId="753E79A7">
    <w:pPr>
      <w:pStyle w:val="13"/>
      <w:spacing w:line="240" w:lineRule="auto"/>
      <w:ind w:firstLine="0" w:firstLineChars="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68E4B">
    <w:pPr>
      <w:pStyle w:val="14"/>
      <w:pBdr>
        <w:bottom w:val="none" w:color="auto" w:sz="0" w:space="0"/>
      </w:pBdr>
      <w:adjustRightInd/>
      <w:spacing w:line="240" w:lineRule="auto"/>
      <w:ind w:firstLine="0" w:firstLineChars="0"/>
      <w:jc w:val="right"/>
      <w:rPr>
        <w:rFonts w:ascii="黑体" w:hAnsi="黑体" w:eastAsia="黑体" w:cs="黑体"/>
        <w:b/>
        <w:bCs/>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B93AD">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2B77D0">
    <w:pPr>
      <w:pStyle w:val="14"/>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355E5">
    <w:pPr>
      <w:pStyle w:val="14"/>
      <w:pBdr>
        <w:bottom w:val="single" w:color="auto" w:sz="4" w:space="0"/>
      </w:pBdr>
      <w:ind w:firstLine="0" w:firstLineChars="0"/>
      <w:jc w:val="right"/>
      <w:rPr>
        <w:rFonts w:ascii="黑体" w:hAnsi="黑体" w:eastAsia="黑体" w:cs="黑体"/>
        <w:b/>
        <w:bCs/>
        <w:color w:val="FF0000"/>
        <w:sz w:val="15"/>
        <w:szCs w:val="15"/>
      </w:rPr>
    </w:pPr>
    <w:r>
      <w:rPr>
        <w:rFonts w:hint="eastAsia" w:ascii="黑体" w:hAnsi="黑体" w:eastAsia="黑体" w:cs="黑体"/>
        <w:b/>
        <w:bCs/>
        <w:color w:val="auto"/>
        <w:sz w:val="15"/>
        <w:szCs w:val="15"/>
        <w:lang w:val="en-US" w:eastAsia="zh-CN"/>
      </w:rPr>
      <w:t>伊宁县成品油税费农村公路日常养护项目</w:t>
    </w:r>
    <w:r>
      <w:rPr>
        <w:rFonts w:hint="eastAsia" w:ascii="黑体" w:hAnsi="黑体" w:eastAsia="黑体" w:cs="黑体"/>
        <w:b/>
        <w:bCs/>
        <w:color w:val="auto"/>
        <w:sz w:val="15"/>
        <w:szCs w:val="15"/>
      </w:rPr>
      <w:t>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62C5B"/>
    <w:multiLevelType w:val="singleLevel"/>
    <w:tmpl w:val="DF762C5B"/>
    <w:lvl w:ilvl="0" w:tentative="0">
      <w:start w:val="7"/>
      <w:numFmt w:val="decimal"/>
      <w:suff w:val="nothing"/>
      <w:lvlText w:val="（%1）"/>
      <w:lvlJc w:val="left"/>
    </w:lvl>
  </w:abstractNum>
  <w:abstractNum w:abstractNumId="1">
    <w:nsid w:val="7279C4F3"/>
    <w:multiLevelType w:val="singleLevel"/>
    <w:tmpl w:val="7279C4F3"/>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yN2QyNzY1MGQyMDA0NmQyYjYxNzZhOTdlZDU0MTgifQ=="/>
  </w:docVars>
  <w:rsids>
    <w:rsidRoot w:val="00A03703"/>
    <w:rsid w:val="00144E57"/>
    <w:rsid w:val="001944E3"/>
    <w:rsid w:val="0020458F"/>
    <w:rsid w:val="00207014"/>
    <w:rsid w:val="00252009"/>
    <w:rsid w:val="002550B3"/>
    <w:rsid w:val="0036398D"/>
    <w:rsid w:val="0041395F"/>
    <w:rsid w:val="00426245"/>
    <w:rsid w:val="005328D6"/>
    <w:rsid w:val="006C6562"/>
    <w:rsid w:val="00774338"/>
    <w:rsid w:val="00813149"/>
    <w:rsid w:val="00837A57"/>
    <w:rsid w:val="00A03703"/>
    <w:rsid w:val="00A15A88"/>
    <w:rsid w:val="00C32FFE"/>
    <w:rsid w:val="00C83FDF"/>
    <w:rsid w:val="00CA14B6"/>
    <w:rsid w:val="00D265A7"/>
    <w:rsid w:val="00D50A30"/>
    <w:rsid w:val="00E12696"/>
    <w:rsid w:val="00EE50F7"/>
    <w:rsid w:val="02B45E0D"/>
    <w:rsid w:val="04542819"/>
    <w:rsid w:val="054F6B54"/>
    <w:rsid w:val="05A42091"/>
    <w:rsid w:val="09213AB8"/>
    <w:rsid w:val="0950746A"/>
    <w:rsid w:val="09E65C14"/>
    <w:rsid w:val="0C69230C"/>
    <w:rsid w:val="0E4B13F3"/>
    <w:rsid w:val="0EC86014"/>
    <w:rsid w:val="0F0F17D3"/>
    <w:rsid w:val="114333A1"/>
    <w:rsid w:val="11C83272"/>
    <w:rsid w:val="133D09EF"/>
    <w:rsid w:val="13513B8A"/>
    <w:rsid w:val="178025FC"/>
    <w:rsid w:val="1821504C"/>
    <w:rsid w:val="183F5D65"/>
    <w:rsid w:val="184B14B9"/>
    <w:rsid w:val="1C601F5D"/>
    <w:rsid w:val="1C9D6D92"/>
    <w:rsid w:val="1DE7118A"/>
    <w:rsid w:val="1E5F5CBE"/>
    <w:rsid w:val="1E9C4BDE"/>
    <w:rsid w:val="20070B5C"/>
    <w:rsid w:val="208800D4"/>
    <w:rsid w:val="20AC0F62"/>
    <w:rsid w:val="20E91BAB"/>
    <w:rsid w:val="21423BBF"/>
    <w:rsid w:val="23A3264F"/>
    <w:rsid w:val="23B14FE2"/>
    <w:rsid w:val="257F5FA5"/>
    <w:rsid w:val="25861D82"/>
    <w:rsid w:val="25AF6319"/>
    <w:rsid w:val="25F7546A"/>
    <w:rsid w:val="26397A1A"/>
    <w:rsid w:val="270D7927"/>
    <w:rsid w:val="27B040AC"/>
    <w:rsid w:val="290E03B0"/>
    <w:rsid w:val="29702C86"/>
    <w:rsid w:val="298A50E2"/>
    <w:rsid w:val="2A67572B"/>
    <w:rsid w:val="2A762CF3"/>
    <w:rsid w:val="2AAD1304"/>
    <w:rsid w:val="2B69338D"/>
    <w:rsid w:val="2CD07DE1"/>
    <w:rsid w:val="2ED762FD"/>
    <w:rsid w:val="304C620A"/>
    <w:rsid w:val="30BB1AA0"/>
    <w:rsid w:val="33484DD4"/>
    <w:rsid w:val="33836C49"/>
    <w:rsid w:val="349FD07A"/>
    <w:rsid w:val="35957058"/>
    <w:rsid w:val="35A53AD6"/>
    <w:rsid w:val="361C228F"/>
    <w:rsid w:val="3679323D"/>
    <w:rsid w:val="372A5C55"/>
    <w:rsid w:val="37823126"/>
    <w:rsid w:val="38A300D6"/>
    <w:rsid w:val="398D26CB"/>
    <w:rsid w:val="3AEF3BB8"/>
    <w:rsid w:val="3B0D1525"/>
    <w:rsid w:val="3D6375B4"/>
    <w:rsid w:val="3DAF0D3F"/>
    <w:rsid w:val="3DB50D85"/>
    <w:rsid w:val="44F06579"/>
    <w:rsid w:val="45523BE4"/>
    <w:rsid w:val="464D4A6A"/>
    <w:rsid w:val="46C965F0"/>
    <w:rsid w:val="46D1728D"/>
    <w:rsid w:val="47523ED8"/>
    <w:rsid w:val="49516307"/>
    <w:rsid w:val="4C6E6818"/>
    <w:rsid w:val="4D2646B1"/>
    <w:rsid w:val="4E087DE7"/>
    <w:rsid w:val="4E543563"/>
    <w:rsid w:val="4E8C5DAC"/>
    <w:rsid w:val="4EF16AB7"/>
    <w:rsid w:val="50D4744D"/>
    <w:rsid w:val="5487193A"/>
    <w:rsid w:val="560B5008"/>
    <w:rsid w:val="56921B6A"/>
    <w:rsid w:val="57340D8E"/>
    <w:rsid w:val="58245143"/>
    <w:rsid w:val="58DE2219"/>
    <w:rsid w:val="593F3897"/>
    <w:rsid w:val="5A09562C"/>
    <w:rsid w:val="5C6B645D"/>
    <w:rsid w:val="5D382BE7"/>
    <w:rsid w:val="5DEE6DAA"/>
    <w:rsid w:val="5E484837"/>
    <w:rsid w:val="5E606702"/>
    <w:rsid w:val="5F470E2F"/>
    <w:rsid w:val="62E0626E"/>
    <w:rsid w:val="64396801"/>
    <w:rsid w:val="649B41FB"/>
    <w:rsid w:val="64A745E2"/>
    <w:rsid w:val="64F61D79"/>
    <w:rsid w:val="64FF2692"/>
    <w:rsid w:val="662434E5"/>
    <w:rsid w:val="6631134F"/>
    <w:rsid w:val="66CA3897"/>
    <w:rsid w:val="6874051F"/>
    <w:rsid w:val="68D511B8"/>
    <w:rsid w:val="6AAF4400"/>
    <w:rsid w:val="6BC8789F"/>
    <w:rsid w:val="6CA65E33"/>
    <w:rsid w:val="6D5E5248"/>
    <w:rsid w:val="6D8E15BD"/>
    <w:rsid w:val="6EA7498F"/>
    <w:rsid w:val="6EF72976"/>
    <w:rsid w:val="71F238C8"/>
    <w:rsid w:val="726C71D4"/>
    <w:rsid w:val="72E96A79"/>
    <w:rsid w:val="74CE37B6"/>
    <w:rsid w:val="75B975B2"/>
    <w:rsid w:val="763A6C27"/>
    <w:rsid w:val="76C84BF7"/>
    <w:rsid w:val="76EE465E"/>
    <w:rsid w:val="776C8B73"/>
    <w:rsid w:val="77C202CB"/>
    <w:rsid w:val="77F92996"/>
    <w:rsid w:val="78BC5A4B"/>
    <w:rsid w:val="78CE1FE7"/>
    <w:rsid w:val="78D173E0"/>
    <w:rsid w:val="7A0E2437"/>
    <w:rsid w:val="7A374B97"/>
    <w:rsid w:val="7B7502D0"/>
    <w:rsid w:val="7B8F46AC"/>
    <w:rsid w:val="7BF267D8"/>
    <w:rsid w:val="7C8073F5"/>
    <w:rsid w:val="7D657264"/>
    <w:rsid w:val="7D880423"/>
    <w:rsid w:val="7DAB2F53"/>
    <w:rsid w:val="7F24129D"/>
    <w:rsid w:val="7FD82D8C"/>
    <w:rsid w:val="9A5E12E9"/>
    <w:rsid w:val="BF9D96C6"/>
    <w:rsid w:val="DFFBA398"/>
    <w:rsid w:val="DFFBD6E3"/>
    <w:rsid w:val="F7A30022"/>
    <w:rsid w:val="F8FF1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90" w:lineRule="exact"/>
      <w:ind w:firstLine="883" w:firstLineChars="200"/>
      <w:jc w:val="both"/>
    </w:pPr>
    <w:rPr>
      <w:rFonts w:ascii="Times New Roman" w:hAnsi="Times New Roman" w:cs="Times New Roman" w:eastAsiaTheme="minorEastAsia"/>
      <w:kern w:val="2"/>
      <w:sz w:val="21"/>
      <w:szCs w:val="21"/>
      <w:lang w:val="en-US" w:eastAsia="zh-CN" w:bidi="ar-SA"/>
    </w:rPr>
  </w:style>
  <w:style w:type="paragraph" w:styleId="4">
    <w:name w:val="heading 1"/>
    <w:basedOn w:val="1"/>
    <w:next w:val="1"/>
    <w:link w:val="33"/>
    <w:qFormat/>
    <w:uiPriority w:val="99"/>
    <w:pPr>
      <w:keepNext/>
      <w:keepLines/>
      <w:spacing w:before="260" w:after="260"/>
      <w:outlineLvl w:val="0"/>
    </w:pPr>
    <w:rPr>
      <w:b/>
      <w:bCs/>
      <w:kern w:val="44"/>
      <w:sz w:val="24"/>
      <w:szCs w:val="44"/>
    </w:rPr>
  </w:style>
  <w:style w:type="paragraph" w:styleId="5">
    <w:name w:val="heading 2"/>
    <w:basedOn w:val="1"/>
    <w:next w:val="1"/>
    <w:qFormat/>
    <w:uiPriority w:val="0"/>
    <w:pPr>
      <w:keepNext/>
      <w:keepLines/>
      <w:spacing w:before="100" w:after="100"/>
      <w:jc w:val="left"/>
      <w:outlineLvl w:val="1"/>
    </w:pPr>
    <w:rPr>
      <w:rFonts w:ascii="Cambria" w:hAnsi="Cambria"/>
      <w:b/>
      <w:bCs/>
      <w:kern w:val="0"/>
      <w:sz w:val="24"/>
      <w:szCs w:val="32"/>
    </w:rPr>
  </w:style>
  <w:style w:type="paragraph" w:styleId="6">
    <w:name w:val="heading 3"/>
    <w:basedOn w:val="1"/>
    <w:next w:val="7"/>
    <w:qFormat/>
    <w:uiPriority w:val="99"/>
    <w:pPr>
      <w:keepNext/>
      <w:keepLines/>
      <w:outlineLvl w:val="2"/>
    </w:pPr>
    <w:rPr>
      <w:rFonts w:ascii="仿宋_GB2312" w:hAnsi="仿宋_GB2312"/>
      <w:b/>
      <w:bCs/>
      <w:kern w:val="0"/>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Body Text 2"/>
    <w:basedOn w:val="1"/>
    <w:qFormat/>
    <w:uiPriority w:val="0"/>
    <w:pPr>
      <w:spacing w:after="120" w:line="480" w:lineRule="auto"/>
    </w:pPr>
    <w:rPr>
      <w:rFonts w:eastAsia="宋体"/>
    </w:rPr>
  </w:style>
  <w:style w:type="paragraph" w:styleId="7">
    <w:name w:val="Normal Indent"/>
    <w:basedOn w:val="1"/>
    <w:next w:val="8"/>
    <w:qFormat/>
    <w:uiPriority w:val="0"/>
    <w:pPr>
      <w:ind w:firstLine="420"/>
    </w:pPr>
  </w:style>
  <w:style w:type="paragraph" w:styleId="8">
    <w:name w:val="toc 4"/>
    <w:basedOn w:val="1"/>
    <w:next w:val="1"/>
    <w:qFormat/>
    <w:uiPriority w:val="0"/>
    <w:pPr>
      <w:ind w:left="1260" w:leftChars="600"/>
    </w:pPr>
  </w:style>
  <w:style w:type="paragraph" w:styleId="9">
    <w:name w:val="annotation text"/>
    <w:basedOn w:val="1"/>
    <w:unhideWhenUsed/>
    <w:qFormat/>
    <w:uiPriority w:val="99"/>
    <w:rPr>
      <w:rFonts w:ascii="Calibri" w:hAnsi="Calibri" w:eastAsia="仿宋"/>
      <w:kern w:val="0"/>
      <w:sz w:val="24"/>
      <w:szCs w:val="20"/>
    </w:rPr>
  </w:style>
  <w:style w:type="paragraph" w:styleId="10">
    <w:name w:val="Body Text Indent"/>
    <w:basedOn w:val="1"/>
    <w:qFormat/>
    <w:uiPriority w:val="0"/>
    <w:pPr>
      <w:ind w:firstLine="570"/>
    </w:pPr>
    <w:rPr>
      <w:rFonts w:eastAsia="宋体"/>
      <w:sz w:val="24"/>
    </w:rPr>
  </w:style>
  <w:style w:type="paragraph" w:styleId="11">
    <w:name w:val="Plain Text"/>
    <w:basedOn w:val="1"/>
    <w:qFormat/>
    <w:uiPriority w:val="0"/>
    <w:pPr>
      <w:spacing w:line="240" w:lineRule="atLeast"/>
    </w:pPr>
    <w:rPr>
      <w:rFonts w:ascii="宋体" w:hAnsi="Courier New" w:eastAsia="宋体"/>
      <w:sz w:val="24"/>
      <w:szCs w:val="20"/>
    </w:rPr>
  </w:style>
  <w:style w:type="paragraph" w:styleId="12">
    <w:name w:val="Balloon Text"/>
    <w:basedOn w:val="1"/>
    <w:link w:val="32"/>
    <w:semiHidden/>
    <w:unhideWhenUsed/>
    <w:qFormat/>
    <w:uiPriority w:val="99"/>
    <w:pPr>
      <w:spacing w:line="240" w:lineRule="auto"/>
    </w:pPr>
    <w:rPr>
      <w:sz w:val="18"/>
      <w:szCs w:val="18"/>
    </w:rPr>
  </w:style>
  <w:style w:type="paragraph" w:styleId="13">
    <w:name w:val="footer"/>
    <w:basedOn w:val="1"/>
    <w:link w:val="24"/>
    <w:unhideWhenUsed/>
    <w:qFormat/>
    <w:uiPriority w:val="99"/>
    <w:pPr>
      <w:tabs>
        <w:tab w:val="center" w:pos="4153"/>
        <w:tab w:val="right" w:pos="8306"/>
      </w:tabs>
      <w:jc w:val="left"/>
    </w:pPr>
    <w:rPr>
      <w:sz w:val="18"/>
      <w:szCs w:val="18"/>
    </w:rPr>
  </w:style>
  <w:style w:type="paragraph" w:styleId="14">
    <w:name w:val="header"/>
    <w:basedOn w:val="1"/>
    <w:link w:val="23"/>
    <w:unhideWhenUsed/>
    <w:qFormat/>
    <w:uiPriority w:val="99"/>
    <w:pPr>
      <w:pBdr>
        <w:bottom w:val="single" w:color="auto" w:sz="6" w:space="1"/>
      </w:pBdr>
      <w:tabs>
        <w:tab w:val="center" w:pos="4153"/>
        <w:tab w:val="right" w:pos="8306"/>
      </w:tabs>
      <w:jc w:val="center"/>
    </w:pPr>
    <w:rPr>
      <w:sz w:val="18"/>
      <w:szCs w:val="18"/>
    </w:rPr>
  </w:style>
  <w:style w:type="paragraph" w:styleId="15">
    <w:name w:val="toc 1"/>
    <w:basedOn w:val="1"/>
    <w:next w:val="1"/>
    <w:qFormat/>
    <w:uiPriority w:val="39"/>
    <w:pPr>
      <w:tabs>
        <w:tab w:val="right" w:leader="dot" w:pos="9356"/>
      </w:tabs>
      <w:ind w:firstLine="0" w:firstLineChars="0"/>
    </w:pPr>
    <w:rPr>
      <w:rFonts w:ascii="黑体" w:hAnsi="黑体" w:cs="仿宋_GB2312"/>
      <w:bCs/>
      <w:color w:val="000000"/>
      <w:kern w:val="0"/>
      <w:sz w:val="28"/>
      <w:szCs w:val="28"/>
    </w:rPr>
  </w:style>
  <w:style w:type="paragraph" w:styleId="16">
    <w:name w:val="toc 2"/>
    <w:basedOn w:val="1"/>
    <w:next w:val="1"/>
    <w:semiHidden/>
    <w:unhideWhenUsed/>
    <w:qFormat/>
    <w:uiPriority w:val="39"/>
    <w:pPr>
      <w:ind w:firstLine="663" w:firstLineChars="150"/>
    </w:pPr>
    <w:rPr>
      <w:sz w:val="24"/>
    </w:rPr>
  </w:style>
  <w:style w:type="paragraph" w:styleId="17">
    <w:name w:val="Body Text First Indent 2"/>
    <w:basedOn w:val="10"/>
    <w:qFormat/>
    <w:uiPriority w:val="0"/>
    <w:pPr>
      <w:ind w:firstLine="420"/>
    </w:pPr>
  </w:style>
  <w:style w:type="table" w:styleId="19">
    <w:name w:val="Table Grid"/>
    <w:basedOn w:val="1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basedOn w:val="20"/>
    <w:qFormat/>
    <w:uiPriority w:val="0"/>
  </w:style>
  <w:style w:type="character" w:styleId="22">
    <w:name w:val="annotation reference"/>
    <w:basedOn w:val="20"/>
    <w:semiHidden/>
    <w:unhideWhenUsed/>
    <w:qFormat/>
    <w:uiPriority w:val="99"/>
    <w:rPr>
      <w:sz w:val="21"/>
      <w:szCs w:val="21"/>
    </w:rPr>
  </w:style>
  <w:style w:type="character" w:customStyle="1" w:styleId="23">
    <w:name w:val="页眉 Char"/>
    <w:basedOn w:val="20"/>
    <w:link w:val="14"/>
    <w:qFormat/>
    <w:uiPriority w:val="99"/>
    <w:rPr>
      <w:sz w:val="18"/>
      <w:szCs w:val="18"/>
    </w:rPr>
  </w:style>
  <w:style w:type="character" w:customStyle="1" w:styleId="24">
    <w:name w:val="页脚 Char"/>
    <w:basedOn w:val="20"/>
    <w:link w:val="13"/>
    <w:qFormat/>
    <w:uiPriority w:val="99"/>
    <w:rPr>
      <w:sz w:val="18"/>
      <w:szCs w:val="18"/>
    </w:rPr>
  </w:style>
  <w:style w:type="paragraph" w:customStyle="1" w:styleId="25">
    <w:name w:val="闻政-正文二级标题"/>
    <w:basedOn w:val="5"/>
    <w:next w:val="26"/>
    <w:qFormat/>
    <w:uiPriority w:val="3"/>
    <w:pPr>
      <w:spacing w:before="120" w:after="60" w:line="500" w:lineRule="exact"/>
      <w:ind w:left="200" w:leftChars="200" w:firstLine="0" w:firstLineChars="0"/>
    </w:pPr>
    <w:rPr>
      <w:rFonts w:ascii="Times New Roman" w:hAnsi="Times New Roman"/>
      <w:sz w:val="28"/>
    </w:rPr>
  </w:style>
  <w:style w:type="paragraph" w:customStyle="1" w:styleId="26">
    <w:name w:val="闻政-正文段落文字"/>
    <w:basedOn w:val="1"/>
    <w:qFormat/>
    <w:uiPriority w:val="3"/>
    <w:pPr>
      <w:spacing w:line="500" w:lineRule="exact"/>
      <w:ind w:firstLine="200"/>
    </w:pPr>
    <w:rPr>
      <w:kern w:val="0"/>
      <w:szCs w:val="28"/>
    </w:rPr>
  </w:style>
  <w:style w:type="paragraph" w:customStyle="1" w:styleId="27">
    <w:name w:val="闻政-正文一级标题"/>
    <w:basedOn w:val="6"/>
    <w:next w:val="26"/>
    <w:qFormat/>
    <w:uiPriority w:val="3"/>
    <w:pPr>
      <w:spacing w:before="120" w:after="60" w:line="500" w:lineRule="exact"/>
      <w:ind w:firstLine="0" w:firstLineChars="0"/>
      <w:outlineLvl w:val="0"/>
    </w:pPr>
    <w:rPr>
      <w:rFonts w:ascii="黑体" w:hAnsi="黑体" w:eastAsia="黑体"/>
      <w:sz w:val="32"/>
    </w:rPr>
  </w:style>
  <w:style w:type="paragraph" w:styleId="28">
    <w:name w:val="List Paragraph"/>
    <w:basedOn w:val="1"/>
    <w:qFormat/>
    <w:uiPriority w:val="34"/>
    <w:pPr>
      <w:ind w:firstLine="420"/>
    </w:pPr>
  </w:style>
  <w:style w:type="paragraph" w:customStyle="1" w:styleId="29">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 w:type="paragraph" w:customStyle="1" w:styleId="30">
    <w:name w:val="WPSOffice手动目录 1"/>
    <w:qFormat/>
    <w:uiPriority w:val="0"/>
    <w:rPr>
      <w:rFonts w:ascii="Times New Roman" w:hAnsi="Times New Roman" w:eastAsia="宋体" w:cs="Times New Roman"/>
      <w:lang w:val="en-US" w:eastAsia="zh-CN" w:bidi="ar-SA"/>
    </w:rPr>
  </w:style>
  <w:style w:type="paragraph" w:customStyle="1" w:styleId="31">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2">
    <w:name w:val="批注框文本 Char"/>
    <w:basedOn w:val="20"/>
    <w:link w:val="12"/>
    <w:semiHidden/>
    <w:qFormat/>
    <w:uiPriority w:val="99"/>
    <w:rPr>
      <w:rFonts w:eastAsiaTheme="minorEastAsia"/>
      <w:kern w:val="2"/>
      <w:sz w:val="18"/>
      <w:szCs w:val="18"/>
    </w:rPr>
  </w:style>
  <w:style w:type="character" w:customStyle="1" w:styleId="33">
    <w:name w:val="标题 1 Char"/>
    <w:link w:val="4"/>
    <w:qFormat/>
    <w:uiPriority w:val="99"/>
    <w:rPr>
      <w:b/>
      <w:bCs/>
      <w:kern w:val="44"/>
      <w:sz w:val="24"/>
      <w:szCs w:val="44"/>
    </w:rPr>
  </w:style>
  <w:style w:type="character" w:customStyle="1" w:styleId="34">
    <w:name w:val="font01"/>
    <w:basedOn w:val="20"/>
    <w:qFormat/>
    <w:uiPriority w:val="0"/>
    <w:rPr>
      <w:rFonts w:hint="eastAsia" w:ascii="宋体" w:hAnsi="宋体" w:eastAsia="宋体" w:cs="宋体"/>
      <w:color w:val="000000"/>
      <w:sz w:val="22"/>
      <w:szCs w:val="22"/>
      <w:u w:val="none"/>
    </w:rPr>
  </w:style>
  <w:style w:type="paragraph" w:customStyle="1" w:styleId="35">
    <w:name w:val="Table Text"/>
    <w:basedOn w:val="1"/>
    <w:semiHidden/>
    <w:qFormat/>
    <w:uiPriority w:val="0"/>
    <w:rPr>
      <w:rFonts w:ascii="宋体" w:hAnsi="宋体" w:eastAsia="宋体" w:cs="宋体"/>
      <w:sz w:val="19"/>
      <w:szCs w:val="19"/>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2.jpeg"/><Relationship Id="rId18" Type="http://schemas.openxmlformats.org/officeDocument/2006/relationships/image" Target="media/image1.jpeg"/><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17A4AD-C8AC-4D6E-B5B8-B4766CB3F4A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40</Pages>
  <Words>5116</Words>
  <Characters>5861</Characters>
  <Lines>41</Lines>
  <Paragraphs>11</Paragraphs>
  <TotalTime>0</TotalTime>
  <ScaleCrop>false</ScaleCrop>
  <LinksUpToDate>false</LinksUpToDate>
  <CharactersWithSpaces>5973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2020-09-24T07:41:00Z</dcterms:created>
  <dc:creator>Lenovo</dc:creator>
  <cp:lastModifiedBy>孙婕</cp:lastModifiedBy>
  <dcterms:modified xsi:type="dcterms:W3CDTF">2025-09-08T07:53:05Z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186A2B4F164640F29933A5EEC7301805_13</vt:lpwstr>
  </property>
  <property fmtid="{D5CDD505-2E9C-101B-9397-08002B2CF9AE}" pid="4" name="KSOTemplateDocerSaveRecord">
    <vt:lpwstr>eyJoZGlkIjoiZjNiYTgwNzYyZDQ4ZTA3ZGVkYjdkY2Y3ODg5MTgwZGYiLCJ1c2VySWQiOiI0MzE2MTM5MTcifQ==</vt:lpwstr>
  </property>
</Properties>
</file>