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E86A">
      <w:pPr>
        <w:spacing w:line="360" w:lineRule="auto"/>
        <w:jc w:val="center"/>
        <w:rPr>
          <w:rFonts w:ascii="黑体" w:hAnsi="宋体" w:eastAsia="黑体"/>
          <w:color w:val="000000"/>
          <w:spacing w:val="20"/>
          <w:w w:val="105"/>
          <w:sz w:val="52"/>
          <w:szCs w:val="52"/>
        </w:rPr>
      </w:pPr>
      <w:r>
        <w:rPr>
          <w:rFonts w:hint="eastAsia" w:ascii="黑体" w:hAnsi="宋体" w:eastAsia="黑体"/>
          <w:color w:val="000000"/>
          <w:spacing w:val="20"/>
          <w:w w:val="105"/>
          <w:sz w:val="52"/>
          <w:szCs w:val="52"/>
        </w:rPr>
        <w:t>产品质量监督抽查实施细则</w:t>
      </w:r>
    </w:p>
    <w:p w14:paraId="621EEFFB">
      <w:pPr>
        <w:adjustRightInd w:val="0"/>
        <w:spacing w:line="480" w:lineRule="exact"/>
        <w:rPr>
          <w:rFonts w:ascii="黑体" w:hAnsi="宋体" w:eastAsia="黑体"/>
          <w:color w:val="000000"/>
          <w:sz w:val="32"/>
          <w:szCs w:val="32"/>
          <w:u w:val="single"/>
        </w:rPr>
      </w:pPr>
      <w:r>
        <w:rPr>
          <w:rFonts w:hint="eastAsia" w:ascii="黑体" w:hAnsi="宋体" w:eastAsia="黑体"/>
          <w:color w:val="000000"/>
          <w:sz w:val="32"/>
          <w:szCs w:val="32"/>
          <w:u w:val="single"/>
        </w:rPr>
        <w:t xml:space="preserve">                                                       </w:t>
      </w:r>
    </w:p>
    <w:p w14:paraId="01E78A17">
      <w:pPr>
        <w:adjustRightInd w:val="0"/>
        <w:spacing w:line="480" w:lineRule="exact"/>
        <w:jc w:val="center"/>
        <w:rPr>
          <w:rFonts w:ascii="黑体" w:hAnsi="宋体" w:eastAsia="黑体"/>
          <w:b/>
          <w:color w:val="000000"/>
          <w:sz w:val="32"/>
          <w:szCs w:val="32"/>
        </w:rPr>
      </w:pPr>
    </w:p>
    <w:p w14:paraId="6E38F235">
      <w:pPr>
        <w:adjustRightInd w:val="0"/>
        <w:spacing w:line="480" w:lineRule="exact"/>
        <w:jc w:val="center"/>
        <w:rPr>
          <w:rFonts w:ascii="黑体" w:hAnsi="宋体" w:eastAsia="黑体"/>
          <w:b/>
          <w:color w:val="000000"/>
          <w:sz w:val="52"/>
          <w:szCs w:val="52"/>
        </w:rPr>
      </w:pPr>
    </w:p>
    <w:p w14:paraId="2E271AC4">
      <w:pPr>
        <w:adjustRightInd w:val="0"/>
        <w:spacing w:line="480" w:lineRule="exact"/>
        <w:jc w:val="center"/>
        <w:rPr>
          <w:rFonts w:ascii="黑体" w:hAnsi="宋体" w:eastAsia="黑体"/>
          <w:b/>
          <w:color w:val="000000"/>
          <w:sz w:val="52"/>
          <w:szCs w:val="52"/>
        </w:rPr>
      </w:pPr>
    </w:p>
    <w:p w14:paraId="1FA3A125">
      <w:pPr>
        <w:adjustRightInd w:val="0"/>
        <w:spacing w:line="480" w:lineRule="exact"/>
        <w:jc w:val="center"/>
        <w:rPr>
          <w:rFonts w:ascii="黑体" w:hAnsi="宋体" w:eastAsia="黑体"/>
          <w:b/>
          <w:color w:val="000000"/>
          <w:sz w:val="52"/>
          <w:szCs w:val="52"/>
        </w:rPr>
      </w:pPr>
    </w:p>
    <w:p w14:paraId="10A8FBFB">
      <w:pPr>
        <w:adjustRightInd w:val="0"/>
        <w:spacing w:line="480" w:lineRule="exact"/>
        <w:jc w:val="center"/>
        <w:rPr>
          <w:rFonts w:ascii="黑体" w:hAnsi="宋体" w:eastAsia="黑体"/>
          <w:b/>
          <w:color w:val="000000"/>
          <w:sz w:val="52"/>
          <w:szCs w:val="52"/>
        </w:rPr>
      </w:pPr>
    </w:p>
    <w:p w14:paraId="1936B29A">
      <w:pPr>
        <w:adjustRightInd w:val="0"/>
        <w:spacing w:line="480" w:lineRule="exact"/>
        <w:jc w:val="center"/>
        <w:rPr>
          <w:rFonts w:ascii="黑体" w:hAnsi="宋体" w:eastAsia="黑体"/>
          <w:b/>
          <w:color w:val="000000"/>
          <w:sz w:val="52"/>
          <w:szCs w:val="52"/>
        </w:rPr>
      </w:pPr>
    </w:p>
    <w:p w14:paraId="13AD2F7F">
      <w:pPr>
        <w:adjustRightInd w:val="0"/>
        <w:spacing w:line="480" w:lineRule="exact"/>
        <w:jc w:val="center"/>
        <w:rPr>
          <w:rFonts w:ascii="黑体" w:hAnsi="宋体" w:eastAsia="黑体"/>
          <w:b/>
          <w:color w:val="000000"/>
          <w:sz w:val="52"/>
          <w:szCs w:val="52"/>
        </w:rPr>
      </w:pPr>
    </w:p>
    <w:p w14:paraId="228B5BCE">
      <w:pPr>
        <w:tabs>
          <w:tab w:val="left" w:pos="6930"/>
        </w:tabs>
        <w:adjustRightInd w:val="0"/>
        <w:spacing w:line="480" w:lineRule="exact"/>
        <w:ind w:firstLine="396" w:firstLineChars="100"/>
        <w:jc w:val="center"/>
        <w:rPr>
          <w:rFonts w:ascii="黑体" w:hAnsi="宋体" w:eastAsia="黑体"/>
          <w:color w:val="000000"/>
          <w:w w:val="90"/>
          <w:sz w:val="44"/>
          <w:szCs w:val="44"/>
        </w:rPr>
      </w:pPr>
      <w:r>
        <w:rPr>
          <w:rFonts w:hint="eastAsia" w:ascii="黑体" w:hAnsi="宋体" w:eastAsia="黑体"/>
          <w:color w:val="000000"/>
          <w:w w:val="90"/>
          <w:sz w:val="44"/>
          <w:szCs w:val="44"/>
        </w:rPr>
        <w:t>2025年伊宁县保温材料</w:t>
      </w:r>
    </w:p>
    <w:p w14:paraId="1AFDC2F8">
      <w:pPr>
        <w:tabs>
          <w:tab w:val="left" w:pos="6930"/>
        </w:tabs>
        <w:adjustRightInd w:val="0"/>
        <w:spacing w:line="480" w:lineRule="exact"/>
        <w:ind w:firstLine="440" w:firstLineChars="100"/>
        <w:jc w:val="center"/>
        <w:rPr>
          <w:rFonts w:ascii="黑体" w:hAnsi="宋体" w:eastAsia="黑体"/>
          <w:color w:val="000000"/>
          <w:sz w:val="52"/>
          <w:szCs w:val="52"/>
        </w:rPr>
      </w:pPr>
      <w:r>
        <w:rPr>
          <w:rFonts w:hint="eastAsia" w:ascii="黑体" w:hAnsi="宋体" w:eastAsia="黑体"/>
          <w:color w:val="000000"/>
          <w:sz w:val="44"/>
          <w:szCs w:val="44"/>
        </w:rPr>
        <w:t>产品质量监督抽查实施细则</w:t>
      </w:r>
    </w:p>
    <w:p w14:paraId="1C918636">
      <w:pPr>
        <w:adjustRightInd w:val="0"/>
        <w:spacing w:line="480" w:lineRule="exact"/>
        <w:jc w:val="center"/>
        <w:rPr>
          <w:rFonts w:ascii="黑体" w:hAnsi="宋体" w:eastAsia="黑体"/>
          <w:color w:val="000000"/>
          <w:sz w:val="52"/>
          <w:szCs w:val="52"/>
        </w:rPr>
      </w:pPr>
    </w:p>
    <w:p w14:paraId="1813A30E">
      <w:pPr>
        <w:adjustRightInd w:val="0"/>
        <w:spacing w:line="480" w:lineRule="exact"/>
        <w:jc w:val="center"/>
        <w:rPr>
          <w:rFonts w:ascii="黑体" w:hAnsi="宋体" w:eastAsia="黑体"/>
          <w:color w:val="000000"/>
          <w:sz w:val="52"/>
          <w:szCs w:val="52"/>
        </w:rPr>
      </w:pPr>
    </w:p>
    <w:p w14:paraId="0D73FDBE">
      <w:pPr>
        <w:adjustRightInd w:val="0"/>
        <w:spacing w:line="480" w:lineRule="exact"/>
        <w:jc w:val="center"/>
        <w:rPr>
          <w:rFonts w:ascii="黑体" w:hAnsi="宋体" w:eastAsia="黑体"/>
          <w:b/>
          <w:color w:val="000000"/>
          <w:sz w:val="52"/>
          <w:szCs w:val="52"/>
        </w:rPr>
      </w:pPr>
    </w:p>
    <w:p w14:paraId="3CA8E79A">
      <w:pPr>
        <w:adjustRightInd w:val="0"/>
        <w:spacing w:line="480" w:lineRule="exact"/>
        <w:jc w:val="center"/>
        <w:rPr>
          <w:rFonts w:ascii="黑体" w:hAnsi="宋体" w:eastAsia="黑体"/>
          <w:b/>
          <w:color w:val="000000"/>
          <w:sz w:val="52"/>
          <w:szCs w:val="52"/>
        </w:rPr>
      </w:pPr>
    </w:p>
    <w:p w14:paraId="1D2F1865">
      <w:pPr>
        <w:adjustRightInd w:val="0"/>
        <w:spacing w:line="480" w:lineRule="exact"/>
        <w:jc w:val="center"/>
        <w:rPr>
          <w:rFonts w:ascii="黑体" w:hAnsi="宋体" w:eastAsia="黑体"/>
          <w:b/>
          <w:color w:val="000000"/>
          <w:sz w:val="52"/>
          <w:szCs w:val="52"/>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21848C3D"/>
                        </w:txbxContent>
                      </wps:txbx>
                      <wps:bodyPr lIns="0" tIns="0" rIns="0" bIns="0" upright="1"/>
                    </wps:wsp>
                  </a:graphicData>
                </a:graphic>
              </wp:anchor>
            </w:drawing>
          </mc:Choice>
          <mc:Fallback>
            <w:pict>
              <v:shape id="_x0000_s1026"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wjeKW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MiyjM4X2LWg8O8MN7aMabOfo/OyHpsQccv8iEYR3GPF3HFGAiPRdfXebHCEMdY&#10;8X5VLJP62VO1Ax/uhNUkGhUFvLykKTt88gE7Yuo5JTbzVslmJ5VKB+jqDwrIgeFF79ITh8SSf9KU&#10;icnGxrIpHD1Z5DhxiVYY63EmWNvmiLzVR4Oax/05G3A26rOxdyC7HudO6iRIvLM0wrxfcSn+PqfG&#10;T//U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sI3ils4BAACbAwAADgAAAAAAAAABACAA&#10;AAApAQAAZHJzL2Uyb0RvYy54bWxQSwUGAAAAAAYABgBZAQAAaQUAAAAA&#10;">
                <v:fill on="t" focussize="0,0"/>
                <v:stroke on="f"/>
                <v:imagedata o:title=""/>
                <o:lock v:ext="edit" aspectratio="f"/>
                <v:textbox inset="0mm,0mm,0mm,0mm">
                  <w:txbxContent>
                    <w:p w14:paraId="21848C3D"/>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2"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0DD80C99"/>
                        </w:txbxContent>
                      </wps:txbx>
                      <wps:bodyPr lIns="0" tIns="0" rIns="0" bIns="0" upright="1"/>
                    </wps:wsp>
                  </a:graphicData>
                </a:graphic>
              </wp:anchor>
            </w:drawing>
          </mc:Choice>
          <mc:Fallback>
            <w:pict>
              <v:shape id="_x0000_s1026"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lI8X2gAAAA0BAAAPAAAAAAAAAAEAIAAAACIA&#10;AABkcnMvZG93bnJldi54bWxQSwECFAAUAAAACACHTuJAWL0knc4BAACbAwAADgAAAAAAAAABACAA&#10;AAApAQAAZHJzL2Uyb0RvYy54bWxQSwUGAAAAAAYABgBZAQAAaQUAAAAA&#10;">
                <v:fill on="t" focussize="0,0"/>
                <v:stroke on="f"/>
                <v:imagedata o:title=""/>
                <o:lock v:ext="edit" aspectratio="f"/>
                <v:textbox inset="0mm,0mm,0mm,0mm">
                  <w:txbxContent>
                    <w:p w14:paraId="0DD80C99"/>
                  </w:txbxContent>
                </v:textbox>
              </v:shape>
            </w:pict>
          </mc:Fallback>
        </mc:AlternateContent>
      </w:r>
    </w:p>
    <w:p w14:paraId="6818EA68">
      <w:pPr>
        <w:adjustRightInd w:val="0"/>
        <w:spacing w:line="480" w:lineRule="exact"/>
        <w:jc w:val="center"/>
        <w:rPr>
          <w:rFonts w:ascii="黑体" w:hAnsi="宋体" w:eastAsia="黑体"/>
          <w:b/>
          <w:color w:val="000000"/>
          <w:sz w:val="52"/>
          <w:szCs w:val="52"/>
        </w:rPr>
      </w:pPr>
    </w:p>
    <w:p w14:paraId="25569393">
      <w:pPr>
        <w:adjustRightInd w:val="0"/>
        <w:spacing w:line="480" w:lineRule="exact"/>
        <w:jc w:val="center"/>
        <w:rPr>
          <w:rFonts w:ascii="黑体" w:hAnsi="宋体" w:eastAsia="黑体"/>
          <w:b/>
          <w:color w:val="000000"/>
          <w:sz w:val="52"/>
          <w:szCs w:val="52"/>
        </w:rPr>
      </w:pPr>
    </w:p>
    <w:p w14:paraId="14D2A333">
      <w:pPr>
        <w:adjustRightInd w:val="0"/>
        <w:spacing w:line="480" w:lineRule="exact"/>
        <w:jc w:val="center"/>
        <w:rPr>
          <w:rFonts w:ascii="黑体" w:hAnsi="宋体" w:eastAsia="黑体"/>
          <w:b/>
          <w:color w:val="000000"/>
          <w:sz w:val="52"/>
          <w:szCs w:val="52"/>
        </w:rPr>
      </w:pPr>
    </w:p>
    <w:p w14:paraId="09A51D13">
      <w:pPr>
        <w:adjustRightInd w:val="0"/>
        <w:spacing w:line="480" w:lineRule="exact"/>
        <w:rPr>
          <w:rFonts w:ascii="黑体" w:hAnsi="宋体" w:eastAsia="黑体"/>
          <w:color w:val="000000"/>
          <w:sz w:val="32"/>
          <w:szCs w:val="32"/>
          <w:u w:val="single"/>
        </w:rPr>
      </w:pPr>
    </w:p>
    <w:p w14:paraId="14CBB298">
      <w:pPr>
        <w:adjustRightInd w:val="0"/>
        <w:spacing w:line="480" w:lineRule="exact"/>
        <w:rPr>
          <w:rFonts w:ascii="黑体" w:hAnsi="宋体" w:eastAsia="黑体"/>
          <w:color w:val="000000"/>
          <w:sz w:val="32"/>
          <w:szCs w:val="32"/>
          <w:u w:val="single"/>
        </w:rPr>
      </w:pPr>
    </w:p>
    <w:p w14:paraId="1D501B80">
      <w:pPr>
        <w:adjustRightInd w:val="0"/>
        <w:spacing w:line="480" w:lineRule="exact"/>
        <w:rPr>
          <w:rFonts w:ascii="黑体" w:hAnsi="宋体" w:eastAsia="黑体"/>
          <w:color w:val="000000"/>
          <w:sz w:val="32"/>
          <w:szCs w:val="32"/>
          <w:u w:val="single"/>
        </w:rPr>
      </w:pPr>
    </w:p>
    <w:p w14:paraId="27FEEA06">
      <w:pPr>
        <w:adjustRightInd w:val="0"/>
        <w:spacing w:line="480" w:lineRule="exact"/>
        <w:rPr>
          <w:rFonts w:ascii="黑体" w:hAnsi="宋体" w:eastAsia="黑体"/>
          <w:color w:val="000000"/>
          <w:sz w:val="32"/>
          <w:szCs w:val="32"/>
          <w:u w:val="single"/>
        </w:rPr>
      </w:pPr>
    </w:p>
    <w:p w14:paraId="4D40FB4F">
      <w:pPr>
        <w:adjustRightInd w:val="0"/>
        <w:spacing w:line="480" w:lineRule="exact"/>
        <w:rPr>
          <w:rFonts w:ascii="黑体" w:hAnsi="宋体" w:eastAsia="黑体"/>
          <w:color w:val="000000"/>
          <w:sz w:val="32"/>
          <w:szCs w:val="32"/>
          <w:u w:val="single"/>
        </w:rPr>
      </w:pPr>
    </w:p>
    <w:p w14:paraId="7D205EE6">
      <w:pPr>
        <w:adjustRightInd w:val="0"/>
        <w:spacing w:line="480" w:lineRule="exact"/>
        <w:ind w:right="-693" w:rightChars="-330"/>
        <w:rPr>
          <w:rFonts w:ascii="黑体" w:hAnsi="宋体" w:eastAsia="黑体"/>
          <w:color w:val="000000"/>
          <w:sz w:val="28"/>
          <w:szCs w:val="28"/>
          <w:u w:val="single"/>
        </w:rPr>
      </w:pPr>
      <w:r>
        <w:rPr>
          <w:rFonts w:hint="eastAsia" w:ascii="黑体" w:hAnsi="宋体" w:eastAsia="黑体"/>
          <w:color w:val="000000"/>
          <w:sz w:val="28"/>
          <w:szCs w:val="28"/>
          <w:u w:val="single"/>
        </w:rPr>
        <w:t xml:space="preserve"> 2025-08-</w:t>
      </w:r>
      <w:r>
        <w:rPr>
          <w:rFonts w:ascii="黑体" w:hAnsi="宋体" w:eastAsia="黑体"/>
          <w:color w:val="000000"/>
          <w:sz w:val="28"/>
          <w:szCs w:val="28"/>
          <w:u w:val="single"/>
        </w:rPr>
        <w:t>20</w:t>
      </w:r>
      <w:r>
        <w:rPr>
          <w:rFonts w:hint="eastAsia" w:ascii="黑体" w:hAnsi="宋体" w:eastAsia="黑体"/>
          <w:color w:val="000000"/>
          <w:sz w:val="28"/>
          <w:szCs w:val="28"/>
          <w:u w:val="single"/>
        </w:rPr>
        <w:t>发布                            2025-0</w:t>
      </w:r>
      <w:r>
        <w:rPr>
          <w:rFonts w:ascii="黑体" w:hAnsi="宋体" w:eastAsia="黑体"/>
          <w:color w:val="000000"/>
          <w:sz w:val="28"/>
          <w:szCs w:val="28"/>
          <w:u w:val="single"/>
        </w:rPr>
        <w:t>8</w:t>
      </w:r>
      <w:r>
        <w:rPr>
          <w:rFonts w:hint="eastAsia" w:ascii="黑体" w:hAnsi="宋体" w:eastAsia="黑体"/>
          <w:color w:val="000000"/>
          <w:sz w:val="28"/>
          <w:szCs w:val="28"/>
          <w:u w:val="single"/>
        </w:rPr>
        <w:t>-</w:t>
      </w:r>
      <w:r>
        <w:rPr>
          <w:rFonts w:ascii="黑体" w:hAnsi="宋体" w:eastAsia="黑体"/>
          <w:color w:val="000000"/>
          <w:sz w:val="28"/>
          <w:szCs w:val="28"/>
          <w:u w:val="single"/>
        </w:rPr>
        <w:t>31</w:t>
      </w:r>
      <w:r>
        <w:rPr>
          <w:rFonts w:hint="eastAsia" w:ascii="黑体" w:hAnsi="宋体" w:eastAsia="黑体"/>
          <w:color w:val="000000"/>
          <w:sz w:val="28"/>
          <w:szCs w:val="28"/>
          <w:u w:val="single"/>
        </w:rPr>
        <w:t xml:space="preserve">实施                          </w:t>
      </w:r>
    </w:p>
    <w:p w14:paraId="0C6B1B92">
      <w:pPr>
        <w:adjustRightInd w:val="0"/>
        <w:spacing w:line="480" w:lineRule="exact"/>
        <w:ind w:right="-334" w:rightChars="-159"/>
        <w:jc w:val="center"/>
        <w:rPr>
          <w:rFonts w:ascii="黑体" w:hAnsi="宋体" w:eastAsia="黑体"/>
          <w:color w:val="000000"/>
          <w:sz w:val="36"/>
          <w:szCs w:val="36"/>
        </w:rPr>
      </w:pPr>
      <w:r>
        <w:rPr>
          <w:rFonts w:hint="eastAsia" w:ascii="黑体" w:hAnsi="宋体" w:eastAsia="黑体"/>
          <w:color w:val="000000"/>
          <w:sz w:val="36"/>
          <w:szCs w:val="36"/>
        </w:rPr>
        <w:t xml:space="preserve">伊宁县市场监督管理局  </w:t>
      </w:r>
      <w:bookmarkStart w:id="0" w:name="_GoBack"/>
      <w:bookmarkEnd w:id="0"/>
      <w:r>
        <w:rPr>
          <w:rFonts w:hint="eastAsia" w:ascii="黑体" w:hAnsi="宋体" w:eastAsia="黑体"/>
          <w:color w:val="000000"/>
          <w:sz w:val="36"/>
          <w:szCs w:val="36"/>
        </w:rPr>
        <w:t xml:space="preserve"> </w:t>
      </w:r>
    </w:p>
    <w:p w14:paraId="4586D52A">
      <w:pPr>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br w:type="page"/>
      </w:r>
    </w:p>
    <w:p w14:paraId="1B25AB71">
      <w:pPr>
        <w:adjustRightInd w:val="0"/>
        <w:spacing w:line="480" w:lineRule="exact"/>
        <w:jc w:val="center"/>
        <w:rPr>
          <w:rFonts w:ascii="黑体" w:hAnsi="宋体" w:eastAsia="黑体" w:cs="Times New Roman"/>
          <w:color w:val="000000"/>
          <w:sz w:val="32"/>
          <w:szCs w:val="32"/>
        </w:rPr>
      </w:pPr>
      <w:r>
        <w:rPr>
          <w:rFonts w:hint="eastAsia" w:ascii="黑体" w:hAnsi="宋体" w:eastAsia="黑体" w:cs="Times New Roman"/>
          <w:color w:val="000000"/>
          <w:sz w:val="32"/>
          <w:szCs w:val="32"/>
        </w:rPr>
        <w:t>202</w:t>
      </w:r>
      <w:r>
        <w:rPr>
          <w:rFonts w:ascii="黑体" w:hAnsi="宋体" w:eastAsia="黑体" w:cs="Times New Roman"/>
          <w:color w:val="000000"/>
          <w:sz w:val="32"/>
          <w:szCs w:val="32"/>
        </w:rPr>
        <w:t>5</w:t>
      </w:r>
      <w:r>
        <w:rPr>
          <w:rFonts w:hint="eastAsia" w:ascii="黑体" w:hAnsi="宋体" w:eastAsia="黑体" w:cs="Times New Roman"/>
          <w:color w:val="000000"/>
          <w:sz w:val="32"/>
          <w:szCs w:val="32"/>
        </w:rPr>
        <w:t>年伊宁县保温材料产品质量监督抽查细则</w:t>
      </w:r>
    </w:p>
    <w:p w14:paraId="67D587E1">
      <w:pPr>
        <w:widowControl/>
        <w:jc w:val="left"/>
        <w:rPr>
          <w:rFonts w:ascii="微软雅黑" w:hAnsi="微软雅黑" w:eastAsia="微软雅黑" w:cs="微软雅黑"/>
          <w:color w:val="333333"/>
          <w:kern w:val="0"/>
          <w:sz w:val="16"/>
          <w:szCs w:val="16"/>
          <w:shd w:val="clear" w:color="auto" w:fill="FFFFFF"/>
          <w:lang w:bidi="ar"/>
        </w:rPr>
      </w:pPr>
    </w:p>
    <w:p w14:paraId="244FD1A7">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1 抽样方法</w:t>
      </w:r>
    </w:p>
    <w:p w14:paraId="15D17D52">
      <w:pPr>
        <w:adjustRightInd w:val="0"/>
        <w:spacing w:before="156" w:after="156" w:line="440" w:lineRule="exact"/>
        <w:rPr>
          <w:rFonts w:asciiTheme="minorEastAsia" w:hAnsiTheme="minorEastAsia" w:cstheme="minorEastAsia"/>
          <w:color w:val="000000"/>
          <w:szCs w:val="21"/>
        </w:rPr>
      </w:pPr>
      <w:r>
        <w:rPr>
          <w:rFonts w:hint="eastAsia" w:ascii="黑体" w:hAnsi="宋体" w:eastAsia="黑体" w:cs="Times New Roman"/>
          <w:color w:val="000000"/>
          <w:szCs w:val="21"/>
        </w:rPr>
        <w:t>　</w:t>
      </w:r>
      <w:r>
        <w:rPr>
          <w:rFonts w:hint="eastAsia" w:asciiTheme="minorEastAsia" w:hAnsiTheme="minorEastAsia" w:cstheme="minorEastAsia"/>
          <w:color w:val="000000"/>
          <w:szCs w:val="21"/>
        </w:rPr>
        <w:t>　1.1抽样型号或规格</w:t>
      </w:r>
    </w:p>
    <w:p w14:paraId="5116EBD8">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抽取产品应为同一生产企业生产的同一型号规格、同一批次的产品。</w:t>
      </w:r>
    </w:p>
    <w:p w14:paraId="43D889E4">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　　1.2抽样方法、基数及数量</w:t>
      </w:r>
    </w:p>
    <w:p w14:paraId="7A2B924D">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1.2.1样品在企业的成品库或代销产品中随机抽取有产品质量检验合格证明或者以其他形式表明合格的产品。随机数一般可使用随机数表等方法产生。</w:t>
      </w:r>
    </w:p>
    <w:p w14:paraId="776087D2">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1.2.2样品规格为1200×600×实际厚度（mm），检验样品数量13块，备用样品数量13块。</w:t>
      </w:r>
    </w:p>
    <w:p w14:paraId="7AB1F51A">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1.2.3同一规格的产品数量不超过2000m</w:t>
      </w:r>
      <w:r>
        <w:rPr>
          <w:rFonts w:hint="eastAsia" w:asciiTheme="minorEastAsia" w:hAnsiTheme="minorEastAsia" w:cstheme="minorEastAsia"/>
          <w:color w:val="000000"/>
          <w:szCs w:val="21"/>
          <w:vertAlign w:val="superscript"/>
        </w:rPr>
        <w:t>3</w:t>
      </w:r>
      <w:r>
        <w:rPr>
          <w:rFonts w:hint="eastAsia" w:asciiTheme="minorEastAsia" w:hAnsiTheme="minorEastAsia" w:cstheme="minorEastAsia"/>
          <w:color w:val="000000"/>
          <w:szCs w:val="21"/>
        </w:rPr>
        <w:t>为一批。</w:t>
      </w:r>
    </w:p>
    <w:p w14:paraId="20617275">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　　1.3样品处置</w:t>
      </w:r>
    </w:p>
    <w:p w14:paraId="6134475E">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1.3.1应当对检验样品和备用样品分别签封，当场对样品封条封样。封条上至少要有产品名称、抽样日期、抽样人和被抽样生产者/销售者代表签字以及抽样单位等相关信息。</w:t>
      </w:r>
    </w:p>
    <w:p w14:paraId="286A50E3">
      <w:pPr>
        <w:adjustRightInd w:val="0"/>
        <w:spacing w:before="156" w:after="156" w:line="44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1.3.2抽取的样品按运输条件包装好，并在规定时限内送达检验机构，运输时严防雨淋、日晒、受潮，装卸时轻搬轻放，严禁掷抛。</w:t>
      </w:r>
    </w:p>
    <w:p w14:paraId="75EA3630">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1.3.3样品应按要求进行处置，检验机构要严格执行样品管理程序文件，检验机构接收样品后应立即入库并登记，样品流转要有明确记录。</w:t>
      </w:r>
    </w:p>
    <w:p w14:paraId="0E1DD35A">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1.3.4备用样品应该贮存在阴凉、干燥、安全、避光处，在整个保存期间应保证签封完整无损。</w:t>
      </w:r>
    </w:p>
    <w:p w14:paraId="71659379">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　　1.4抽样单</w:t>
      </w:r>
    </w:p>
    <w:p w14:paraId="04B75DEF">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应按有关规定填写抽样单，并记录被抽查产品及被抽查生产者/销售者相关信息。对于产品检验所需的样品技术参数等信息，需要被抽查方提供的，应在抽样现场获取，并确认。</w:t>
      </w:r>
    </w:p>
    <w:p w14:paraId="7F8340CE">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2 检验要求</w:t>
      </w:r>
    </w:p>
    <w:p w14:paraId="609E4C7D">
      <w:pPr>
        <w:adjustRightInd w:val="0"/>
        <w:snapToGrid w:val="0"/>
        <w:spacing w:line="360" w:lineRule="auto"/>
        <w:ind w:firstLine="403" w:firstLineChars="192"/>
        <w:rPr>
          <w:rFonts w:ascii="宋体" w:hAnsi="宋体"/>
          <w:color w:val="000000"/>
          <w:szCs w:val="21"/>
        </w:rPr>
      </w:pPr>
      <w:r>
        <w:rPr>
          <w:rFonts w:hint="eastAsia" w:ascii="宋体" w:hAnsi="宋体"/>
          <w:color w:val="000000"/>
          <w:szCs w:val="21"/>
        </w:rPr>
        <w:t>检验项目见表1、表2、表3、表4</w:t>
      </w:r>
    </w:p>
    <w:p w14:paraId="6F47D69A">
      <w:pPr>
        <w:widowControl/>
        <w:jc w:val="center"/>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表1  绝热用模塑聚苯乙烯泡沫塑料(EPS)检验项目</w:t>
      </w:r>
    </w:p>
    <w:tbl>
      <w:tblPr>
        <w:tblStyle w:val="6"/>
        <w:tblW w:w="0" w:type="auto"/>
        <w:jc w:val="center"/>
        <w:tblLayout w:type="fixed"/>
        <w:tblCellMar>
          <w:top w:w="0" w:type="dxa"/>
          <w:left w:w="0" w:type="dxa"/>
          <w:bottom w:w="0" w:type="dxa"/>
          <w:right w:w="0" w:type="dxa"/>
        </w:tblCellMar>
      </w:tblPr>
      <w:tblGrid>
        <w:gridCol w:w="830"/>
        <w:gridCol w:w="2646"/>
        <w:gridCol w:w="2431"/>
        <w:gridCol w:w="2583"/>
      </w:tblGrid>
      <w:tr w14:paraId="24400F1B">
        <w:tblPrEx>
          <w:tblCellMar>
            <w:top w:w="0" w:type="dxa"/>
            <w:left w:w="0" w:type="dxa"/>
            <w:bottom w:w="0" w:type="dxa"/>
            <w:right w:w="0" w:type="dxa"/>
          </w:tblCellMar>
        </w:tblPrEx>
        <w:trPr>
          <w:trHeight w:val="464" w:hRule="atLeast"/>
          <w:jc w:val="center"/>
        </w:trPr>
        <w:tc>
          <w:tcPr>
            <w:tcW w:w="83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4AD74B04">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序号</w:t>
            </w:r>
          </w:p>
        </w:tc>
        <w:tc>
          <w:tcPr>
            <w:tcW w:w="2646"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3F21F68">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检验项目</w:t>
            </w:r>
          </w:p>
        </w:tc>
        <w:tc>
          <w:tcPr>
            <w:tcW w:w="24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0A8BF7">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依据标准</w:t>
            </w:r>
          </w:p>
        </w:tc>
        <w:tc>
          <w:tcPr>
            <w:tcW w:w="25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33559A">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检验方法</w:t>
            </w:r>
          </w:p>
        </w:tc>
      </w:tr>
      <w:tr w14:paraId="4638EC3F">
        <w:tblPrEx>
          <w:tblCellMar>
            <w:top w:w="0" w:type="dxa"/>
            <w:left w:w="0" w:type="dxa"/>
            <w:bottom w:w="0" w:type="dxa"/>
            <w:right w:w="0" w:type="dxa"/>
          </w:tblCellMar>
        </w:tblPrEx>
        <w:trPr>
          <w:trHeight w:val="422" w:hRule="atLeast"/>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2552A9E">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1</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33B9E4F">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表观密度偏差</w:t>
            </w:r>
          </w:p>
        </w:tc>
        <w:tc>
          <w:tcPr>
            <w:tcW w:w="2431" w:type="dxa"/>
            <w:vMerge w:val="restart"/>
            <w:tcBorders>
              <w:top w:val="single" w:color="auto" w:sz="4" w:space="0"/>
              <w:left w:val="nil"/>
              <w:right w:val="single" w:color="auto" w:sz="8" w:space="0"/>
            </w:tcBorders>
            <w:shd w:val="clear" w:color="auto" w:fill="auto"/>
            <w:noWrap/>
            <w:tcMar>
              <w:left w:w="108" w:type="dxa"/>
              <w:right w:w="108" w:type="dxa"/>
            </w:tcMar>
            <w:vAlign w:val="center"/>
          </w:tcPr>
          <w:p w14:paraId="5A1821B7">
            <w:pPr>
              <w:jc w:val="center"/>
              <w:rPr>
                <w:rFonts w:asciiTheme="minorEastAsia" w:hAnsiTheme="minorEastAsia" w:cstheme="minorEastAsia"/>
                <w:spacing w:val="-10"/>
                <w:kern w:val="0"/>
                <w:szCs w:val="21"/>
                <w:lang w:bidi="ar"/>
              </w:rPr>
            </w:pPr>
            <w:r>
              <w:rPr>
                <w:rFonts w:hint="eastAsia" w:asciiTheme="minorEastAsia" w:hAnsiTheme="minorEastAsia" w:cstheme="minorEastAsia"/>
                <w:spacing w:val="-10"/>
                <w:kern w:val="0"/>
                <w:szCs w:val="21"/>
                <w:lang w:bidi="ar"/>
              </w:rPr>
              <w:t>GB/T10801.1-2021</w:t>
            </w:r>
          </w:p>
          <w:p w14:paraId="2056179A">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61242A0">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spacing w:val="-10"/>
                <w:kern w:val="0"/>
                <w:szCs w:val="21"/>
                <w:lang w:bidi="ar"/>
              </w:rPr>
              <w:t>GB/T6343-2009</w:t>
            </w:r>
          </w:p>
        </w:tc>
      </w:tr>
      <w:tr w14:paraId="08417AF3">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5881CB5">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2</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F50214E">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压缩强度</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3CC1AAEE">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D13223D">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GB/T8813-2008</w:t>
            </w:r>
          </w:p>
        </w:tc>
      </w:tr>
      <w:tr w14:paraId="34586A63">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7801EBA">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3</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4B0A793">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导热系数</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072A6DD3">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E324EA6">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GB/T10294-2008</w:t>
            </w:r>
          </w:p>
        </w:tc>
      </w:tr>
      <w:tr w14:paraId="72C9A020">
        <w:tblPrEx>
          <w:tblCellMar>
            <w:top w:w="0" w:type="dxa"/>
            <w:left w:w="0" w:type="dxa"/>
            <w:bottom w:w="0" w:type="dxa"/>
            <w:right w:w="0" w:type="dxa"/>
          </w:tblCellMar>
        </w:tblPrEx>
        <w:trPr>
          <w:trHeight w:val="351" w:hRule="atLeast"/>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7C0EA08">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4</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3F1FF98">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尺寸稳定性</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4E6A58BC">
            <w:pPr>
              <w:jc w:val="center"/>
              <w:rPr>
                <w:rFonts w:asciiTheme="minorEastAsia" w:hAnsiTheme="minorEastAsia" w:cstheme="minorEastAsia"/>
                <w:szCs w:val="21"/>
              </w:rPr>
            </w:pPr>
          </w:p>
        </w:tc>
        <w:tc>
          <w:tcPr>
            <w:tcW w:w="2583" w:type="dxa"/>
            <w:tcBorders>
              <w:top w:val="nil"/>
              <w:left w:val="nil"/>
              <w:bottom w:val="single" w:color="auto" w:sz="4" w:space="0"/>
              <w:right w:val="single" w:color="auto" w:sz="8" w:space="0"/>
            </w:tcBorders>
            <w:shd w:val="clear" w:color="auto" w:fill="auto"/>
            <w:noWrap/>
            <w:tcMar>
              <w:left w:w="108" w:type="dxa"/>
              <w:right w:w="108" w:type="dxa"/>
            </w:tcMar>
            <w:vAlign w:val="center"/>
          </w:tcPr>
          <w:p w14:paraId="1A3AD91A">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GB/T8811-2008</w:t>
            </w:r>
          </w:p>
        </w:tc>
      </w:tr>
      <w:tr w14:paraId="3E4F4D9B">
        <w:tblPrEx>
          <w:tblCellMar>
            <w:top w:w="0" w:type="dxa"/>
            <w:left w:w="0" w:type="dxa"/>
            <w:bottom w:w="0" w:type="dxa"/>
            <w:right w:w="0" w:type="dxa"/>
          </w:tblCellMar>
        </w:tblPrEx>
        <w:trPr>
          <w:trHeight w:val="77" w:hRule="atLeast"/>
          <w:jc w:val="center"/>
        </w:trPr>
        <w:tc>
          <w:tcPr>
            <w:tcW w:w="830" w:type="dxa"/>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3E907B7A">
            <w:pPr>
              <w:jc w:val="center"/>
              <w:rPr>
                <w:rFonts w:asciiTheme="minorEastAsia" w:hAnsiTheme="minorEastAsia" w:cstheme="minorEastAsia"/>
                <w:szCs w:val="21"/>
              </w:rPr>
            </w:pPr>
            <w:r>
              <w:rPr>
                <w:rFonts w:hint="eastAsia" w:asciiTheme="minorEastAsia" w:hAnsiTheme="minorEastAsia" w:cstheme="minorEastAsia"/>
                <w:kern w:val="0"/>
                <w:szCs w:val="21"/>
                <w:lang w:bidi="ar"/>
              </w:rPr>
              <w:t>5</w:t>
            </w:r>
          </w:p>
        </w:tc>
        <w:tc>
          <w:tcPr>
            <w:tcW w:w="2646"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7EA65E7E">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lang w:bidi="ar"/>
              </w:rPr>
              <w:t>燃烧性能</w:t>
            </w:r>
          </w:p>
        </w:tc>
        <w:tc>
          <w:tcPr>
            <w:tcW w:w="2431" w:type="dxa"/>
            <w:vMerge w:val="continue"/>
            <w:tcBorders>
              <w:left w:val="nil"/>
              <w:bottom w:val="single" w:color="auto" w:sz="8" w:space="0"/>
              <w:right w:val="single" w:color="auto" w:sz="8" w:space="0"/>
            </w:tcBorders>
            <w:shd w:val="clear" w:color="auto" w:fill="auto"/>
            <w:noWrap/>
            <w:tcMar>
              <w:left w:w="108" w:type="dxa"/>
              <w:right w:w="108" w:type="dxa"/>
            </w:tcMar>
            <w:vAlign w:val="center"/>
          </w:tcPr>
          <w:p w14:paraId="0ED039C2">
            <w:pPr>
              <w:jc w:val="center"/>
              <w:rPr>
                <w:rFonts w:asciiTheme="minorEastAsia" w:hAnsiTheme="minorEastAsia" w:cstheme="minorEastAsia"/>
                <w:szCs w:val="21"/>
              </w:rPr>
            </w:pPr>
          </w:p>
        </w:tc>
        <w:tc>
          <w:tcPr>
            <w:tcW w:w="2583"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39A08034">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GB8624-2012</w:t>
            </w:r>
          </w:p>
        </w:tc>
      </w:tr>
    </w:tbl>
    <w:p w14:paraId="60E7659C">
      <w:pPr>
        <w:widowControl/>
        <w:jc w:val="center"/>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　</w:t>
      </w:r>
    </w:p>
    <w:p w14:paraId="569456E0">
      <w:pPr>
        <w:widowControl/>
        <w:jc w:val="center"/>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表2  绝热用挤塑聚苯乙烯泡沫塑料(XPS)检验项目</w:t>
      </w:r>
    </w:p>
    <w:tbl>
      <w:tblPr>
        <w:tblStyle w:val="6"/>
        <w:tblW w:w="0" w:type="auto"/>
        <w:jc w:val="center"/>
        <w:tblLayout w:type="fixed"/>
        <w:tblCellMar>
          <w:top w:w="0" w:type="dxa"/>
          <w:left w:w="0" w:type="dxa"/>
          <w:bottom w:w="0" w:type="dxa"/>
          <w:right w:w="0" w:type="dxa"/>
        </w:tblCellMar>
      </w:tblPr>
      <w:tblGrid>
        <w:gridCol w:w="830"/>
        <w:gridCol w:w="2646"/>
        <w:gridCol w:w="2431"/>
        <w:gridCol w:w="2583"/>
      </w:tblGrid>
      <w:tr w14:paraId="738A1CF0">
        <w:tblPrEx>
          <w:tblCellMar>
            <w:top w:w="0" w:type="dxa"/>
            <w:left w:w="0" w:type="dxa"/>
            <w:bottom w:w="0" w:type="dxa"/>
            <w:right w:w="0" w:type="dxa"/>
          </w:tblCellMar>
        </w:tblPrEx>
        <w:trPr>
          <w:trHeight w:val="464" w:hRule="atLeast"/>
          <w:jc w:val="center"/>
        </w:trPr>
        <w:tc>
          <w:tcPr>
            <w:tcW w:w="83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82F3944">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序号</w:t>
            </w:r>
          </w:p>
        </w:tc>
        <w:tc>
          <w:tcPr>
            <w:tcW w:w="2646"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DCDFE58">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检验项目</w:t>
            </w:r>
          </w:p>
        </w:tc>
        <w:tc>
          <w:tcPr>
            <w:tcW w:w="24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55D951">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依据标准</w:t>
            </w:r>
          </w:p>
        </w:tc>
        <w:tc>
          <w:tcPr>
            <w:tcW w:w="25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18EF0B">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检验方法</w:t>
            </w:r>
          </w:p>
        </w:tc>
      </w:tr>
      <w:tr w14:paraId="5A091850">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9BB1622">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1</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F234674">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压缩强度</w:t>
            </w:r>
          </w:p>
        </w:tc>
        <w:tc>
          <w:tcPr>
            <w:tcW w:w="2431" w:type="dxa"/>
            <w:vMerge w:val="restart"/>
            <w:tcBorders>
              <w:top w:val="single" w:color="auto" w:sz="4" w:space="0"/>
              <w:left w:val="nil"/>
              <w:right w:val="single" w:color="auto" w:sz="8" w:space="0"/>
            </w:tcBorders>
            <w:shd w:val="clear" w:color="auto" w:fill="auto"/>
            <w:noWrap/>
            <w:tcMar>
              <w:left w:w="108" w:type="dxa"/>
              <w:right w:w="108" w:type="dxa"/>
            </w:tcMar>
            <w:vAlign w:val="center"/>
          </w:tcPr>
          <w:p w14:paraId="54AF74B9">
            <w:pPr>
              <w:jc w:val="center"/>
              <w:rPr>
                <w:rFonts w:asciiTheme="minorEastAsia" w:hAnsiTheme="minorEastAsia" w:cstheme="minorEastAsia"/>
                <w:szCs w:val="21"/>
              </w:rPr>
            </w:pPr>
            <w:r>
              <w:rPr>
                <w:rFonts w:hint="eastAsia" w:asciiTheme="minorEastAsia" w:hAnsiTheme="minorEastAsia" w:cstheme="minorEastAsia"/>
                <w:spacing w:val="-10"/>
                <w:kern w:val="0"/>
                <w:szCs w:val="21"/>
                <w:lang w:bidi="ar"/>
              </w:rPr>
              <w:t>GB/T10801.2-2018</w:t>
            </w: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DF02B94">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GB/T8813-2008</w:t>
            </w:r>
          </w:p>
        </w:tc>
      </w:tr>
      <w:tr w14:paraId="1676C3F6">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56B2EB1">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2</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2BA2C97">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导热系数</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28D20B71">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3601EE1">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GB/T10294-2008</w:t>
            </w:r>
          </w:p>
        </w:tc>
      </w:tr>
      <w:tr w14:paraId="2F9B2077">
        <w:tblPrEx>
          <w:tblCellMar>
            <w:top w:w="0" w:type="dxa"/>
            <w:left w:w="0" w:type="dxa"/>
            <w:bottom w:w="0" w:type="dxa"/>
            <w:right w:w="0" w:type="dxa"/>
          </w:tblCellMar>
        </w:tblPrEx>
        <w:trPr>
          <w:trHeight w:val="351" w:hRule="atLeast"/>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6623E2A">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3</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294C07F">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尺寸稳定性</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23DEB265">
            <w:pPr>
              <w:jc w:val="center"/>
              <w:rPr>
                <w:rFonts w:asciiTheme="minorEastAsia" w:hAnsiTheme="minorEastAsia" w:cstheme="minorEastAsia"/>
                <w:szCs w:val="21"/>
              </w:rPr>
            </w:pPr>
          </w:p>
        </w:tc>
        <w:tc>
          <w:tcPr>
            <w:tcW w:w="2583" w:type="dxa"/>
            <w:tcBorders>
              <w:top w:val="nil"/>
              <w:left w:val="nil"/>
              <w:bottom w:val="single" w:color="auto" w:sz="4" w:space="0"/>
              <w:right w:val="single" w:color="auto" w:sz="8" w:space="0"/>
            </w:tcBorders>
            <w:shd w:val="clear" w:color="auto" w:fill="auto"/>
            <w:noWrap/>
            <w:tcMar>
              <w:left w:w="108" w:type="dxa"/>
              <w:right w:w="108" w:type="dxa"/>
            </w:tcMar>
            <w:vAlign w:val="center"/>
          </w:tcPr>
          <w:p w14:paraId="518B6EB3">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GB/T8811-2008</w:t>
            </w:r>
          </w:p>
        </w:tc>
      </w:tr>
      <w:tr w14:paraId="3F3E8130">
        <w:tblPrEx>
          <w:tblCellMar>
            <w:top w:w="0" w:type="dxa"/>
            <w:left w:w="0" w:type="dxa"/>
            <w:bottom w:w="0" w:type="dxa"/>
            <w:right w:w="0" w:type="dxa"/>
          </w:tblCellMar>
        </w:tblPrEx>
        <w:trPr>
          <w:trHeight w:val="77" w:hRule="atLeast"/>
          <w:jc w:val="center"/>
        </w:trPr>
        <w:tc>
          <w:tcPr>
            <w:tcW w:w="830" w:type="dxa"/>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9365D9E">
            <w:pPr>
              <w:jc w:val="center"/>
              <w:rPr>
                <w:rFonts w:asciiTheme="minorEastAsia" w:hAnsiTheme="minorEastAsia" w:cstheme="minorEastAsia"/>
                <w:szCs w:val="21"/>
              </w:rPr>
            </w:pPr>
            <w:r>
              <w:rPr>
                <w:rFonts w:hint="eastAsia" w:asciiTheme="minorEastAsia" w:hAnsiTheme="minorEastAsia" w:cstheme="minorEastAsia"/>
                <w:kern w:val="0"/>
                <w:szCs w:val="21"/>
                <w:lang w:bidi="ar"/>
              </w:rPr>
              <w:t>4</w:t>
            </w:r>
          </w:p>
        </w:tc>
        <w:tc>
          <w:tcPr>
            <w:tcW w:w="2646"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29657D2B">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lang w:bidi="ar"/>
              </w:rPr>
              <w:t>燃烧性能</w:t>
            </w:r>
          </w:p>
        </w:tc>
        <w:tc>
          <w:tcPr>
            <w:tcW w:w="2431" w:type="dxa"/>
            <w:vMerge w:val="continue"/>
            <w:tcBorders>
              <w:left w:val="nil"/>
              <w:bottom w:val="single" w:color="auto" w:sz="8" w:space="0"/>
              <w:right w:val="single" w:color="auto" w:sz="8" w:space="0"/>
            </w:tcBorders>
            <w:shd w:val="clear" w:color="auto" w:fill="auto"/>
            <w:noWrap/>
            <w:tcMar>
              <w:left w:w="108" w:type="dxa"/>
              <w:right w:w="108" w:type="dxa"/>
            </w:tcMar>
            <w:vAlign w:val="center"/>
          </w:tcPr>
          <w:p w14:paraId="525563D7">
            <w:pPr>
              <w:jc w:val="center"/>
              <w:rPr>
                <w:rFonts w:asciiTheme="minorEastAsia" w:hAnsiTheme="minorEastAsia" w:cstheme="minorEastAsia"/>
                <w:szCs w:val="21"/>
              </w:rPr>
            </w:pPr>
          </w:p>
        </w:tc>
        <w:tc>
          <w:tcPr>
            <w:tcW w:w="2583"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7A85C885">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GB8624-2012</w:t>
            </w:r>
          </w:p>
        </w:tc>
      </w:tr>
    </w:tbl>
    <w:p w14:paraId="6D33DE97">
      <w:pPr>
        <w:widowControl/>
        <w:rPr>
          <w:rFonts w:asciiTheme="minorEastAsia" w:hAnsiTheme="minorEastAsia" w:cstheme="minorEastAsia"/>
          <w:kern w:val="0"/>
          <w:szCs w:val="21"/>
          <w:shd w:val="clear" w:color="auto" w:fill="FFFFFF"/>
          <w:lang w:bidi="ar"/>
        </w:rPr>
      </w:pPr>
    </w:p>
    <w:p w14:paraId="755B565B">
      <w:pPr>
        <w:widowControl/>
        <w:jc w:val="center"/>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表3 建筑绝热用石墨改性模塑聚苯乙烯泡沫塑料板检验项目</w:t>
      </w:r>
    </w:p>
    <w:tbl>
      <w:tblPr>
        <w:tblStyle w:val="6"/>
        <w:tblW w:w="0" w:type="auto"/>
        <w:jc w:val="center"/>
        <w:tblLayout w:type="fixed"/>
        <w:tblCellMar>
          <w:top w:w="0" w:type="dxa"/>
          <w:left w:w="0" w:type="dxa"/>
          <w:bottom w:w="0" w:type="dxa"/>
          <w:right w:w="0" w:type="dxa"/>
        </w:tblCellMar>
      </w:tblPr>
      <w:tblGrid>
        <w:gridCol w:w="830"/>
        <w:gridCol w:w="2646"/>
        <w:gridCol w:w="2431"/>
        <w:gridCol w:w="2583"/>
      </w:tblGrid>
      <w:tr w14:paraId="16EAD92A">
        <w:tblPrEx>
          <w:tblCellMar>
            <w:top w:w="0" w:type="dxa"/>
            <w:left w:w="0" w:type="dxa"/>
            <w:bottom w:w="0" w:type="dxa"/>
            <w:right w:w="0" w:type="dxa"/>
          </w:tblCellMar>
        </w:tblPrEx>
        <w:trPr>
          <w:trHeight w:val="464" w:hRule="atLeast"/>
          <w:jc w:val="center"/>
        </w:trPr>
        <w:tc>
          <w:tcPr>
            <w:tcW w:w="83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402F5739">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序号</w:t>
            </w:r>
          </w:p>
        </w:tc>
        <w:tc>
          <w:tcPr>
            <w:tcW w:w="2646"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62A6D293">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检验项目</w:t>
            </w:r>
          </w:p>
        </w:tc>
        <w:tc>
          <w:tcPr>
            <w:tcW w:w="24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FDB0DB">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依据标准</w:t>
            </w:r>
          </w:p>
        </w:tc>
        <w:tc>
          <w:tcPr>
            <w:tcW w:w="25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69EB67">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kern w:val="0"/>
                <w:szCs w:val="21"/>
                <w:lang w:bidi="ar"/>
              </w:rPr>
              <w:t>检验方法</w:t>
            </w:r>
          </w:p>
        </w:tc>
      </w:tr>
      <w:tr w14:paraId="166738E5">
        <w:tblPrEx>
          <w:tblCellMar>
            <w:top w:w="0" w:type="dxa"/>
            <w:left w:w="0" w:type="dxa"/>
            <w:bottom w:w="0" w:type="dxa"/>
            <w:right w:w="0" w:type="dxa"/>
          </w:tblCellMar>
        </w:tblPrEx>
        <w:trPr>
          <w:trHeight w:val="422" w:hRule="atLeast"/>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3606294">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1</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9DE5B4C">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表观密度</w:t>
            </w:r>
          </w:p>
        </w:tc>
        <w:tc>
          <w:tcPr>
            <w:tcW w:w="2431" w:type="dxa"/>
            <w:vMerge w:val="restart"/>
            <w:tcBorders>
              <w:top w:val="single" w:color="auto" w:sz="4" w:space="0"/>
              <w:left w:val="nil"/>
              <w:right w:val="single" w:color="auto" w:sz="8" w:space="0"/>
            </w:tcBorders>
            <w:shd w:val="clear" w:color="auto" w:fill="auto"/>
            <w:noWrap/>
            <w:tcMar>
              <w:left w:w="108" w:type="dxa"/>
              <w:right w:w="108" w:type="dxa"/>
            </w:tcMar>
            <w:vAlign w:val="center"/>
          </w:tcPr>
          <w:p w14:paraId="0A7A758F">
            <w:pPr>
              <w:jc w:val="center"/>
              <w:rPr>
                <w:rFonts w:asciiTheme="minorEastAsia" w:hAnsiTheme="minorEastAsia" w:cstheme="minorEastAsia"/>
                <w:spacing w:val="-10"/>
                <w:kern w:val="0"/>
                <w:szCs w:val="21"/>
                <w:lang w:bidi="ar"/>
              </w:rPr>
            </w:pPr>
            <w:r>
              <w:rPr>
                <w:rFonts w:hint="eastAsia" w:asciiTheme="minorEastAsia" w:hAnsiTheme="minorEastAsia" w:cstheme="minorEastAsia"/>
                <w:spacing w:val="-10"/>
                <w:kern w:val="0"/>
                <w:szCs w:val="21"/>
                <w:lang w:bidi="ar"/>
              </w:rPr>
              <w:t>GB/T2441-2018</w:t>
            </w:r>
          </w:p>
          <w:p w14:paraId="109392E1">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F87D538">
            <w:pPr>
              <w:widowControl/>
              <w:spacing w:line="320" w:lineRule="atLeast"/>
              <w:jc w:val="center"/>
              <w:rPr>
                <w:rFonts w:asciiTheme="minorEastAsia" w:hAnsiTheme="minorEastAsia" w:cstheme="minorEastAsia"/>
                <w:szCs w:val="21"/>
              </w:rPr>
            </w:pPr>
            <w:r>
              <w:rPr>
                <w:rFonts w:hint="eastAsia" w:asciiTheme="minorEastAsia" w:hAnsiTheme="minorEastAsia" w:cstheme="minorEastAsia"/>
                <w:spacing w:val="-10"/>
                <w:kern w:val="0"/>
                <w:szCs w:val="21"/>
                <w:lang w:bidi="ar"/>
              </w:rPr>
              <w:t>GB/T6343-2009</w:t>
            </w:r>
          </w:p>
        </w:tc>
      </w:tr>
      <w:tr w14:paraId="06B5EC1A">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5F02858">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2</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2A2ACD2">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压缩强度</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3A1DC169">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3D84B6E">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GB/T8813-2008</w:t>
            </w:r>
          </w:p>
        </w:tc>
      </w:tr>
      <w:tr w14:paraId="0190B612">
        <w:tblPrEx>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DBD3465">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3</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41C36C">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导热系数</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0BD0B75B">
            <w:pPr>
              <w:jc w:val="center"/>
              <w:rPr>
                <w:rFonts w:asciiTheme="minorEastAsia" w:hAnsiTheme="minorEastAsia" w:cstheme="minorEastAsia"/>
                <w:szCs w:val="21"/>
              </w:rPr>
            </w:pPr>
          </w:p>
        </w:tc>
        <w:tc>
          <w:tcPr>
            <w:tcW w:w="258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79C70FD">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GB/T10294-2008</w:t>
            </w:r>
          </w:p>
        </w:tc>
      </w:tr>
      <w:tr w14:paraId="47412613">
        <w:tblPrEx>
          <w:tblCellMar>
            <w:top w:w="0" w:type="dxa"/>
            <w:left w:w="0" w:type="dxa"/>
            <w:bottom w:w="0" w:type="dxa"/>
            <w:right w:w="0" w:type="dxa"/>
          </w:tblCellMar>
        </w:tblPrEx>
        <w:trPr>
          <w:trHeight w:val="351" w:hRule="atLeast"/>
          <w:jc w:val="center"/>
        </w:trPr>
        <w:tc>
          <w:tcPr>
            <w:tcW w:w="83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191A8C9">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4</w:t>
            </w:r>
          </w:p>
        </w:tc>
        <w:tc>
          <w:tcPr>
            <w:tcW w:w="264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1B30959">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rPr>
              <w:t>尺寸稳定性</w:t>
            </w:r>
          </w:p>
        </w:tc>
        <w:tc>
          <w:tcPr>
            <w:tcW w:w="2431" w:type="dxa"/>
            <w:vMerge w:val="continue"/>
            <w:tcBorders>
              <w:left w:val="nil"/>
              <w:right w:val="single" w:color="auto" w:sz="8" w:space="0"/>
            </w:tcBorders>
            <w:shd w:val="clear" w:color="auto" w:fill="auto"/>
            <w:noWrap/>
            <w:tcMar>
              <w:left w:w="108" w:type="dxa"/>
              <w:right w:w="108" w:type="dxa"/>
            </w:tcMar>
            <w:vAlign w:val="center"/>
          </w:tcPr>
          <w:p w14:paraId="5A549454">
            <w:pPr>
              <w:jc w:val="center"/>
              <w:rPr>
                <w:rFonts w:asciiTheme="minorEastAsia" w:hAnsiTheme="minorEastAsia" w:cstheme="minorEastAsia"/>
                <w:szCs w:val="21"/>
              </w:rPr>
            </w:pPr>
          </w:p>
        </w:tc>
        <w:tc>
          <w:tcPr>
            <w:tcW w:w="2583" w:type="dxa"/>
            <w:tcBorders>
              <w:top w:val="nil"/>
              <w:left w:val="nil"/>
              <w:bottom w:val="single" w:color="auto" w:sz="4" w:space="0"/>
              <w:right w:val="single" w:color="auto" w:sz="8" w:space="0"/>
            </w:tcBorders>
            <w:shd w:val="clear" w:color="auto" w:fill="auto"/>
            <w:noWrap/>
            <w:tcMar>
              <w:left w:w="108" w:type="dxa"/>
              <w:right w:w="108" w:type="dxa"/>
            </w:tcMar>
            <w:vAlign w:val="center"/>
          </w:tcPr>
          <w:p w14:paraId="3EDF32DA">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GB/T8811-2008</w:t>
            </w:r>
          </w:p>
        </w:tc>
      </w:tr>
      <w:tr w14:paraId="4329A2D2">
        <w:tblPrEx>
          <w:tblCellMar>
            <w:top w:w="0" w:type="dxa"/>
            <w:left w:w="0" w:type="dxa"/>
            <w:bottom w:w="0" w:type="dxa"/>
            <w:right w:w="0" w:type="dxa"/>
          </w:tblCellMar>
        </w:tblPrEx>
        <w:trPr>
          <w:trHeight w:val="77" w:hRule="atLeast"/>
          <w:jc w:val="center"/>
        </w:trPr>
        <w:tc>
          <w:tcPr>
            <w:tcW w:w="830" w:type="dxa"/>
            <w:tcBorders>
              <w:top w:val="single" w:color="auto" w:sz="4"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B80271B">
            <w:pPr>
              <w:jc w:val="center"/>
              <w:rPr>
                <w:rFonts w:asciiTheme="minorEastAsia" w:hAnsiTheme="minorEastAsia" w:cstheme="minorEastAsia"/>
                <w:szCs w:val="21"/>
              </w:rPr>
            </w:pPr>
            <w:r>
              <w:rPr>
                <w:rFonts w:hint="eastAsia" w:asciiTheme="minorEastAsia" w:hAnsiTheme="minorEastAsia" w:cstheme="minorEastAsia"/>
                <w:kern w:val="0"/>
                <w:szCs w:val="21"/>
                <w:lang w:bidi="ar"/>
              </w:rPr>
              <w:t>5</w:t>
            </w:r>
          </w:p>
        </w:tc>
        <w:tc>
          <w:tcPr>
            <w:tcW w:w="2646"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100AD701">
            <w:pPr>
              <w:pStyle w:val="5"/>
              <w:widowControl/>
              <w:spacing w:beforeAutospacing="0" w:afterAutospacing="0" w:line="320" w:lineRule="atLeast"/>
              <w:jc w:val="center"/>
              <w:rPr>
                <w:rFonts w:asciiTheme="minorEastAsia" w:hAnsiTheme="minorEastAsia" w:cstheme="minorEastAsia"/>
                <w:sz w:val="21"/>
                <w:szCs w:val="21"/>
              </w:rPr>
            </w:pPr>
            <w:r>
              <w:rPr>
                <w:rFonts w:hint="eastAsia" w:asciiTheme="minorEastAsia" w:hAnsiTheme="minorEastAsia" w:cstheme="minorEastAsia"/>
                <w:sz w:val="21"/>
                <w:szCs w:val="21"/>
                <w:lang w:bidi="ar"/>
              </w:rPr>
              <w:t>燃烧性能</w:t>
            </w:r>
          </w:p>
        </w:tc>
        <w:tc>
          <w:tcPr>
            <w:tcW w:w="2431" w:type="dxa"/>
            <w:vMerge w:val="continue"/>
            <w:tcBorders>
              <w:left w:val="nil"/>
              <w:bottom w:val="single" w:color="auto" w:sz="8" w:space="0"/>
              <w:right w:val="single" w:color="auto" w:sz="8" w:space="0"/>
            </w:tcBorders>
            <w:shd w:val="clear" w:color="auto" w:fill="auto"/>
            <w:noWrap/>
            <w:tcMar>
              <w:left w:w="108" w:type="dxa"/>
              <w:right w:w="108" w:type="dxa"/>
            </w:tcMar>
            <w:vAlign w:val="center"/>
          </w:tcPr>
          <w:p w14:paraId="41E6F35A">
            <w:pPr>
              <w:jc w:val="center"/>
              <w:rPr>
                <w:rFonts w:asciiTheme="minorEastAsia" w:hAnsiTheme="minorEastAsia" w:cstheme="minorEastAsia"/>
                <w:szCs w:val="21"/>
              </w:rPr>
            </w:pPr>
          </w:p>
        </w:tc>
        <w:tc>
          <w:tcPr>
            <w:tcW w:w="2583" w:type="dxa"/>
            <w:tcBorders>
              <w:top w:val="single" w:color="auto" w:sz="4" w:space="0"/>
              <w:left w:val="nil"/>
              <w:bottom w:val="single" w:color="auto" w:sz="8" w:space="0"/>
              <w:right w:val="single" w:color="auto" w:sz="8" w:space="0"/>
            </w:tcBorders>
            <w:shd w:val="clear" w:color="auto" w:fill="auto"/>
            <w:noWrap/>
            <w:tcMar>
              <w:left w:w="108" w:type="dxa"/>
              <w:right w:w="108" w:type="dxa"/>
            </w:tcMar>
            <w:vAlign w:val="center"/>
          </w:tcPr>
          <w:p w14:paraId="3614BCC6">
            <w:pPr>
              <w:pStyle w:val="5"/>
              <w:widowControl/>
              <w:spacing w:beforeAutospacing="0" w:afterAutospacing="0" w:line="320" w:lineRule="atLeast"/>
              <w:jc w:val="center"/>
              <w:rPr>
                <w:rFonts w:asciiTheme="minorEastAsia" w:hAnsiTheme="minorEastAsia" w:cstheme="minorEastAsia"/>
                <w:spacing w:val="-10"/>
                <w:sz w:val="21"/>
                <w:szCs w:val="21"/>
              </w:rPr>
            </w:pPr>
            <w:r>
              <w:rPr>
                <w:rFonts w:hint="eastAsia" w:asciiTheme="minorEastAsia" w:hAnsiTheme="minorEastAsia" w:cstheme="minorEastAsia"/>
                <w:spacing w:val="-10"/>
                <w:sz w:val="21"/>
                <w:szCs w:val="21"/>
              </w:rPr>
              <w:t>GB8624-2012</w:t>
            </w:r>
          </w:p>
        </w:tc>
      </w:tr>
    </w:tbl>
    <w:p w14:paraId="18B2B3A5">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注：凡是注日期的文件，其随后所有的修改单（不包括勘误的内容）或修订版不适用于本细则。凡是不注日期的文件，其最新版本适用于本细则。</w:t>
      </w:r>
    </w:p>
    <w:p w14:paraId="4BB008C2">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3 判定规则</w:t>
      </w:r>
    </w:p>
    <w:p w14:paraId="003E32D2">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3.1依据标准</w:t>
      </w:r>
    </w:p>
    <w:p w14:paraId="4E1D5C14">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10801.1 《绝热用模塑聚苯乙烯泡沫塑料(EPS)》</w:t>
      </w:r>
    </w:p>
    <w:p w14:paraId="77601F5F">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10801.2 《绝热用挤塑聚苯乙烯泡沫塑料(XPS)》</w:t>
      </w:r>
    </w:p>
    <w:p w14:paraId="02A49501">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JC/T 2441《建筑绝热用石墨改性模塑聚苯乙烯泡沫塑料板》</w:t>
      </w:r>
    </w:p>
    <w:p w14:paraId="0B8DF520">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6343《泡沫塑料及橡胶 表观密度的测定》</w:t>
      </w:r>
    </w:p>
    <w:p w14:paraId="1B03F62D">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 8624《建筑材料及制品燃烧性分级》</w:t>
      </w:r>
    </w:p>
    <w:p w14:paraId="6B3E697F">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8811《硬质泡沫塑料 尺寸稳定性试验方法》</w:t>
      </w:r>
    </w:p>
    <w:p w14:paraId="5BD12269">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8813《硬质泡沫塑料 压缩性能的测定》</w:t>
      </w:r>
    </w:p>
    <w:p w14:paraId="1F110E2B">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GB/T 10294《绝热材料稳态热阻及有关特性的测定 防护热板法》</w:t>
      </w:r>
    </w:p>
    <w:p w14:paraId="16D4F7E0">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相关的法律、行政法规、部门规章、规范性文件</w:t>
      </w:r>
    </w:p>
    <w:p w14:paraId="08709535">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现行有效的企业标准、团体标准、地方标准及产品明示质量要求</w:t>
      </w:r>
    </w:p>
    <w:p w14:paraId="5C548D2E">
      <w:pPr>
        <w:adjustRightInd w:val="0"/>
        <w:spacing w:before="156" w:after="156" w:line="440" w:lineRule="exact"/>
        <w:rPr>
          <w:rFonts w:ascii="黑体" w:hAnsi="宋体" w:eastAsia="黑体" w:cs="Times New Roman"/>
          <w:color w:val="000000"/>
          <w:szCs w:val="21"/>
        </w:rPr>
      </w:pPr>
      <w:r>
        <w:rPr>
          <w:rFonts w:hint="eastAsia" w:ascii="黑体" w:hAnsi="宋体" w:eastAsia="黑体" w:cs="Times New Roman"/>
          <w:color w:val="000000"/>
          <w:szCs w:val="21"/>
        </w:rPr>
        <w:t>3.2判定原则</w:t>
      </w:r>
    </w:p>
    <w:p w14:paraId="5B20B768">
      <w:pPr>
        <w:adjustRightInd w:val="0"/>
        <w:spacing w:before="156" w:after="156" w:line="440" w:lineRule="exact"/>
        <w:rPr>
          <w:rFonts w:asciiTheme="minorEastAsia" w:hAnsiTheme="minorEastAsia" w:cstheme="minorEastAsia"/>
          <w:color w:val="000000"/>
          <w:szCs w:val="21"/>
        </w:rPr>
      </w:pPr>
      <w:r>
        <w:rPr>
          <w:rFonts w:hint="eastAsia" w:ascii="黑体" w:hAnsi="宋体" w:eastAsia="黑体" w:cs="Times New Roman"/>
          <w:color w:val="000000"/>
          <w:szCs w:val="21"/>
        </w:rPr>
        <w:t>　　</w:t>
      </w:r>
      <w:r>
        <w:rPr>
          <w:rFonts w:hint="eastAsia" w:asciiTheme="minorEastAsia" w:hAnsiTheme="minorEastAsia" w:cstheme="minorEastAsia"/>
          <w:color w:val="000000"/>
          <w:szCs w:val="21"/>
        </w:rPr>
        <w:t>经检验，检验项目全部合格，判定为被抽查产品合格；检验项目中任一项或一项以上不合格，判定为被抽查产品不合格。</w:t>
      </w:r>
    </w:p>
    <w:p w14:paraId="02BBD2B1">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若被检产品明示的质量要求高于本细则中检验项目依据的标准要求时，应按被检产品明示的质量要求判定。</w:t>
      </w:r>
    </w:p>
    <w:p w14:paraId="1AC9EE05">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若被检产品明示的质量要求低于本细则中检验项目依据的强制性标准要求时，应按照强制性标准要求判定。</w:t>
      </w:r>
    </w:p>
    <w:p w14:paraId="36B6F336">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若被检产品明示的质量要求低于或包含本细则中检验项目依据的推荐性标准要求时，应以被检产品明示的质量要求判定。</w:t>
      </w:r>
    </w:p>
    <w:p w14:paraId="494800F9">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若被检产品明示的质量要求缺少本细则中检验项目依据的强制性标准要求时，应按照强制性标准要求判定。</w:t>
      </w:r>
    </w:p>
    <w:p w14:paraId="141DCE08">
      <w:pPr>
        <w:adjustRightInd w:val="0"/>
        <w:spacing w:before="156" w:after="156" w:line="44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　　若被检产品明示的质量要求缺少本细则中检验项目依据的推荐性标准要求时，该项目不参与判定。</w:t>
      </w:r>
    </w:p>
    <w:p w14:paraId="08477DF6">
      <w:pPr>
        <w:adjustRightInd w:val="0"/>
        <w:spacing w:before="156" w:after="156" w:line="440" w:lineRule="exact"/>
        <w:rPr>
          <w:rFonts w:ascii="黑体" w:hAnsi="宋体" w:eastAsia="黑体" w:cs="Times New Roman"/>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A46451-7967-4FC8-9A6B-D97880930C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31228EEC-8158-4524-B888-55E96E9935D5}"/>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kNTBiMjVkYzg1MzNjMTAwZDZkZWUwZmExYTM2YzcifQ=="/>
  </w:docVars>
  <w:rsids>
    <w:rsidRoot w:val="110144B5"/>
    <w:rsid w:val="00686133"/>
    <w:rsid w:val="00AD661B"/>
    <w:rsid w:val="00F64B87"/>
    <w:rsid w:val="01A65101"/>
    <w:rsid w:val="110144B5"/>
    <w:rsid w:val="218F249F"/>
    <w:rsid w:val="22802C72"/>
    <w:rsid w:val="251121E4"/>
    <w:rsid w:val="26546643"/>
    <w:rsid w:val="28D01B8A"/>
    <w:rsid w:val="2D6D1A79"/>
    <w:rsid w:val="2FFF534B"/>
    <w:rsid w:val="326A1781"/>
    <w:rsid w:val="32D964BD"/>
    <w:rsid w:val="398151E5"/>
    <w:rsid w:val="530D73ED"/>
    <w:rsid w:val="5FAE5456"/>
    <w:rsid w:val="60A12851"/>
    <w:rsid w:val="AFFB8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FollowedHyperlink"/>
    <w:basedOn w:val="7"/>
    <w:qFormat/>
    <w:uiPriority w:val="0"/>
    <w:rPr>
      <w:rFonts w:hint="eastAsia" w:ascii="微软雅黑" w:hAnsi="微软雅黑" w:eastAsia="微软雅黑" w:cs="微软雅黑"/>
      <w:color w:val="146C88"/>
      <w:sz w:val="24"/>
      <w:szCs w:val="24"/>
      <w:u w:val="none"/>
    </w:rPr>
  </w:style>
  <w:style w:type="character" w:styleId="10">
    <w:name w:val="Emphasis"/>
    <w:basedOn w:val="7"/>
    <w:qFormat/>
    <w:uiPriority w:val="0"/>
    <w:rPr>
      <w:i/>
      <w:iCs/>
    </w:rPr>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rFonts w:hint="eastAsia" w:ascii="微软雅黑" w:hAnsi="微软雅黑" w:eastAsia="微软雅黑" w:cs="微软雅黑"/>
      <w:color w:val="146C88"/>
      <w:sz w:val="24"/>
      <w:szCs w:val="24"/>
      <w:u w:val="none"/>
    </w:rPr>
  </w:style>
  <w:style w:type="character" w:styleId="14">
    <w:name w:val="HTML Code"/>
    <w:basedOn w:val="7"/>
    <w:qFormat/>
    <w:uiPriority w:val="0"/>
    <w:rPr>
      <w:rFonts w:hint="default" w:ascii="Courier New" w:hAnsi="Courier New" w:eastAsia="Courier New" w:cs="Courier New"/>
      <w:sz w:val="20"/>
    </w:rPr>
  </w:style>
  <w:style w:type="character" w:styleId="15">
    <w:name w:val="HTML Cite"/>
    <w:basedOn w:val="7"/>
    <w:qFormat/>
    <w:uiPriority w:val="0"/>
  </w:style>
  <w:style w:type="character" w:styleId="16">
    <w:name w:val="HTML Keyboard"/>
    <w:basedOn w:val="7"/>
    <w:qFormat/>
    <w:uiPriority w:val="0"/>
    <w:rPr>
      <w:rFonts w:ascii="Courier New" w:hAnsi="Courier New" w:eastAsia="Courier New" w:cs="Courier New"/>
      <w:sz w:val="20"/>
    </w:rPr>
  </w:style>
  <w:style w:type="character" w:styleId="17">
    <w:name w:val="HTML Sample"/>
    <w:basedOn w:val="7"/>
    <w:qFormat/>
    <w:uiPriority w:val="0"/>
    <w:rPr>
      <w:rFonts w:hint="default" w:ascii="Courier New" w:hAnsi="Courier New" w:eastAsia="Courier New" w:cs="Courier New"/>
    </w:rPr>
  </w:style>
  <w:style w:type="character" w:customStyle="1" w:styleId="18">
    <w:name w:val="refresh"/>
    <w:basedOn w:val="7"/>
    <w:qFormat/>
    <w:uiPriority w:val="0"/>
    <w:rPr>
      <w:shd w:val="clear" w:color="auto" w:fill="FFFFFF"/>
    </w:rPr>
  </w:style>
  <w:style w:type="character" w:customStyle="1" w:styleId="19">
    <w:name w:val="active"/>
    <w:basedOn w:val="7"/>
    <w:qFormat/>
    <w:uiPriority w:val="0"/>
    <w:rPr>
      <w:shd w:val="clear" w:color="auto" w:fill="F2F2F2"/>
    </w:rPr>
  </w:style>
  <w:style w:type="character" w:customStyle="1" w:styleId="20">
    <w:name w:val="checked"/>
    <w:basedOn w:val="7"/>
    <w:qFormat/>
    <w:uiPriority w:val="0"/>
    <w:rPr>
      <w:vanish/>
    </w:rPr>
  </w:style>
  <w:style w:type="character" w:customStyle="1" w:styleId="21">
    <w:name w:val="checked1"/>
    <w:basedOn w:val="7"/>
    <w:qFormat/>
    <w:uiPriority w:val="0"/>
  </w:style>
  <w:style w:type="character" w:customStyle="1" w:styleId="22">
    <w:name w:val="last-child"/>
    <w:basedOn w:val="7"/>
    <w:qFormat/>
    <w:uiPriority w:val="0"/>
    <w:rPr>
      <w:color w:val="999999"/>
    </w:rPr>
  </w:style>
  <w:style w:type="character" w:customStyle="1" w:styleId="23">
    <w:name w:val="last-child1"/>
    <w:basedOn w:val="7"/>
    <w:qFormat/>
    <w:uiPriority w:val="0"/>
  </w:style>
  <w:style w:type="character" w:customStyle="1" w:styleId="24">
    <w:name w:val="tmpztreemove_arrow"/>
    <w:basedOn w:val="7"/>
    <w:qFormat/>
    <w:uiPriority w:val="0"/>
  </w:style>
  <w:style w:type="character" w:customStyle="1" w:styleId="25">
    <w:name w:val="ca-nav-next"/>
    <w:basedOn w:val="7"/>
    <w:qFormat/>
    <w:uiPriority w:val="0"/>
  </w:style>
  <w:style w:type="character" w:customStyle="1" w:styleId="26">
    <w:name w:val="button"/>
    <w:basedOn w:val="7"/>
    <w:qFormat/>
    <w:uiPriority w:val="0"/>
  </w:style>
  <w:style w:type="character" w:customStyle="1" w:styleId="27">
    <w:name w:val="checkok"/>
    <w:basedOn w:val="7"/>
    <w:qFormat/>
    <w:uiPriority w:val="0"/>
    <w:rPr>
      <w:shd w:val="clear" w:color="auto" w:fill="FFFFFF"/>
    </w:rPr>
  </w:style>
  <w:style w:type="character" w:customStyle="1" w:styleId="28">
    <w:name w:val="hover19"/>
    <w:basedOn w:val="7"/>
    <w:qFormat/>
    <w:uiPriority w:val="0"/>
  </w:style>
  <w:style w:type="character" w:customStyle="1" w:styleId="29">
    <w:name w:val="hover20"/>
    <w:basedOn w:val="7"/>
    <w:qFormat/>
    <w:uiPriority w:val="0"/>
    <w:rPr>
      <w:shd w:val="clear" w:color="auto" w:fill="F2F2F2"/>
    </w:rPr>
  </w:style>
  <w:style w:type="character" w:customStyle="1" w:styleId="30">
    <w:name w:val="hover21"/>
    <w:basedOn w:val="7"/>
    <w:qFormat/>
    <w:uiPriority w:val="0"/>
    <w:rPr>
      <w:shd w:val="clear" w:color="auto" w:fill="F2F2F2"/>
    </w:rPr>
  </w:style>
  <w:style w:type="character" w:customStyle="1" w:styleId="31">
    <w:name w:val="页眉 字符"/>
    <w:basedOn w:val="7"/>
    <w:link w:val="4"/>
    <w:uiPriority w:val="0"/>
    <w:rPr>
      <w:rFonts w:asciiTheme="minorHAnsi" w:hAnsiTheme="minorHAnsi" w:eastAsiaTheme="minorEastAsia" w:cstheme="minorBidi"/>
      <w:kern w:val="2"/>
      <w:sz w:val="18"/>
      <w:szCs w:val="18"/>
    </w:rPr>
  </w:style>
  <w:style w:type="character" w:customStyle="1" w:styleId="32">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1351</Words>
  <Characters>1704</Characters>
  <Lines>14</Lines>
  <Paragraphs>4</Paragraphs>
  <TotalTime>1</TotalTime>
  <ScaleCrop>false</ScaleCrop>
  <LinksUpToDate>false</LinksUpToDate>
  <CharactersWithSpaces>1878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2025-09-22T09:10:00Z</dcterms:created>
  <dc:creator>꧁如苏里꧂</dc:creator>
  <cp:lastModifiedBy>福满多</cp:lastModifiedBy>
  <cp:lastPrinted>2023-02-23T18:42:00Z</cp:lastPrinted>
  <dcterms:modified xsi:type="dcterms:W3CDTF">2025-09-23T04:02:42Z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CE7B4D28BD1B45FC88ABB5DC00DC6C8B_13</vt:lpwstr>
  </property>
  <property fmtid="{D5CDD505-2E9C-101B-9397-08002B2CF9AE}" pid="4" name="KSOTemplateDocerSaveRecord">
    <vt:lpwstr>eyJoZGlkIjoiYjZkNTBiMjVkYzg1MzNjMTAwZDZkZWUwZmExYTM2YzciLCJ1c2VySWQiOiI4ODM3MDg1NDMifQ==</vt:lpwstr>
  </property>
</Properties>
</file>