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粗黑宋简体" w:hAnsi="方正粗黑宋简体" w:eastAsia="方正粗黑宋简体" w:cs="方正粗黑宋简体"/>
          <w:sz w:val="44"/>
          <w:szCs w:val="44"/>
        </w:rPr>
        <w:t>关于进一步加大创业担保贷款贴息力度</w:t>
      </w:r>
      <w:r>
        <w:rPr>
          <w:rFonts w:hint="eastAsia" w:ascii="方正粗黑宋简体" w:hAnsi="方正粗黑宋简体" w:eastAsia="方正粗黑宋简体" w:cs="方正粗黑宋简体"/>
          <w:sz w:val="44"/>
          <w:szCs w:val="44"/>
        </w:rPr>
        <w:br w:type="textWrapping"/>
      </w:r>
      <w:r>
        <w:rPr>
          <w:rFonts w:hint="eastAsia" w:ascii="方正粗黑宋简体" w:hAnsi="方正粗黑宋简体" w:eastAsia="方正粗黑宋简体" w:cs="方正粗黑宋简体"/>
          <w:sz w:val="44"/>
          <w:szCs w:val="44"/>
        </w:rPr>
        <w:t>全力支持重点群体创业就业的通知</w:t>
      </w:r>
      <w:r>
        <w:rPr>
          <w:rFonts w:hint="eastAsia" w:ascii="仿宋" w:hAnsi="仿宋" w:eastAsia="仿宋" w:cs="仿宋"/>
          <w:sz w:val="32"/>
          <w:szCs w:val="32"/>
        </w:rPr>
        <w:br w:type="textWrapping"/>
      </w:r>
      <w:r>
        <w:rPr>
          <w:rFonts w:hint="eastAsia" w:ascii="仿宋" w:hAnsi="仿宋" w:eastAsia="仿宋" w:cs="仿宋"/>
          <w:sz w:val="32"/>
          <w:szCs w:val="32"/>
        </w:rPr>
        <w:t>财金〔2020〕21号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计划单列市财政厅（局）、人力资源社会保障厅（局），新疆生产建设兵团财政局、人力资源社会保障局，中国人民银行上海总部、各分行、营业管理部、省会（首府）城市中心支行、各副省级城市中心支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新冠肺炎疫情对就业创业造成一定影响。为深入贯彻落实习近平总书记在统筹推进新冠肺炎疫情防控和经济社会发展工作部署会议上的重要讲话精神，全面强化稳就业举措，更好发挥创业担保贷款贴息资金引导作用，加强资金保障，全力支持复工复产和创业就业，推动经济社会有序稳定发展，现通知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一、扩大覆盖范围</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（一）增加支持群体。</w:t>
      </w:r>
      <w:r>
        <w:rPr>
          <w:rFonts w:hint="eastAsia" w:ascii="仿宋" w:hAnsi="仿宋" w:eastAsia="仿宋" w:cs="仿宋"/>
          <w:sz w:val="32"/>
          <w:szCs w:val="32"/>
        </w:rPr>
        <w:t>自通知印发之日至2020年12月31日新发放贷款，应将下列群体纳入支持范围：一是受疫情影响较大的批发零售、住宿餐饮、物流运输、文化旅游等行业暂时失去收入来源的个体工商户；二是贷款购车专门用于出租运营的个人；三是贷款购车加入网络约车平台的专职司机（需平台提供专职司机“双证”等证明材料）；四是符合条件的出租车、网约车企业或其子公司；五是对已享受创业担保贷款贴息政策且已按时还清贷款的个人，在疫情期间出现经营困难的，可再次申请创业担保贷款。</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（二）降低申请门槛。</w:t>
      </w:r>
      <w:r>
        <w:rPr>
          <w:rFonts w:hint="eastAsia" w:ascii="仿宋" w:hAnsi="仿宋" w:eastAsia="仿宋" w:cs="仿宋"/>
          <w:sz w:val="32"/>
          <w:szCs w:val="32"/>
        </w:rPr>
        <w:t>小微企业当年新招用符合条件创业担保贷款申请条件的人数与企业现有在职职工人数的占比，由20%下降为15%，超过100人的企业下降为8%。</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二、适当提高额度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符合条件的个人最高可申请创业担保贷款额度由15万元提高至20万元。对符合条件的个人创业担保贷款借款人合伙创业的，可根据合伙创业人数适当提高贷款额度，最高不超过符合条件个人贷款总额度的10%。</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三、允许合理展期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流动性遇到暂时困难的小微企业和个人（含个体工商户，下同）创业担保贷款，可给予展期，最长可展期至2020年6月30日，展期期间财政给予正常贴息。对已发放的个人创业担保贷款，借款人患新冠肺炎的，展期期限原则上不超过1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四、降低利率水平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金融机构新发放创业担保贷款利率应适当下降，具体标准为：贫困地区（含国家扶贫开发工作重点县、全国14个集中连片特殊困难地区）贷款利率上限由不超过LPR+300BP下降为LPR+250BP，中、西部地区由不超过LPR+200BP下降为LPR+150BP，东部地区由不超过LPR+100BP下降为不超过LPR+50BP。具体贷款利率由经办银行根据借款人和借款企业的经营状况、信用情况等与借款人和借款企业协商确定。本通知印发之日前已发放和已签订合同但未发放的贷款，仍按原规定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五、合理分担利息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自2021年1月1日起，新发放的个人和小微企业创业担保贷款利息，LPR-150BP以下部分，由借款人和借款企业承担，剩余部分财政给予贴息。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六、简化审批程序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电子化审批，逐步实行全程线上办理。各地人力资源社会保障部门（以下简称人社部门）可通过所在地社区、村委会、群团组织、金融机构、担保机构等推荐方式拓展创业担保贷款申请渠道，推广依托社会保障卡搭载创业担保贷款申请、审核和拨付功能。逐步推行“一站式”服务，实行人社部门审核借款人资格、担保机构尽职调查、金融机构贷前调查“多审合一”，避免重复提交材料。人社部门资格审核原则上应压缩在7个工作日内，担保机构尽职调查压缩在3个工作日内，金融机构贷款受理至发放原则上压缩在5个工作日内，确需办理反担保、抵押等手续的可适当延长。对不符合条件的，应在5个工作日内通知申请人并说明原因，一次性告知需补充完善的手续和资料。鼓励各地自主整合担保基金与经办金融机构办理流程，进一步提升服务效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七、免除反担保要求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通知印发之日起，新发放的10万元及以下的个人创业担保贷款，以及全国创业孵化示范基地或信用社区（乡村）推荐的创业项目，获得设区的市级以上荣誉称号的创业人员、创业项目、创业企业，经金融机构评估认定的信用小微企业、商户、农户，经营稳定守信的二次创业者等特定群体，免除反担保要求。鼓励有条件的地方对其他创业担保贷款逐步降低或免除反担保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八、提升担保基金效能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相关部门要简化担保条件和手续，制定担保基金尽职免责和激励约束办法，合理提升担保基金代偿比例和效率。实行担保基金放大倍数与贷款还款率挂钩机制，创业担保贷款上年到期还款率（上年累计到期贷款实际回收金额/上年累计到期贷款应回收金额）达到90%以上的，本年可适当提高放大倍数至担保基金存款余额的10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九、鼓励地方加大支持力度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各地可适当放宽创业担保贷款借款人条件、提高贷款额度上限，由此额外产生的贴息资金支出由地方财政承担。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十、强化统筹协调与激励约束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人民银行、人社部门要完善协作机制，加快健全完善创业担保贷款分类统计制度，加强部门间信息共享，充分整合资格审核、贴息、贷款发放等数据。人社部门负责做好资格审核工作。各担保基金运营管理机构和经办金融机构按季向当地人民银行分支机构、财政、人社部门报告担保基金和创业担保贷款发放使用情况。人民银行分支机构强化普惠金融定向降准考核、专项金融债发行等外部激励约束，引导经办金融机构提升服务质效；财政部门负责做好担保基金、财政贴息和奖补资金的管理工作，明确对担保基金来源和补偿机制，强化考核和监督检查，发挥好奖补资金激励作用，确保贴息、奖补资金及时拨付到位。</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十一、政策衔接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本通知印发前已生效的创业担保贷款合同，仍按原合同约定执行。本通知无明确规定的，仍按照《中国人民银行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中国人民银行关于进一步做好创业担保贷款财政贴息工作的通知》（财金〔2018〕22号）、《财政部关于修订发布&lt;普惠金融发展专项资金管理办法&gt;的通知》（财金〔2019〕96号）等原有相关规定执行。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人力资源社会保障部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中国人民银行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F0F41"/>
    <w:rsid w:val="2BDB1F92"/>
    <w:rsid w:val="540F0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customStyle="1" w:styleId="7">
    <w:name w:val="loan"/>
    <w:basedOn w:val="4"/>
    <w:uiPriority w:val="0"/>
  </w:style>
  <w:style w:type="character" w:customStyle="1" w:styleId="8">
    <w:name w:val="font"/>
    <w:basedOn w:val="4"/>
    <w:uiPriority w:val="0"/>
  </w:style>
  <w:style w:type="character" w:customStyle="1" w:styleId="9">
    <w:name w:val="font1"/>
    <w:basedOn w:val="4"/>
    <w:qFormat/>
    <w:uiPriority w:val="0"/>
  </w:style>
  <w:style w:type="character" w:customStyle="1" w:styleId="10">
    <w:name w:val="laypage_curr"/>
    <w:basedOn w:val="4"/>
    <w:uiPriority w:val="0"/>
    <w:rPr>
      <w:color w:val="FFFDF4"/>
      <w:shd w:val="clear" w:fill="0B67A6"/>
    </w:rPr>
  </w:style>
  <w:style w:type="character" w:customStyle="1" w:styleId="11">
    <w:name w:val="gwds_nopic"/>
    <w:basedOn w:val="4"/>
    <w:qFormat/>
    <w:uiPriority w:val="0"/>
  </w:style>
  <w:style w:type="character" w:customStyle="1" w:styleId="12">
    <w:name w:val="gwds_nopic1"/>
    <w:basedOn w:val="4"/>
    <w:qFormat/>
    <w:uiPriority w:val="0"/>
  </w:style>
  <w:style w:type="character" w:customStyle="1" w:styleId="13">
    <w:name w:val="gwds_nopic2"/>
    <w:basedOn w:val="4"/>
    <w:qFormat/>
    <w:uiPriority w:val="0"/>
  </w:style>
  <w:style w:type="character" w:customStyle="1" w:styleId="14">
    <w:name w:val="hover13"/>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2021-05-28T09:17:00Z</dcterms:created>
  <dc:creator>Administrator</dc:creator>
  <cp:lastModifiedBy>Administrator</cp:lastModifiedBy>
  <dcterms:modified xsi:type="dcterms:W3CDTF">2021-05-28T09:39:41Z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