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违法案件内部会审记录</w:t>
      </w:r>
    </w:p>
    <w:tbl>
      <w:tblPr>
        <w:tblStyle w:val="3"/>
        <w:tblW w:w="8665" w:type="dxa"/>
        <w:tblInd w:w="1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665" w:type="dxa"/>
            <w:tcBorders>
              <w:top w:val="nil"/>
              <w:left w:val="nil"/>
              <w:right w:val="nil"/>
            </w:tcBorders>
            <w:noWrap w:val="0"/>
            <w:vAlign w:val="top"/>
          </w:tcPr>
          <w:p>
            <w:pPr>
              <w:tabs>
                <w:tab w:val="left" w:pos="6929"/>
              </w:tabs>
              <w:ind w:left="-122" w:leftChars="-58" w:right="-90" w:rightChars="-43" w:firstLine="120" w:firstLineChars="43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ab/>
            </w:r>
          </w:p>
        </w:tc>
      </w:tr>
    </w:tbl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案件名称及编号：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时 间：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" w:eastAsia="仿宋_GB2312"/>
          <w:sz w:val="32"/>
          <w:szCs w:val="32"/>
        </w:rPr>
        <w:t>地 点：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主 持 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记 录 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会审人员及职务：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案件承办人员：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会审记录：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tbl>
      <w:tblPr>
        <w:tblStyle w:val="3"/>
        <w:tblW w:w="8619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9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619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40" w:lineRule="exact"/>
              <w:ind w:firstLine="6090" w:firstLineChars="21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tbl>
      <w:tblPr>
        <w:tblStyle w:val="3"/>
        <w:tblW w:w="8649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9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649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40" w:lineRule="exact"/>
              <w:ind w:firstLine="6090" w:firstLineChars="21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会审结果：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主持人（签名）：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会审人员（签名）：</w:t>
      </w:r>
    </w:p>
    <w:p>
      <w:pPr>
        <w:spacing w:line="600" w:lineRule="exact"/>
        <w:rPr>
          <w:rFonts w:hint="eastAsia" w:ascii="仿宋_GB2312" w:hAnsi="仿宋" w:eastAsia="仿宋_GB2312"/>
          <w:b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记录人（签名）：</w:t>
      </w:r>
    </w:p>
    <w:tbl>
      <w:tblPr>
        <w:tblStyle w:val="3"/>
        <w:tblW w:w="8799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9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</w:tblPrEx>
        <w:trPr>
          <w:trHeight w:val="793" w:hRule="atLeast"/>
        </w:trPr>
        <w:tc>
          <w:tcPr>
            <w:tcW w:w="8799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40" w:lineRule="exact"/>
              <w:ind w:firstLine="6090" w:firstLineChars="21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520" w:lineRule="exact"/>
        <w:rPr>
          <w:rFonts w:hint="eastAsia" w:ascii="仿宋_GB2312" w:hAnsi="仿宋" w:eastAsia="仿宋_GB2312" w:cs="楷体_GB2312"/>
          <w:szCs w:val="21"/>
        </w:rPr>
      </w:pPr>
      <w:r>
        <w:rPr>
          <w:rFonts w:hint="eastAsia" w:ascii="仿宋_GB2312" w:hAnsi="仿宋" w:eastAsia="仿宋_GB2312"/>
          <w:szCs w:val="21"/>
        </w:rPr>
        <w:t>注：1、根据《土地管理法》第七十七条</w:t>
      </w:r>
      <w:r>
        <w:rPr>
          <w:rFonts w:hint="eastAsia" w:ascii="仿宋_GB2312" w:hAnsi="仿宋" w:eastAsia="仿宋_GB2312" w:cs="楷体_GB2312"/>
          <w:szCs w:val="21"/>
        </w:rPr>
        <w:t>规定，凡是违法耕地面积或罚没款数额达到规定条件，会审时要建议移送相关部门追究刑事责任；</w:t>
      </w:r>
    </w:p>
    <w:p>
      <w:pPr>
        <w:spacing w:line="520" w:lineRule="exact"/>
        <w:ind w:firstLine="420" w:firstLineChars="200"/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 w:cs="楷体_GB2312"/>
          <w:szCs w:val="21"/>
        </w:rPr>
        <w:t>2、要载明审理人员、参与讨论人员等人员身份、职务情况等；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029EA"/>
    <w:rsid w:val="7130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2022-04-15T05:15:00Z</dcterms:created>
  <dc:creator>Administrator</dc:creator>
  <cp:lastModifiedBy>Administrator</cp:lastModifiedBy>
  <dcterms:modified xsi:type="dcterms:W3CDTF">2022-04-15T05:16:31Z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