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3F47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p>
    <w:p w14:paraId="2F76BFA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伊宁县高标准农田（高效节水）建设项目工程设施建后管护制度（试行）</w:t>
      </w:r>
    </w:p>
    <w:p w14:paraId="707EC886">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p>
    <w:p w14:paraId="33577898">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第一章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总则</w:t>
      </w:r>
    </w:p>
    <w:p w14:paraId="575332E9">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第一条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lang w:eastAsia="zh-CN"/>
        </w:rPr>
        <w:t>为加强高标准农田(高效节水)工程设施建后管理、维修和养护，保护高标准农田建设成果，持续发挥投资效益，根据《国务院办公厅关于切实加强高标准农田建设提升国家粮食安全保障能力的意见》(国办发[2019]50号)、《国家发改委、财政部关于深化农村公共基础设施管护体制改革的指导意见》发改农经[2019]1645号)、《农业农村部农田建设项目管理办法》((农业农村部令2019年第4号)及自治区相关意见办法，结合我县农田建设实际，编制本制度。</w:t>
      </w:r>
    </w:p>
    <w:p w14:paraId="124D6BA1">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第二条</w:t>
      </w:r>
      <w:r>
        <w:rPr>
          <w:rFonts w:hint="eastAsia" w:ascii="仿宋_GB2312" w:hAnsi="仿宋_GB2312" w:eastAsia="仿宋_GB2312" w:cs="仿宋_GB2312"/>
          <w:sz w:val="32"/>
          <w:szCs w:val="32"/>
          <w:lang w:eastAsia="zh-CN"/>
        </w:rPr>
        <w:t xml:space="preserve"> 高标准农田(高效节水)工程设施建后管护是对农业农村部门立项建设的高标准农田(高效节水)建设项目建成的各类工程进行管理、维修、养护，确保工程原设计功能运行正常。</w:t>
      </w:r>
    </w:p>
    <w:p w14:paraId="332CBFFD">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第三条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lang w:eastAsia="zh-CN"/>
        </w:rPr>
        <w:t>高标准农田(高效节水)工程设施按照“谁受益、谁管护，谁使用、谁管护”以及“市场手段与政府补助相结合”等原则开展建后管护。</w:t>
      </w:r>
    </w:p>
    <w:p w14:paraId="0911CE4F">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第四条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lang w:eastAsia="zh-CN"/>
        </w:rPr>
        <w:t>高标准农田(高效节水)工程设施建后管护范围包括农田建设工程和耕地质量建设工程的建后管护。</w:t>
      </w:r>
    </w:p>
    <w:p w14:paraId="442428F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农田建设工程包括土地平整、灌溉与排水、田间道路、农田防护与生态环境保持、农田输配电等。其中，土地平整工程指为满足农田耕作、灌溉与排水的需要而采取的田块修筑和地力保持措施。灌溉与排水工程指为防治农田旱、涝、渍和盐碱等灾害所修建的田间水利设施。包括水源工程、输配水工程、高效节水等田间灌溉工程、排水工程等。田间道路工程指为农田耕作、农业物资运输等农业生产活动所修建的交通设施。包括田间道(机耕路)和生产路。农田防护与生态环境保持工程指为保障农田生产安全、保持和改善农田生态条件、防止或减少农田污染和自然灾害等所采取的各种措施。包括农田林网工程、岸坡防护工程和坡面防护工程等。农田输配电工程指为泵站、机井以及信息化工程等提供电力保障所需的强电、弱电等各种措施，包括输电线路工程、变配电装置。</w:t>
      </w:r>
    </w:p>
    <w:p w14:paraId="083C1C0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耕地质量建设工程包括退化土壤治理、障碍土层改良、轻度污染修复治理、土壤培肥等，以及耕地质量监测设备购置安装及地块管护。</w:t>
      </w:r>
    </w:p>
    <w:p w14:paraId="6CA161A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p>
    <w:p w14:paraId="51B83495">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第二章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管护主体与责任</w:t>
      </w:r>
    </w:p>
    <w:p w14:paraId="0D4F7364">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第五条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lang w:eastAsia="zh-CN"/>
        </w:rPr>
        <w:t>高标准农田(高效节水)项目竣工验收后，由县农业农村局与乡镇人民政府、村民委员会及时逐级办理工程及管护工作移交手续，明确管护主体职责，落实管护责任和义务。工程质量保质期内，若发现工程设施因施工质量缺陷导致的损坏由县农业农村局协调施工单位负责整改和修缮。</w:t>
      </w:r>
    </w:p>
    <w:p w14:paraId="584B1F13">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第六条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lang w:eastAsia="zh-CN"/>
        </w:rPr>
        <w:t>乡镇人民政府承担工程设施建后管护主体责任，并在春播前和秋收后组织开展高标准农田(高效节水)工程设施验收工作。村民委员会承担工程设施建后管护责任，负责组织本辖区高标准农田(高效节水)工程设施管护职责，建立管护工作制度并组织实施。乡镇基层公安派出部门及各类执法力量依法做好对损毁高标准农田(高效节水)工程设施等违法行为的打击惩处工作。</w:t>
      </w:r>
    </w:p>
    <w:p w14:paraId="0F8C3934">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第七条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lang w:eastAsia="zh-CN"/>
        </w:rPr>
        <w:t>管护主体对工程设施开展必要的日常维护、局部整修和岁修。日常维护是对工程进行经常保养和防护;局部整修是及时处理工程局部或表面轻微的缺陷和损坏，保持工程的完整、安全与正常运用;岁修是每年(或周期性)进行的、对经常养护所不能解决的工程损坏的修复。维修养护不包括工程设施扩建、续建、改造等。</w:t>
      </w:r>
    </w:p>
    <w:p w14:paraId="108CDF2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eastAsia="zh-CN"/>
        </w:rPr>
      </w:pPr>
    </w:p>
    <w:p w14:paraId="03B648EC">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第三章</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lang w:eastAsia="zh-CN"/>
        </w:rPr>
        <w:t>管护资金来源及使用</w:t>
      </w:r>
    </w:p>
    <w:p w14:paraId="5A4A58F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lang w:eastAsia="zh-CN"/>
        </w:rPr>
        <w:t>第八条</w:t>
      </w:r>
      <w:r>
        <w:rPr>
          <w:rFonts w:hint="eastAsia" w:ascii="仿宋_GB2312" w:hAnsi="仿宋_GB2312" w:eastAsia="仿宋_GB2312" w:cs="仿宋_GB2312"/>
          <w:b/>
          <w:bCs/>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根据《高标准农田工程设施管护办法（试行）》（农建发</w:t>
      </w:r>
      <w:r>
        <w:rPr>
          <w:rFonts w:hint="eastAsia" w:ascii="仿宋_GB2312" w:hAnsi="仿宋_GB2312" w:eastAsia="仿宋_GB2312" w:cs="仿宋_GB2312"/>
          <w:sz w:val="32"/>
          <w:szCs w:val="32"/>
          <w:highlight w:val="none"/>
          <w:lang w:eastAsia="zh-CN"/>
        </w:rPr>
        <w:t>[20</w:t>
      </w:r>
      <w:r>
        <w:rPr>
          <w:rFonts w:hint="eastAsia" w:ascii="仿宋_GB2312" w:hAnsi="仿宋_GB2312" w:eastAsia="仿宋_GB2312" w:cs="仿宋_GB2312"/>
          <w:sz w:val="32"/>
          <w:szCs w:val="32"/>
          <w:highlight w:val="none"/>
          <w:lang w:val="en-US" w:eastAsia="zh-CN"/>
        </w:rPr>
        <w:t>25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4号）《 自治区高标准农田工程设施管护实施细则（试行）》（新政办发</w:t>
      </w:r>
      <w:r>
        <w:rPr>
          <w:rFonts w:hint="eastAsia" w:ascii="仿宋_GB2312" w:hAnsi="仿宋_GB2312" w:eastAsia="仿宋_GB2312" w:cs="仿宋_GB2312"/>
          <w:sz w:val="32"/>
          <w:szCs w:val="32"/>
          <w:highlight w:val="none"/>
          <w:lang w:eastAsia="zh-CN"/>
        </w:rPr>
        <w:t>[20</w:t>
      </w:r>
      <w:r>
        <w:rPr>
          <w:rFonts w:hint="eastAsia" w:ascii="仿宋_GB2312" w:hAnsi="仿宋_GB2312" w:eastAsia="仿宋_GB2312" w:cs="仿宋_GB2312"/>
          <w:sz w:val="32"/>
          <w:szCs w:val="32"/>
          <w:highlight w:val="none"/>
          <w:lang w:val="en-US" w:eastAsia="zh-CN"/>
        </w:rPr>
        <w:t>25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7号）等相关法律法规，</w:t>
      </w:r>
      <w:r>
        <w:rPr>
          <w:rFonts w:hint="eastAsia" w:ascii="仿宋_GB2312" w:hAnsi="仿宋_GB2312" w:eastAsia="仿宋_GB2312" w:cs="仿宋_GB2312"/>
          <w:sz w:val="32"/>
          <w:szCs w:val="32"/>
          <w:highlight w:val="none"/>
          <w:lang w:eastAsia="zh-CN"/>
        </w:rPr>
        <w:t>鼓励</w:t>
      </w:r>
      <w:r>
        <w:rPr>
          <w:rFonts w:hint="eastAsia" w:ascii="仿宋_GB2312" w:hAnsi="仿宋_GB2312" w:eastAsia="仿宋_GB2312" w:cs="仿宋_GB2312"/>
          <w:sz w:val="32"/>
          <w:szCs w:val="32"/>
          <w:highlight w:val="none"/>
          <w:lang w:val="en-US" w:eastAsia="zh-CN"/>
        </w:rPr>
        <w:t>管护主体</w:t>
      </w:r>
      <w:r>
        <w:rPr>
          <w:rFonts w:hint="eastAsia" w:ascii="仿宋_GB2312" w:hAnsi="仿宋_GB2312" w:eastAsia="仿宋_GB2312" w:cs="仿宋_GB2312"/>
          <w:sz w:val="32"/>
          <w:szCs w:val="32"/>
          <w:highlight w:val="none"/>
          <w:lang w:eastAsia="zh-CN"/>
        </w:rPr>
        <w:t>多形式、多渠道筹集维护费，可从土地出让收入、新增耕地收益、村集体经济收益等一定比例列支、建设和管护高标准农田，也</w:t>
      </w:r>
      <w:r>
        <w:rPr>
          <w:rFonts w:hint="eastAsia" w:ascii="仿宋_GB2312" w:hAnsi="仿宋_GB2312" w:eastAsia="仿宋_GB2312" w:cs="仿宋_GB2312"/>
          <w:sz w:val="32"/>
          <w:szCs w:val="32"/>
          <w:highlight w:val="none"/>
          <w:lang w:val="en-US" w:eastAsia="zh-CN"/>
        </w:rPr>
        <w:t>可通过自主投工筹资、社会捐赠、工程设施运行收益中按比例计提等方式筹措管护资金。县财政可将一定比例项目竣工结余资金用于管护，向集体经济薄弱村、项目数量多加大管护资金倾斜</w:t>
      </w:r>
      <w:r>
        <w:rPr>
          <w:rFonts w:hint="eastAsia" w:ascii="仿宋_GB2312" w:hAnsi="仿宋_GB2312" w:eastAsia="仿宋_GB2312" w:cs="仿宋_GB2312"/>
          <w:sz w:val="32"/>
          <w:szCs w:val="32"/>
          <w:highlight w:val="none"/>
          <w:lang w:eastAsia="zh-CN"/>
        </w:rPr>
        <w:t>。</w:t>
      </w:r>
    </w:p>
    <w:p w14:paraId="6DE0CB5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lang w:eastAsia="zh-CN"/>
        </w:rPr>
        <w:t>第九条</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b w:val="0"/>
          <w:bCs w:val="0"/>
          <w:sz w:val="32"/>
          <w:szCs w:val="32"/>
          <w:highlight w:val="none"/>
          <w:lang w:val="en-US" w:eastAsia="zh-CN"/>
        </w:rPr>
        <w:t>高标准农田（高效节水）建设项目管护资金主要用于工程设施管护直接相关的物资材料、简易管护工具费用、维修资金、维保服务、应急抢修物资及委托服务费、管护人员劳务报酬等相关支出。管护资金不得用于财政补助单位人员经费和运转经费、办公设备购置以及其他与高标准农田工程设施管护无关的支出。</w:t>
      </w:r>
      <w:bookmarkStart w:id="0" w:name="_GoBack"/>
      <w:bookmarkEnd w:id="0"/>
    </w:p>
    <w:p w14:paraId="30417BB3">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sz w:val="32"/>
          <w:szCs w:val="32"/>
          <w:lang w:eastAsia="zh-CN"/>
        </w:rPr>
      </w:pPr>
    </w:p>
    <w:p w14:paraId="1F838AAA">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第四章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监督与宣传</w:t>
      </w:r>
    </w:p>
    <w:p w14:paraId="44FCFA8E">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第十条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县农业农村部门要加强对建后管护工作的检查督导，制定相应的考核奖励办法，对管护主体实行目标责任考核。加大建后管护工作的宣传力度，加强建后运行维护培训，将建后管护纳入推进高标准农田建设工作考核重要指标。乡镇人民政府要加强高标准农田(高效节水)工程设施建后管护的属地管理，确保高标准农田建设项目高效运行。</w:t>
      </w:r>
    </w:p>
    <w:p w14:paraId="35805B26">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第十一条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lang w:eastAsia="zh-CN"/>
        </w:rPr>
        <w:t>各乡镇要督促管护主体认真落实高标准农田(高效节水)建后管护工作，加强宣传高标准农田(高效节水)建后管护的政策制度，积极引导村民珍惜爱护高标准农田(高效节水)工程设施。所有村民都有维护高标准农田(高效节水)工程设施的义务，有权制止、检举损毁高标准农田(高效节水)工程设施的行为。</w:t>
      </w:r>
    </w:p>
    <w:p w14:paraId="74EA160D">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第五章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附则</w:t>
      </w:r>
    </w:p>
    <w:p w14:paraId="3B5A4F3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第十二条</w:t>
      </w:r>
      <w:r>
        <w:rPr>
          <w:rFonts w:hint="eastAsia" w:ascii="仿宋_GB2312" w:hAnsi="仿宋_GB2312" w:eastAsia="仿宋_GB2312" w:cs="仿宋_GB2312"/>
          <w:sz w:val="32"/>
          <w:szCs w:val="32"/>
          <w:lang w:eastAsia="zh-CN"/>
        </w:rPr>
        <w:t>本制度自印发之日起试行。</w:t>
      </w:r>
    </w:p>
    <w:p w14:paraId="36A5E4C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第十三条</w:t>
      </w:r>
      <w:r>
        <w:rPr>
          <w:rFonts w:hint="eastAsia" w:ascii="仿宋_GB2312" w:hAnsi="仿宋_GB2312" w:eastAsia="仿宋_GB2312" w:cs="仿宋_GB2312"/>
          <w:sz w:val="32"/>
          <w:szCs w:val="32"/>
          <w:lang w:eastAsia="zh-CN"/>
        </w:rPr>
        <w:t>国有农场参照本制度执行。</w:t>
      </w:r>
    </w:p>
    <w:p w14:paraId="1B6B573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lang w:eastAsia="zh-CN"/>
        </w:rPr>
        <w:t>第十四条</w:t>
      </w:r>
      <w:r>
        <w:rPr>
          <w:rFonts w:hint="eastAsia" w:ascii="仿宋_GB2312" w:hAnsi="仿宋_GB2312" w:eastAsia="仿宋_GB2312" w:cs="仿宋_GB2312"/>
          <w:b w:val="0"/>
          <w:bCs w:val="0"/>
          <w:sz w:val="32"/>
          <w:szCs w:val="32"/>
          <w:highlight w:val="none"/>
          <w:lang w:val="en-US" w:eastAsia="zh-CN"/>
        </w:rPr>
        <w:t>本制度由县农业农村局负责解释。上级部门另有规定的，从其规定。</w:t>
      </w:r>
    </w:p>
    <w:sectPr>
      <w:footerReference r:id="rId3" w:type="default"/>
      <w:pgSz w:w="11906" w:h="16838"/>
      <w:pgMar w:top="2098" w:right="1531" w:bottom="1984" w:left="1531" w:header="1361" w:footer="141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001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6166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F61A48">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1F61A48">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9E7E69"/>
    <w:rsid w:val="0CE20D11"/>
    <w:rsid w:val="0D314419"/>
    <w:rsid w:val="0EA24D8E"/>
    <w:rsid w:val="513E1247"/>
    <w:rsid w:val="593A0C7A"/>
    <w:rsid w:val="5D0F1538"/>
    <w:rsid w:val="5F5B4417"/>
    <w:rsid w:val="779E7E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2021</Words>
  <Characters>2053</Characters>
  <Lines>0</Lines>
  <Paragraphs>0</Paragraphs>
  <TotalTime>10</TotalTime>
  <ScaleCrop>false</ScaleCrop>
  <LinksUpToDate>false</LinksUpToDate>
  <CharactersWithSpaces>2070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2026-09-21T09:07:00Z</dcterms:created>
  <dc:creator>离人不挽°</dc:creator>
  <cp:lastModifiedBy>离人不挽°</cp:lastModifiedBy>
  <dcterms:modified xsi:type="dcterms:W3CDTF">2026-10-10T08:06:08Z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326565079AF44CFBA1D2CC631E6FFBA9_13</vt:lpwstr>
  </property>
  <property fmtid="{D5CDD505-2E9C-101B-9397-08002B2CF9AE}" pid="4" name="KSOTemplateDocerSaveRecord">
    <vt:lpwstr>eyJoZGlkIjoiOTNjMDkwMzRmYjllZDVhYTI0ODc2N2Q2Mzc3Nzk4YTAiLCJ1c2VySWQiOiI2OTAxMDc4NzUifQ==</vt:lpwstr>
  </property>
</Properties>
</file>